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A0AD9" w:rsidRPr="003C0842" w:rsidRDefault="00BA0AD9" w:rsidP="002D3CE0">
      <w:pPr>
        <w:spacing w:line="360" w:lineRule="auto"/>
      </w:pPr>
    </w:p>
    <w:p w:rsidR="00930F1A" w:rsidRPr="003C0842" w:rsidRDefault="00930F1A" w:rsidP="00F81003">
      <w:pPr>
        <w:spacing w:line="360" w:lineRule="auto"/>
        <w:jc w:val="center"/>
      </w:pPr>
      <w:r w:rsidRPr="003C0842">
        <w:t>Stanisław Sierpowski</w:t>
      </w:r>
    </w:p>
    <w:p w:rsidR="00930F1A" w:rsidRPr="003C0842" w:rsidRDefault="00930F1A" w:rsidP="00930F1A">
      <w:pPr>
        <w:jc w:val="center"/>
      </w:pPr>
    </w:p>
    <w:p w:rsidR="00930F1A" w:rsidRPr="003C0842" w:rsidRDefault="00930F1A" w:rsidP="00930F1A">
      <w:pPr>
        <w:jc w:val="center"/>
      </w:pPr>
    </w:p>
    <w:p w:rsidR="00930F1A" w:rsidRPr="003C0842" w:rsidRDefault="00930F1A" w:rsidP="00930F1A">
      <w:pPr>
        <w:jc w:val="center"/>
      </w:pPr>
    </w:p>
    <w:p w:rsidR="00930F1A" w:rsidRPr="003C0842" w:rsidRDefault="00930F1A" w:rsidP="00930F1A">
      <w:pPr>
        <w:spacing w:line="480" w:lineRule="auto"/>
        <w:jc w:val="center"/>
      </w:pPr>
    </w:p>
    <w:p w:rsidR="00930F1A" w:rsidRPr="003C0842" w:rsidRDefault="00930F1A" w:rsidP="00930F1A">
      <w:pPr>
        <w:spacing w:line="480" w:lineRule="auto"/>
        <w:jc w:val="center"/>
      </w:pPr>
    </w:p>
    <w:p w:rsidR="00930F1A" w:rsidRPr="003C0842" w:rsidRDefault="00930F1A" w:rsidP="00656EAE">
      <w:pPr>
        <w:spacing w:line="480" w:lineRule="auto"/>
        <w:rPr>
          <w:b/>
        </w:rPr>
      </w:pPr>
    </w:p>
    <w:p w:rsidR="00930F1A" w:rsidRPr="003C0842" w:rsidRDefault="00930F1A" w:rsidP="00930F1A">
      <w:pPr>
        <w:spacing w:line="480" w:lineRule="auto"/>
        <w:jc w:val="center"/>
        <w:rPr>
          <w:b/>
        </w:rPr>
      </w:pPr>
    </w:p>
    <w:p w:rsidR="00930F1A" w:rsidRPr="00DC65D6" w:rsidRDefault="00930F1A" w:rsidP="00930F1A">
      <w:pPr>
        <w:spacing w:line="480" w:lineRule="auto"/>
        <w:jc w:val="center"/>
        <w:rPr>
          <w:b/>
          <w:sz w:val="32"/>
          <w:szCs w:val="32"/>
        </w:rPr>
      </w:pPr>
      <w:r w:rsidRPr="00DC65D6">
        <w:rPr>
          <w:b/>
          <w:sz w:val="32"/>
          <w:szCs w:val="32"/>
        </w:rPr>
        <w:t>Gra o Niemcy</w:t>
      </w:r>
    </w:p>
    <w:p w:rsidR="00930F1A" w:rsidRPr="003C0842" w:rsidRDefault="003101A3" w:rsidP="00930F1A">
      <w:pPr>
        <w:spacing w:line="480" w:lineRule="auto"/>
        <w:jc w:val="center"/>
        <w:rPr>
          <w:b/>
        </w:rPr>
      </w:pPr>
      <w:r w:rsidRPr="003C0842">
        <w:rPr>
          <w:b/>
        </w:rPr>
        <w:t>Międzynarodowy rezonans</w:t>
      </w:r>
    </w:p>
    <w:p w:rsidR="002F5DF4" w:rsidRPr="003C0842" w:rsidRDefault="002F5DF4" w:rsidP="00930F1A">
      <w:pPr>
        <w:spacing w:line="480" w:lineRule="auto"/>
        <w:jc w:val="center"/>
        <w:rPr>
          <w:b/>
          <w:highlight w:val="yellow"/>
        </w:rPr>
      </w:pPr>
      <w:r w:rsidRPr="003C0842">
        <w:rPr>
          <w:b/>
          <w:highlight w:val="yellow"/>
        </w:rPr>
        <w:t xml:space="preserve">Międzynarodowe aspekty </w:t>
      </w:r>
      <w:r w:rsidR="003A44ED" w:rsidRPr="003C0842">
        <w:rPr>
          <w:b/>
          <w:highlight w:val="yellow"/>
        </w:rPr>
        <w:t>, tło, kontekst</w:t>
      </w:r>
    </w:p>
    <w:p w:rsidR="00930F1A" w:rsidRPr="003C0842" w:rsidRDefault="002F5DF4" w:rsidP="00930F1A">
      <w:pPr>
        <w:spacing w:line="480" w:lineRule="auto"/>
        <w:jc w:val="center"/>
        <w:rPr>
          <w:b/>
        </w:rPr>
      </w:pPr>
      <w:r w:rsidRPr="003C0842">
        <w:rPr>
          <w:b/>
        </w:rPr>
        <w:t>wstąpienia</w:t>
      </w:r>
      <w:r w:rsidR="00930F1A" w:rsidRPr="003C0842">
        <w:rPr>
          <w:b/>
        </w:rPr>
        <w:t xml:space="preserve"> Niemiec</w:t>
      </w:r>
      <w:r w:rsidR="00B60331">
        <w:rPr>
          <w:b/>
        </w:rPr>
        <w:br/>
      </w:r>
      <w:r w:rsidR="00930F1A" w:rsidRPr="003C0842">
        <w:rPr>
          <w:b/>
        </w:rPr>
        <w:t>do</w:t>
      </w:r>
      <w:r w:rsidR="00B60331">
        <w:rPr>
          <w:b/>
        </w:rPr>
        <w:t xml:space="preserve"> Ligi Narodów w 1926 roku</w:t>
      </w:r>
    </w:p>
    <w:p w:rsidR="00930F1A" w:rsidRPr="003C0842" w:rsidRDefault="00930F1A" w:rsidP="00930F1A">
      <w:pPr>
        <w:shd w:val="clear" w:color="auto" w:fill="FFFFFF"/>
        <w:spacing w:line="480" w:lineRule="auto"/>
        <w:ind w:firstLine="720"/>
        <w:rPr>
          <w:color w:val="000000"/>
        </w:rPr>
      </w:pPr>
    </w:p>
    <w:p w:rsidR="00930F1A" w:rsidRPr="003C0842" w:rsidRDefault="00930F1A" w:rsidP="00930F1A">
      <w:pPr>
        <w:shd w:val="clear" w:color="auto" w:fill="FFFFFF"/>
        <w:spacing w:line="480" w:lineRule="auto"/>
        <w:ind w:firstLine="720"/>
        <w:rPr>
          <w:color w:val="000000"/>
        </w:rPr>
      </w:pPr>
    </w:p>
    <w:p w:rsidR="00930F1A" w:rsidRPr="003C0842" w:rsidRDefault="003101A3" w:rsidP="003101A3">
      <w:pPr>
        <w:shd w:val="clear" w:color="auto" w:fill="FFFFFF"/>
        <w:spacing w:line="360" w:lineRule="auto"/>
        <w:ind w:firstLine="720"/>
        <w:jc w:val="center"/>
        <w:rPr>
          <w:color w:val="000000"/>
        </w:rPr>
      </w:pPr>
      <w:r w:rsidRPr="00DC65D6">
        <w:rPr>
          <w:color w:val="000000"/>
          <w:highlight w:val="red"/>
        </w:rPr>
        <w:t>/Spis treści na końcu/</w:t>
      </w:r>
    </w:p>
    <w:p w:rsidR="00930F1A" w:rsidRPr="003C0842" w:rsidRDefault="00930F1A" w:rsidP="002E17E5">
      <w:pPr>
        <w:shd w:val="clear" w:color="auto" w:fill="FFFFFF"/>
        <w:spacing w:line="360" w:lineRule="auto"/>
        <w:ind w:firstLine="720"/>
        <w:rPr>
          <w:color w:val="000000"/>
        </w:rPr>
      </w:pPr>
    </w:p>
    <w:p w:rsidR="00930F1A" w:rsidRPr="003C0842" w:rsidRDefault="00930F1A" w:rsidP="002E17E5">
      <w:pPr>
        <w:shd w:val="clear" w:color="auto" w:fill="FFFFFF"/>
        <w:spacing w:line="360" w:lineRule="auto"/>
        <w:ind w:firstLine="720"/>
        <w:rPr>
          <w:color w:val="000000"/>
        </w:rPr>
      </w:pPr>
    </w:p>
    <w:p w:rsidR="00930F1A" w:rsidRPr="003C0842" w:rsidRDefault="00930F1A" w:rsidP="00930F1A">
      <w:pPr>
        <w:shd w:val="clear" w:color="auto" w:fill="FFFFFF"/>
        <w:spacing w:line="360" w:lineRule="auto"/>
        <w:ind w:firstLine="0"/>
        <w:rPr>
          <w:color w:val="000000"/>
        </w:rPr>
      </w:pPr>
    </w:p>
    <w:p w:rsidR="002E17E5" w:rsidRDefault="002E17E5" w:rsidP="002E17E5">
      <w:pPr>
        <w:shd w:val="clear" w:color="auto" w:fill="FFFFFF"/>
        <w:spacing w:line="360" w:lineRule="auto"/>
        <w:ind w:firstLine="720"/>
        <w:rPr>
          <w:b/>
          <w:color w:val="000000"/>
        </w:rPr>
      </w:pPr>
      <w:r w:rsidRPr="00DC65D6">
        <w:rPr>
          <w:b/>
          <w:color w:val="000000"/>
        </w:rPr>
        <w:t>1. Wstęp</w:t>
      </w:r>
    </w:p>
    <w:p w:rsidR="00DC65D6" w:rsidRPr="00DC65D6" w:rsidRDefault="00DC65D6" w:rsidP="002E17E5">
      <w:pPr>
        <w:shd w:val="clear" w:color="auto" w:fill="FFFFFF"/>
        <w:spacing w:line="360" w:lineRule="auto"/>
        <w:ind w:firstLine="720"/>
        <w:rPr>
          <w:b/>
          <w:color w:val="000000"/>
        </w:rPr>
      </w:pPr>
    </w:p>
    <w:p w:rsidR="00F81003" w:rsidRPr="003C0842" w:rsidRDefault="002E17E5" w:rsidP="00A17EAC">
      <w:pPr>
        <w:shd w:val="clear" w:color="auto" w:fill="FFFFFF"/>
        <w:spacing w:line="360" w:lineRule="auto"/>
        <w:ind w:firstLine="720"/>
      </w:pPr>
      <w:r w:rsidRPr="003C0842">
        <w:t xml:space="preserve">Stopniowe zbliżanie się Republiki Weimarskiej do </w:t>
      </w:r>
      <w:r w:rsidR="00A17EAC" w:rsidRPr="003C0842">
        <w:t>Ligi Narodów kumulowało</w:t>
      </w:r>
      <w:r w:rsidRPr="003C0842">
        <w:t xml:space="preserve"> w sobie różne elementy, które </w:t>
      </w:r>
      <w:r w:rsidR="00F81003" w:rsidRPr="003C0842">
        <w:t>znajdowały odbicie w</w:t>
      </w:r>
      <w:r w:rsidRPr="003C0842">
        <w:t xml:space="preserve"> polity</w:t>
      </w:r>
      <w:r w:rsidR="00F81003" w:rsidRPr="003C0842">
        <w:t>ce</w:t>
      </w:r>
      <w:r w:rsidRPr="003C0842">
        <w:t xml:space="preserve"> większości państw i narodów, instytucji oraz organizacji społeczno-politycznych, w końcu także konkretnych osób. Znalezienie wspólnego mianownika dla tak widzianej różnorodności nie jest łatwe</w:t>
      </w:r>
      <w:r w:rsidR="00D81805" w:rsidRPr="003C0842">
        <w:t xml:space="preserve">; </w:t>
      </w:r>
      <w:r w:rsidRPr="003C0842">
        <w:t>nierzadko</w:t>
      </w:r>
      <w:r w:rsidR="00D81805" w:rsidRPr="003C0842">
        <w:t xml:space="preserve"> też </w:t>
      </w:r>
      <w:r w:rsidRPr="003C0842">
        <w:t>prowadzi do wniosków trudnych do pogodzenia. Gromko oklaskiwane wejście del</w:t>
      </w:r>
      <w:r w:rsidR="00A17EAC" w:rsidRPr="003C0842">
        <w:t>egacji Niemiec na czele z Gustav</w:t>
      </w:r>
      <w:r w:rsidRPr="003C0842">
        <w:t xml:space="preserve">em Stresemannem 10 września 1926 r. do Sali Zgromadzenia LN skrywało towarzyszące temu pytania i wątpliwości. Nie wszystkie były optymistyczne, a wielu towarzyszyło myślenie i mówienie o </w:t>
      </w:r>
      <w:r w:rsidR="00F81003" w:rsidRPr="003C0842">
        <w:t xml:space="preserve">możliwym </w:t>
      </w:r>
      <w:r w:rsidRPr="003C0842">
        <w:t>kryzysie</w:t>
      </w:r>
      <w:r w:rsidR="00164234" w:rsidRPr="003C0842">
        <w:t>–</w:t>
      </w:r>
      <w:r w:rsidR="0094427F" w:rsidRPr="003C0842">
        <w:t xml:space="preserve"> teraźniejszym lub przyszłym</w:t>
      </w:r>
      <w:r w:rsidRPr="003C0842">
        <w:t xml:space="preserve">. </w:t>
      </w:r>
    </w:p>
    <w:p w:rsidR="002E17E5" w:rsidRPr="003C0842" w:rsidRDefault="002E17E5" w:rsidP="002E17E5">
      <w:pPr>
        <w:shd w:val="clear" w:color="auto" w:fill="FFFFFF"/>
        <w:spacing w:line="360" w:lineRule="auto"/>
        <w:ind w:firstLine="720"/>
      </w:pPr>
      <w:r w:rsidRPr="003C0842">
        <w:lastRenderedPageBreak/>
        <w:t>Ówczesna sytuacja przypominała wielostopniową drabinę. W tej książce na szczycie owej drabiny stoi Liga Narodów, jakkolwiek – co wymaga podkreślania i pamiętania – nie prowadziła ona samodzielnej polityki. Przypisane jej uprzywilejowanie wiązać należy z założoną u poczęcia nadzieją, że Genewa – jako siedziba tej organizacji i synonim LN – będzie ostoją współpracy, porozumienia, kompromisu, uwzględniania racji innych, a nawet branej pod uwagę nadrzędności interesu zbiorowego nad partykularnym. Wszystkie te, tak ważne dla współczesności, elementy zostały wyostrzone w czasie przedłużającej się batalii o warunki</w:t>
      </w:r>
      <w:r w:rsidR="00686EB3" w:rsidRPr="003C0842">
        <w:t>,</w:t>
      </w:r>
      <w:r w:rsidRPr="003C0842">
        <w:t xml:space="preserve"> na jakich dokona się pożądane i oczekiwane wstąpienie Niemiec do Ligi.</w:t>
      </w:r>
    </w:p>
    <w:p w:rsidR="002E17E5" w:rsidRPr="003C0842" w:rsidRDefault="002E17E5" w:rsidP="002E17E5">
      <w:pPr>
        <w:shd w:val="clear" w:color="auto" w:fill="FFFFFF"/>
        <w:spacing w:line="360" w:lineRule="auto"/>
        <w:ind w:firstLine="720"/>
      </w:pPr>
      <w:r w:rsidRPr="003C0842">
        <w:t xml:space="preserve">Hasło wywoławcze książkinie jest oczywiście nowe. Określenie „gra o Niemcy” było obecne także w prowadzonym w Poznaniu na przełomie </w:t>
      </w:r>
      <w:r w:rsidR="00686EB3" w:rsidRPr="003C0842">
        <w:t>ósme</w:t>
      </w:r>
      <w:r w:rsidR="001E391B">
        <w:t>j</w:t>
      </w:r>
      <w:r w:rsidR="00686EB3" w:rsidRPr="003C0842">
        <w:t xml:space="preserve"> i dziewiąte</w:t>
      </w:r>
      <w:r w:rsidR="001E391B">
        <w:t>jdekady</w:t>
      </w:r>
      <w:r w:rsidR="00686EB3" w:rsidRPr="003C0842">
        <w:t xml:space="preserve"> XX w.</w:t>
      </w:r>
      <w:r w:rsidRPr="003C0842">
        <w:t>projekcie badawczym na temat roli Niemiec w stosunkach międzynarodowych okresu międzywojennego. Uwypuklona w</w:t>
      </w:r>
      <w:r w:rsidR="00F81003" w:rsidRPr="003C0842">
        <w:t>ówczas</w:t>
      </w:r>
      <w:r w:rsidRPr="003C0842">
        <w:t xml:space="preserve"> szczególna, wybitna pozycja Niemiec, pozostała ugruntowującym się elementem świadomości historiozoficznej wielu uczestników projektu. W ostatnim zdaniu wstępu do pierwszego tomu jego redaktor napisał,że „tocząca się przez cały okres międzywojenny </w:t>
      </w:r>
      <w:r w:rsidR="00686EB3" w:rsidRPr="003C0842">
        <w:t>«</w:t>
      </w:r>
      <w:r w:rsidRPr="003C0842">
        <w:t>gra o Niemcy</w:t>
      </w:r>
      <w:r w:rsidR="00686EB3" w:rsidRPr="003C0842">
        <w:t>»</w:t>
      </w:r>
      <w:r w:rsidRPr="003C0842">
        <w:t xml:space="preserve"> stanowiła dobitny przykład zawiłości drogi</w:t>
      </w:r>
      <w:r w:rsidR="00686EB3" w:rsidRPr="003C0842">
        <w:t>,</w:t>
      </w:r>
      <w:r w:rsidRPr="003C0842">
        <w:t xml:space="preserve"> po jakiej kroczyła ówczesna Europa”</w:t>
      </w:r>
      <w:r w:rsidRPr="003C0842">
        <w:rPr>
          <w:rStyle w:val="Odwoanieprzypisudolnego"/>
          <w:rFonts w:ascii="Times New Roman" w:hAnsi="Times New Roman"/>
          <w:sz w:val="24"/>
        </w:rPr>
        <w:footnoteReference w:id="2"/>
      </w:r>
      <w:r w:rsidRPr="003C0842">
        <w:t>.</w:t>
      </w:r>
    </w:p>
    <w:p w:rsidR="002E17E5" w:rsidRPr="003C0842" w:rsidRDefault="002E17E5" w:rsidP="00900BE3">
      <w:pPr>
        <w:pStyle w:val="Tekstprzypisudolnego"/>
        <w:spacing w:line="360" w:lineRule="auto"/>
        <w:ind w:firstLine="708"/>
        <w:rPr>
          <w:sz w:val="24"/>
          <w:szCs w:val="24"/>
        </w:rPr>
      </w:pPr>
      <w:r w:rsidRPr="003C0842">
        <w:rPr>
          <w:sz w:val="24"/>
          <w:szCs w:val="24"/>
        </w:rPr>
        <w:t>Ograniczanie do „starego kontynentu” terenu owej gry nie może satysfakcjonować i nie jest uzasadnione. Z tego przekonania wypływa większa uwaga w tej książce do reakcji amerykańskich, zarówno z Północy</w:t>
      </w:r>
      <w:r w:rsidR="00686EB3" w:rsidRPr="003C0842">
        <w:rPr>
          <w:sz w:val="24"/>
          <w:szCs w:val="24"/>
        </w:rPr>
        <w:t>,</w:t>
      </w:r>
      <w:r w:rsidRPr="003C0842">
        <w:rPr>
          <w:sz w:val="24"/>
          <w:szCs w:val="24"/>
        </w:rPr>
        <w:t xml:space="preserve"> jak i Południa oraz Azji, gdzie aspiracjom Chin do mocniejszej pozycji w Lidze i świecie skuteczną tamę kładła Japonia. Przy omawianiu tych spraw możliwe było nieco szersze potraktowanie różnych odmienności, zapominane nierzadko „specyfiki”, względemeuropejskiego kręgu politycznego i społecznego. Pewnym ułatwieniem dla tak poszerzonej tematyki była stosunkowo świeża książka opublikowana przez Uniwersytet Warszawski z nieco zaskakującym tytułem </w:t>
      </w:r>
      <w:r w:rsidRPr="003C0842">
        <w:rPr>
          <w:i/>
          <w:sz w:val="24"/>
          <w:szCs w:val="24"/>
        </w:rPr>
        <w:t>Liga Narodów wybranych.</w:t>
      </w:r>
      <w:r w:rsidRPr="003C0842">
        <w:rPr>
          <w:sz w:val="24"/>
          <w:szCs w:val="24"/>
        </w:rPr>
        <w:t xml:space="preserve"> Kryteria będące podstawą owego „wyboru”</w:t>
      </w:r>
      <w:r w:rsidR="00686EB3" w:rsidRPr="003C0842">
        <w:rPr>
          <w:sz w:val="24"/>
          <w:szCs w:val="24"/>
        </w:rPr>
        <w:t>tak wyjaśniono:</w:t>
      </w:r>
      <w:r w:rsidR="00900BE3" w:rsidRPr="001E5F63">
        <w:rPr>
          <w:sz w:val="24"/>
          <w:szCs w:val="24"/>
        </w:rPr>
        <w:t>„C</w:t>
      </w:r>
      <w:r w:rsidRPr="001E5F63">
        <w:rPr>
          <w:sz w:val="24"/>
          <w:szCs w:val="24"/>
        </w:rPr>
        <w:t>hcemy pokazać perspektywę dotąd w analizie Ligi Narodów pomijaną – Afryki, Ameryki Łacińskiej, Bliskiego Wschodu, Chin, Indii, Japonii czy Związku Radzieckiego. Wcześniej czy później dla wymienionych podmiotów – w większym lub mniejszym stopniu – znalazło się miejsce w ramach tej organizacji. Ale jakie to było miejsce?</w:t>
      </w:r>
      <w:r w:rsidR="00686EB3" w:rsidRPr="001E5F63">
        <w:rPr>
          <w:sz w:val="24"/>
          <w:szCs w:val="24"/>
        </w:rPr>
        <w:t xml:space="preserve"> [</w:t>
      </w:r>
      <w:r w:rsidRPr="001E5F63">
        <w:rPr>
          <w:sz w:val="24"/>
          <w:szCs w:val="24"/>
        </w:rPr>
        <w:t>…</w:t>
      </w:r>
      <w:r w:rsidR="00686EB3" w:rsidRPr="001E5F63">
        <w:rPr>
          <w:sz w:val="24"/>
          <w:szCs w:val="24"/>
        </w:rPr>
        <w:t>]</w:t>
      </w:r>
      <w:r w:rsidRPr="001E5F63">
        <w:rPr>
          <w:sz w:val="24"/>
          <w:szCs w:val="24"/>
        </w:rPr>
        <w:t xml:space="preserve"> Jaki poziom hipokryzji można było osiągnąć, gdy </w:t>
      </w:r>
      <w:r w:rsidRPr="001E5F63">
        <w:rPr>
          <w:sz w:val="24"/>
          <w:szCs w:val="24"/>
        </w:rPr>
        <w:lastRenderedPageBreak/>
        <w:t>się mówiło o dorobku wspólnym, o pokoju, o wyrzeczeniu się wojny?</w:t>
      </w:r>
      <w:r w:rsidR="00900BE3" w:rsidRPr="001E5F63">
        <w:rPr>
          <w:sz w:val="24"/>
          <w:szCs w:val="24"/>
        </w:rPr>
        <w:t>”</w:t>
      </w:r>
      <w:r w:rsidRPr="001E5F63">
        <w:rPr>
          <w:rStyle w:val="Odwoanieprzypisudolnego"/>
          <w:rFonts w:ascii="Times New Roman" w:hAnsi="Times New Roman"/>
          <w:sz w:val="24"/>
          <w:szCs w:val="24"/>
        </w:rPr>
        <w:footnoteReference w:id="3"/>
      </w:r>
      <w:r w:rsidR="00900BE3" w:rsidRPr="001E5F63">
        <w:rPr>
          <w:sz w:val="24"/>
          <w:szCs w:val="24"/>
        </w:rPr>
        <w:t xml:space="preserve">. </w:t>
      </w:r>
      <w:r w:rsidRPr="001E5F63">
        <w:rPr>
          <w:sz w:val="24"/>
          <w:szCs w:val="24"/>
        </w:rPr>
        <w:t>Postawione cele publikacji nabierają dodatkowej mocy jeśli się zważy, że autorzy są związani z badaniami stosunków międzynarodowych w ujęciu politologicznym. Znaczy to, że ich refleksja</w:t>
      </w:r>
      <w:r w:rsidRPr="003C0842">
        <w:rPr>
          <w:sz w:val="24"/>
          <w:szCs w:val="24"/>
        </w:rPr>
        <w:t xml:space="preserve"> nie jest ograniczona do czasów międzywojennych, podobnie jak </w:t>
      </w:r>
      <w:r w:rsidR="00D81805" w:rsidRPr="003C0842">
        <w:rPr>
          <w:sz w:val="24"/>
          <w:szCs w:val="24"/>
        </w:rPr>
        <w:t xml:space="preserve">„poziom hipokryzji” </w:t>
      </w:r>
      <w:r w:rsidR="00686EB3" w:rsidRPr="003C0842">
        <w:rPr>
          <w:sz w:val="24"/>
          <w:szCs w:val="24"/>
        </w:rPr>
        <w:t>–</w:t>
      </w:r>
      <w:r w:rsidR="00D81805" w:rsidRPr="003C0842">
        <w:rPr>
          <w:sz w:val="24"/>
          <w:szCs w:val="24"/>
        </w:rPr>
        <w:t xml:space="preserve"> ponadczasowy przecież w polityce międzynarodowej</w:t>
      </w:r>
      <w:r w:rsidRPr="003C0842">
        <w:rPr>
          <w:sz w:val="24"/>
          <w:szCs w:val="24"/>
        </w:rPr>
        <w:t xml:space="preserve">. </w:t>
      </w:r>
    </w:p>
    <w:p w:rsidR="002E17E5" w:rsidRPr="003C0842" w:rsidRDefault="00D81805" w:rsidP="002E17E5">
      <w:pPr>
        <w:pStyle w:val="Tekstprzypisudolnego"/>
        <w:spacing w:line="360" w:lineRule="auto"/>
        <w:ind w:firstLine="708"/>
        <w:rPr>
          <w:sz w:val="24"/>
          <w:szCs w:val="24"/>
        </w:rPr>
      </w:pPr>
      <w:r w:rsidRPr="003C0842">
        <w:rPr>
          <w:sz w:val="24"/>
          <w:szCs w:val="24"/>
        </w:rPr>
        <w:t>O</w:t>
      </w:r>
      <w:r w:rsidR="002E17E5" w:rsidRPr="003C0842">
        <w:rPr>
          <w:sz w:val="24"/>
          <w:szCs w:val="24"/>
        </w:rPr>
        <w:t xml:space="preserve">dejście </w:t>
      </w:r>
      <w:r w:rsidR="00E3740E" w:rsidRPr="003C0842">
        <w:rPr>
          <w:sz w:val="24"/>
          <w:szCs w:val="24"/>
        </w:rPr>
        <w:t xml:space="preserve">autorów tej książki </w:t>
      </w:r>
      <w:r w:rsidR="002E17E5" w:rsidRPr="003C0842">
        <w:rPr>
          <w:sz w:val="24"/>
          <w:szCs w:val="24"/>
        </w:rPr>
        <w:t xml:space="preserve">odujęcia europocentrycznego należy uznać za istotny wkład do polskich badań nad LN. Zaznaczyć jednak trzeba, że nie są one skromne. Można nawet mówić o dużej aktywności historyków, prawników i publicystów zarówno w okresie międzywojennym (m.in. Aleksander </w:t>
      </w:r>
      <w:r w:rsidR="00BC32DA" w:rsidRPr="003C0842">
        <w:rPr>
          <w:sz w:val="24"/>
          <w:szCs w:val="24"/>
        </w:rPr>
        <w:t>Bregman</w:t>
      </w:r>
      <w:r w:rsidR="002E17E5" w:rsidRPr="003C0842">
        <w:rPr>
          <w:sz w:val="24"/>
          <w:szCs w:val="24"/>
        </w:rPr>
        <w:t xml:space="preserve">, Władysław Grzankowski, Oskar Halecki, Michał Rostworowski, Bohdan Winiarski, Władysław J. Zaleski), jak i w ostatnim półwieczu (m.in. Wiesław Balcerak, Andrzej Bartnicki, Andrzej M. Brzeziński, Antoni Czubiński, Janusz Gilas,Marian Iwanejko, Henryk Korczyk, Jerzy Krasuski, Waldemar Michowicz, Stanisław Mikos, Stanisław Potocki, Stanisław Sierpowski, Krzysztof Skubiszewski). Wszyscy oni, lub niemal wszyscy istotne znaczenie przywiązywali do rewizjonizmu niemieckiego, który miał się urzeczywistniaćz udziałem lub za pośrednictwem Ligi Narodów. To jeden z istotnych powodów, żedyskusja wokół wstąpienia do niej Niemiec była tak żywa, i tak silnie angażująca skonfliktowane podmioty. </w:t>
      </w:r>
    </w:p>
    <w:p w:rsidR="00BD56B3" w:rsidRDefault="002E17E5" w:rsidP="002E17E5">
      <w:pPr>
        <w:pStyle w:val="Tekstprzypisudolnego"/>
        <w:spacing w:line="360" w:lineRule="auto"/>
        <w:ind w:firstLine="708"/>
        <w:rPr>
          <w:sz w:val="24"/>
          <w:szCs w:val="24"/>
        </w:rPr>
      </w:pPr>
      <w:r w:rsidRPr="003C0842">
        <w:rPr>
          <w:sz w:val="24"/>
          <w:szCs w:val="24"/>
        </w:rPr>
        <w:t>Jeden z ważnych elementów tego procesu przedstawił Henryk Korczyk w publikacjipoświęconej przyjęciu Niemiec i Polski do Rady LN w 1926 r.</w:t>
      </w:r>
      <w:r w:rsidRPr="003C0842">
        <w:rPr>
          <w:rStyle w:val="Odwoanieprzypisudolnego"/>
          <w:rFonts w:ascii="Times New Roman" w:hAnsi="Times New Roman"/>
          <w:sz w:val="24"/>
          <w:szCs w:val="24"/>
        </w:rPr>
        <w:footnoteReference w:id="4"/>
      </w:r>
      <w:r w:rsidRPr="003C0842">
        <w:rPr>
          <w:sz w:val="24"/>
          <w:szCs w:val="24"/>
        </w:rPr>
        <w:t xml:space="preserve">Cechą charakterystyczną na ogół rzetelnego pisarstwa H. Korczyka jest wielka atencja do szczegółów, nieraz nawet luźniej związanych z kwestią tytułową, jak również chwalebna skądinąd troska o wykorzystanie publikowanych źródeł dyplomatycznych. Mniejszą wagę zdaje się przywiązywać do ustaleń literatury przedmiotu, zaiste ogromnej i zgoła niemożliwej do ogarnięcia w przypadku problemu angażującego niemal cały świat. Z drugiej strony </w:t>
      </w:r>
      <w:r w:rsidR="00686EB3" w:rsidRPr="003C0842">
        <w:rPr>
          <w:sz w:val="24"/>
          <w:szCs w:val="24"/>
        </w:rPr>
        <w:t>a</w:t>
      </w:r>
      <w:r w:rsidRPr="003C0842">
        <w:rPr>
          <w:sz w:val="24"/>
          <w:szCs w:val="24"/>
        </w:rPr>
        <w:t>utor zdawał sobie sprawę, że eksponując w tytule książki starania Polski i Niemiec o stałe miejsce w Radzie, dokonał samoograniczenia</w:t>
      </w:r>
      <w:r w:rsidR="00E3740E" w:rsidRPr="003C0842">
        <w:rPr>
          <w:sz w:val="24"/>
          <w:szCs w:val="24"/>
        </w:rPr>
        <w:t>,</w:t>
      </w:r>
      <w:r w:rsidRPr="003C0842">
        <w:rPr>
          <w:sz w:val="24"/>
          <w:szCs w:val="24"/>
        </w:rPr>
        <w:t xml:space="preserve"> niemożliwego do </w:t>
      </w:r>
      <w:r w:rsidR="00E3740E" w:rsidRPr="003C0842">
        <w:rPr>
          <w:sz w:val="24"/>
          <w:szCs w:val="24"/>
        </w:rPr>
        <w:t xml:space="preserve">konsekwentnego </w:t>
      </w:r>
      <w:r w:rsidRPr="003C0842">
        <w:rPr>
          <w:sz w:val="24"/>
          <w:szCs w:val="24"/>
        </w:rPr>
        <w:t xml:space="preserve">stosowania. Słusznie więc nie pomija starań, wręcz walki, innych państw o stałe miejsce w Radzie. Chodziło bowiem o lepszą, mocniejszą pozycję wśród teoretycznie równych członków Ligi. Konsekwencje tych zmagań, </w:t>
      </w:r>
      <w:r w:rsidR="00E3740E" w:rsidRPr="003C0842">
        <w:rPr>
          <w:sz w:val="24"/>
          <w:szCs w:val="24"/>
        </w:rPr>
        <w:t>przede wszystkim</w:t>
      </w:r>
      <w:r w:rsidRPr="003C0842">
        <w:rPr>
          <w:sz w:val="24"/>
          <w:szCs w:val="24"/>
        </w:rPr>
        <w:t>polityczne</w:t>
      </w:r>
      <w:r w:rsidR="00164234" w:rsidRPr="003C0842">
        <w:rPr>
          <w:sz w:val="24"/>
          <w:szCs w:val="24"/>
        </w:rPr>
        <w:t>–</w:t>
      </w:r>
      <w:r w:rsidRPr="003C0842">
        <w:rPr>
          <w:sz w:val="24"/>
          <w:szCs w:val="24"/>
        </w:rPr>
        <w:t xml:space="preserve"> ale</w:t>
      </w:r>
      <w:r w:rsidR="00E3740E" w:rsidRPr="003C0842">
        <w:rPr>
          <w:sz w:val="24"/>
          <w:szCs w:val="24"/>
        </w:rPr>
        <w:t xml:space="preserve">także społeczne </w:t>
      </w:r>
      <w:r w:rsidRPr="003C0842">
        <w:rPr>
          <w:sz w:val="24"/>
          <w:szCs w:val="24"/>
        </w:rPr>
        <w:t>i prestiżowe</w:t>
      </w:r>
      <w:r w:rsidR="00164234" w:rsidRPr="003C0842">
        <w:rPr>
          <w:sz w:val="24"/>
          <w:szCs w:val="24"/>
        </w:rPr>
        <w:t>–</w:t>
      </w:r>
      <w:r w:rsidRPr="003C0842">
        <w:rPr>
          <w:sz w:val="24"/>
          <w:szCs w:val="24"/>
        </w:rPr>
        <w:t xml:space="preserve"> były duże.</w:t>
      </w:r>
    </w:p>
    <w:p w:rsidR="002E17E5" w:rsidRPr="003C0842" w:rsidRDefault="002E17E5" w:rsidP="002E17E5">
      <w:pPr>
        <w:pStyle w:val="Tekstprzypisudolnego"/>
        <w:spacing w:line="360" w:lineRule="auto"/>
        <w:ind w:firstLine="708"/>
        <w:rPr>
          <w:sz w:val="24"/>
          <w:szCs w:val="24"/>
        </w:rPr>
      </w:pPr>
      <w:r w:rsidRPr="003C0842">
        <w:rPr>
          <w:sz w:val="24"/>
          <w:szCs w:val="24"/>
        </w:rPr>
        <w:lastRenderedPageBreak/>
        <w:t>Z natury rzeczy problem zwiększenia liczby członków Ligi w 1926 r. oraz składu Rady wywoływał ogromne zainteresowanie w samych Niemczech. Jego ślady są obecne w bardzo licznych opracowaniach i publicystyce, zwłaszcza z okresu międzywojennego</w:t>
      </w:r>
      <w:r w:rsidRPr="003C0842">
        <w:rPr>
          <w:rStyle w:val="Odwoanieprzypisudolnego"/>
          <w:rFonts w:ascii="Times New Roman" w:hAnsi="Times New Roman"/>
          <w:sz w:val="24"/>
          <w:szCs w:val="24"/>
        </w:rPr>
        <w:footnoteReference w:id="5"/>
      </w:r>
      <w:r w:rsidRPr="003C0842">
        <w:rPr>
          <w:sz w:val="24"/>
          <w:szCs w:val="24"/>
        </w:rPr>
        <w:t>. Wśród opracowań nowszych trwałą wartość zachowuje książka J</w:t>
      </w:r>
      <w:r w:rsidR="00BC32DA" w:rsidRPr="003C0842">
        <w:rPr>
          <w:sz w:val="24"/>
          <w:szCs w:val="24"/>
        </w:rPr>
        <w:t>ü</w:t>
      </w:r>
      <w:r w:rsidRPr="003C0842">
        <w:rPr>
          <w:sz w:val="24"/>
          <w:szCs w:val="24"/>
        </w:rPr>
        <w:t>rgena Spenza, stanowiąca swoisty punkt odniesienia dla kolejnych badaczy zajmujących się akcesją Niemiec do Ligi</w:t>
      </w:r>
      <w:r w:rsidRPr="003C0842">
        <w:rPr>
          <w:rStyle w:val="Odwoanieprzypisudolnego"/>
          <w:rFonts w:ascii="Times New Roman" w:hAnsi="Times New Roman"/>
          <w:sz w:val="24"/>
          <w:szCs w:val="24"/>
        </w:rPr>
        <w:footnoteReference w:id="6"/>
      </w:r>
      <w:r w:rsidRPr="003C0842">
        <w:rPr>
          <w:sz w:val="24"/>
          <w:szCs w:val="24"/>
        </w:rPr>
        <w:t>. Pewne luki, zwłaszcza dotyczące stosunków radziecko-niemieckich, szczególnie w kontekście traktatu przyjaźni z kwietnia 1926 r. wypełniają prace wspomnianego Henryka Korczyka, a takżetakich autorów jak np. Swietłana W. Nikonowa i Rusanna M. Iljuchina</w:t>
      </w:r>
      <w:r w:rsidRPr="003C0842">
        <w:rPr>
          <w:rStyle w:val="Odwoanieprzypisudolnego"/>
          <w:rFonts w:ascii="Times New Roman" w:hAnsi="Times New Roman"/>
          <w:sz w:val="24"/>
          <w:szCs w:val="24"/>
        </w:rPr>
        <w:footnoteReference w:id="7"/>
      </w:r>
      <w:r w:rsidRPr="003C0842">
        <w:rPr>
          <w:sz w:val="24"/>
          <w:szCs w:val="24"/>
        </w:rPr>
        <w:t xml:space="preserve">. </w:t>
      </w:r>
    </w:p>
    <w:p w:rsidR="002E17E5" w:rsidRPr="003C0842" w:rsidRDefault="002E17E5" w:rsidP="002E17E5">
      <w:pPr>
        <w:pStyle w:val="Tekstprzypisudolnego"/>
        <w:spacing w:line="360" w:lineRule="auto"/>
        <w:ind w:firstLine="708"/>
        <w:rPr>
          <w:sz w:val="24"/>
          <w:szCs w:val="24"/>
        </w:rPr>
      </w:pPr>
      <w:r w:rsidRPr="003C0842">
        <w:rPr>
          <w:sz w:val="24"/>
          <w:szCs w:val="24"/>
        </w:rPr>
        <w:t>Najświeższym głosem bada</w:t>
      </w:r>
      <w:r w:rsidR="007B1CB2" w:rsidRPr="003C0842">
        <w:rPr>
          <w:sz w:val="24"/>
          <w:szCs w:val="24"/>
        </w:rPr>
        <w:t>czy niemieckich w sporach odnośn</w:t>
      </w:r>
      <w:r w:rsidRPr="003C0842">
        <w:rPr>
          <w:sz w:val="24"/>
          <w:szCs w:val="24"/>
        </w:rPr>
        <w:t>ie</w:t>
      </w:r>
      <w:r w:rsidR="007B1CB2" w:rsidRPr="003C0842">
        <w:rPr>
          <w:sz w:val="24"/>
          <w:szCs w:val="24"/>
        </w:rPr>
        <w:t xml:space="preserve"> do</w:t>
      </w:r>
      <w:r w:rsidRPr="003C0842">
        <w:rPr>
          <w:sz w:val="24"/>
          <w:szCs w:val="24"/>
        </w:rPr>
        <w:t xml:space="preserve"> admisji</w:t>
      </w:r>
      <w:r w:rsidRPr="003C0842">
        <w:rPr>
          <w:rStyle w:val="Odwoanieprzypisudolnego"/>
          <w:rFonts w:ascii="Times New Roman" w:hAnsi="Times New Roman"/>
          <w:sz w:val="24"/>
          <w:szCs w:val="24"/>
        </w:rPr>
        <w:footnoteReference w:id="8"/>
      </w:r>
      <w:r w:rsidRPr="003C0842">
        <w:rPr>
          <w:sz w:val="24"/>
          <w:szCs w:val="24"/>
        </w:rPr>
        <w:t xml:space="preserve"> Republiki Weimarskiej do Ligi jest obszerna monografia Joachima Wintzera. Dzieło to powstało po rozleglej kwerendzie nie tylko archiwaliów Auswärtiges Amtu, Kancelarii Rzeszy czy kolekcji Bern</w:t>
      </w:r>
      <w:r w:rsidR="00BC32DA" w:rsidRPr="003C0842">
        <w:rPr>
          <w:sz w:val="24"/>
          <w:szCs w:val="24"/>
        </w:rPr>
        <w:t>h</w:t>
      </w:r>
      <w:r w:rsidRPr="003C0842">
        <w:rPr>
          <w:sz w:val="24"/>
          <w:szCs w:val="24"/>
        </w:rPr>
        <w:t>arda von Bülowa, ale również penetracji źródłowych w Genewie, Paryżu, Bernie, Wiedniu. Korzystał również z dokumentacji belgijskiej i polskiej. W książce są podrozdziały pokazujące stanowisko prasy i publicystyki epoki, no i reprezentatywnej literatury, także francuskiej i anglojęzycznej. Są obecni także autorzy polscy</w:t>
      </w:r>
      <w:r w:rsidRPr="003C0842">
        <w:rPr>
          <w:rStyle w:val="Odwoanieprzypisudolnego"/>
          <w:rFonts w:ascii="Times New Roman" w:hAnsi="Times New Roman"/>
          <w:sz w:val="24"/>
          <w:szCs w:val="24"/>
        </w:rPr>
        <w:footnoteReference w:id="9"/>
      </w:r>
      <w:r w:rsidRPr="003C0842">
        <w:rPr>
          <w:sz w:val="24"/>
          <w:szCs w:val="24"/>
        </w:rPr>
        <w:t>. Tylko pozazdrościć możliwości</w:t>
      </w:r>
      <w:r w:rsidR="007B1CB2" w:rsidRPr="003C0842">
        <w:rPr>
          <w:sz w:val="24"/>
          <w:szCs w:val="24"/>
        </w:rPr>
        <w:t>,</w:t>
      </w:r>
      <w:r w:rsidRPr="003C0842">
        <w:rPr>
          <w:sz w:val="24"/>
          <w:szCs w:val="24"/>
        </w:rPr>
        <w:t xml:space="preserve"> jakimi dysponował doktorant Ruprecht-Karls-Universität Heidelberg i pożalić się na skąpstwo NCN, które odmawia finansów na dwumiesięczne pobyt w Genewie, mimo znakomitych rekomendacji, na jakie być możechociaż w części</w:t>
      </w:r>
      <w:r w:rsidR="00E3740E" w:rsidRPr="003C0842">
        <w:rPr>
          <w:sz w:val="24"/>
          <w:szCs w:val="24"/>
        </w:rPr>
        <w:t xml:space="preserve"> autor tej pracy</w:t>
      </w:r>
      <w:r w:rsidRPr="003C0842">
        <w:rPr>
          <w:sz w:val="24"/>
          <w:szCs w:val="24"/>
        </w:rPr>
        <w:t xml:space="preserve">zasłużył. </w:t>
      </w:r>
    </w:p>
    <w:p w:rsidR="002E17E5" w:rsidRPr="003C0842" w:rsidRDefault="002E17E5" w:rsidP="002E17E5">
      <w:pPr>
        <w:pStyle w:val="Tekstprzypisudolnego"/>
        <w:spacing w:line="360" w:lineRule="auto"/>
        <w:ind w:firstLine="708"/>
        <w:rPr>
          <w:sz w:val="24"/>
          <w:szCs w:val="24"/>
        </w:rPr>
      </w:pPr>
      <w:r w:rsidRPr="003C0842">
        <w:rPr>
          <w:sz w:val="24"/>
          <w:szCs w:val="24"/>
        </w:rPr>
        <w:t>Praca J. Wintzera już na etapie maszynopisu powstałego w 1998 r. zyskała uznanie brytyjskiego historyka Jonathana Wrighta w biografii Gustawa Stresemanna z 2002 r.</w:t>
      </w:r>
      <w:r w:rsidRPr="003C0842">
        <w:rPr>
          <w:rStyle w:val="Odwoanieprzypisudolnego"/>
          <w:rFonts w:ascii="Times New Roman" w:hAnsi="Times New Roman"/>
          <w:sz w:val="24"/>
          <w:szCs w:val="24"/>
        </w:rPr>
        <w:footnoteReference w:id="10"/>
      </w:r>
      <w:r w:rsidRPr="003C0842">
        <w:rPr>
          <w:sz w:val="24"/>
          <w:szCs w:val="24"/>
        </w:rPr>
        <w:t xml:space="preserve"> Autora chwali się za przejrzystą, rozbudowaną konstrukcję, klarowne przedstawienie sporów wewnętrznych nie tylko partii politycznych i polityków, ale także ruchów społecznych, a przez to również społeczeństwa (także francuskiego czy brytyjskiego), generalnie żywo </w:t>
      </w:r>
      <w:r w:rsidRPr="003C0842">
        <w:rPr>
          <w:sz w:val="24"/>
          <w:szCs w:val="24"/>
        </w:rPr>
        <w:lastRenderedPageBreak/>
        <w:t>reagujących na spory dotyczące zysków i kosztów związanych z wstąpieniem Niemiec do Ligi. Szczególną wartością książki jest szczegółowe przedstawienie stosunku Niemiec do Ligi oraz Ligi do Niemiec, i to od samego początku, czyli narodzin systemu wersalskiego, poprzez takie brzemienne (dla Ligi, Niemiec, ZSRR i całego układu stosunków europejskich) wydarzeni</w:t>
      </w:r>
      <w:r w:rsidR="00E3740E" w:rsidRPr="003C0842">
        <w:rPr>
          <w:sz w:val="24"/>
          <w:szCs w:val="24"/>
        </w:rPr>
        <w:t>e</w:t>
      </w:r>
      <w:r w:rsidRPr="003C0842">
        <w:rPr>
          <w:sz w:val="24"/>
          <w:szCs w:val="24"/>
        </w:rPr>
        <w:t xml:space="preserve"> jak konferencja w Genui. Na przedstawienie tej kwestii przeznaczono około 50 stron. Kontynuacją chronologiczno-rzeczową tej problematyki były mniej eksponowane w literaturze komplikacje na linii Niemcy</w:t>
      </w:r>
      <w:r w:rsidR="00CE5D8C">
        <w:rPr>
          <w:sz w:val="24"/>
          <w:szCs w:val="24"/>
        </w:rPr>
        <w:t xml:space="preserve"> – </w:t>
      </w:r>
      <w:r w:rsidRPr="003C0842">
        <w:rPr>
          <w:sz w:val="24"/>
          <w:szCs w:val="24"/>
        </w:rPr>
        <w:t>Liga podczas okupacji Zagłębia Ruhry</w:t>
      </w:r>
      <w:r w:rsidRPr="003C0842">
        <w:rPr>
          <w:rStyle w:val="Odwoanieprzypisudolnego"/>
          <w:rFonts w:ascii="Times New Roman" w:hAnsi="Times New Roman"/>
          <w:sz w:val="24"/>
          <w:szCs w:val="24"/>
        </w:rPr>
        <w:footnoteReference w:id="11"/>
      </w:r>
      <w:r w:rsidRPr="003C0842">
        <w:rPr>
          <w:sz w:val="24"/>
          <w:szCs w:val="24"/>
        </w:rPr>
        <w:t xml:space="preserve">. </w:t>
      </w:r>
    </w:p>
    <w:p w:rsidR="002E17E5" w:rsidRPr="003C0842" w:rsidRDefault="002E17E5" w:rsidP="002E17E5">
      <w:pPr>
        <w:pStyle w:val="Tekstprzypisudolnego"/>
        <w:spacing w:line="360" w:lineRule="auto"/>
        <w:ind w:firstLine="708"/>
        <w:rPr>
          <w:sz w:val="24"/>
          <w:szCs w:val="24"/>
        </w:rPr>
      </w:pPr>
      <w:r w:rsidRPr="003C0842">
        <w:rPr>
          <w:sz w:val="24"/>
          <w:szCs w:val="24"/>
        </w:rPr>
        <w:t>Szczegółowe referowanie problemów istotnie ważnych z niemieckiego, ale też powszechnego punktu widzenia, przyczyniło się do tego, że opracowanie J</w:t>
      </w:r>
      <w:r w:rsidR="00183C07" w:rsidRPr="003C0842">
        <w:rPr>
          <w:sz w:val="24"/>
          <w:szCs w:val="24"/>
        </w:rPr>
        <w:t xml:space="preserve">oachima </w:t>
      </w:r>
      <w:r w:rsidRPr="003C0842">
        <w:rPr>
          <w:sz w:val="24"/>
          <w:szCs w:val="24"/>
        </w:rPr>
        <w:t xml:space="preserve">Wintzera jest obszerne, ale jakby niedokończone. Narrację Autor zamyka na lutym 1926 r., kiedy Niemcy złożyły wniosek o wstąpienie do Ligi. Znaczy to, że najbardziej dramatyczny, może nawet najważniejszy, okres w dziejach dyplomacji ześrodkowanej na sprawach genewskich z powodu Niemiec, </w:t>
      </w:r>
      <w:r w:rsidR="00726815" w:rsidRPr="003C0842">
        <w:rPr>
          <w:sz w:val="24"/>
          <w:szCs w:val="24"/>
        </w:rPr>
        <w:t xml:space="preserve">nie </w:t>
      </w:r>
      <w:r w:rsidRPr="003C0842">
        <w:rPr>
          <w:sz w:val="24"/>
          <w:szCs w:val="24"/>
        </w:rPr>
        <w:t xml:space="preserve">został </w:t>
      </w:r>
      <w:r w:rsidR="00726815" w:rsidRPr="003C0842">
        <w:rPr>
          <w:sz w:val="24"/>
          <w:szCs w:val="24"/>
        </w:rPr>
        <w:t>przedstawiony</w:t>
      </w:r>
      <w:r w:rsidRPr="003C0842">
        <w:rPr>
          <w:sz w:val="24"/>
          <w:szCs w:val="24"/>
        </w:rPr>
        <w:t xml:space="preserve">. Nie </w:t>
      </w:r>
      <w:r w:rsidR="00726815" w:rsidRPr="003C0842">
        <w:rPr>
          <w:sz w:val="24"/>
          <w:szCs w:val="24"/>
        </w:rPr>
        <w:t>znaczy to jednak</w:t>
      </w:r>
      <w:r w:rsidRPr="003C0842">
        <w:rPr>
          <w:sz w:val="24"/>
          <w:szCs w:val="24"/>
        </w:rPr>
        <w:t xml:space="preserve">, że zmagania obejmujące okres od lutego do września 1926 r. </w:t>
      </w:r>
      <w:r w:rsidR="00726815" w:rsidRPr="003C0842">
        <w:rPr>
          <w:sz w:val="24"/>
          <w:szCs w:val="24"/>
        </w:rPr>
        <w:t>mogłyby zostać zakwalifikowane jako mniej ważne</w:t>
      </w:r>
      <w:r w:rsidRPr="003C0842">
        <w:rPr>
          <w:sz w:val="24"/>
          <w:szCs w:val="24"/>
        </w:rPr>
        <w:t xml:space="preserve">. </w:t>
      </w:r>
      <w:r w:rsidR="00726815" w:rsidRPr="003C0842">
        <w:rPr>
          <w:sz w:val="24"/>
          <w:szCs w:val="24"/>
        </w:rPr>
        <w:t xml:space="preserve">Wręcz przeciwnie. </w:t>
      </w:r>
      <w:r w:rsidRPr="003C0842">
        <w:rPr>
          <w:sz w:val="24"/>
          <w:szCs w:val="24"/>
        </w:rPr>
        <w:t>Poświęca się im uwagę nie tylko w pracach omawiających działalność samej Ligi, ale także historii powszechnej, pokazującej lub tylko charakteryzującej politykę mocarstw europejskich, państw średnich i mniejszych z Hiszpanią, Polską na czele, ogółu państw Ameryki Łacińskiej i Północnej, Chin</w:t>
      </w:r>
      <w:r w:rsidRPr="003C0842">
        <w:rPr>
          <w:rStyle w:val="Odwoanieprzypisudolnego"/>
          <w:rFonts w:ascii="Times New Roman" w:hAnsi="Times New Roman"/>
          <w:sz w:val="24"/>
          <w:szCs w:val="24"/>
        </w:rPr>
        <w:footnoteReference w:id="12"/>
      </w:r>
      <w:r w:rsidRPr="003C0842">
        <w:rPr>
          <w:sz w:val="24"/>
          <w:szCs w:val="24"/>
        </w:rPr>
        <w:t xml:space="preserve">. Światowy rezonans wywołany toczącymi się wówczas sporami jest – jeśli przyjąć standardy badawcze J. Wintzera – osobnym, i to wielkim tematem badawczym. </w:t>
      </w:r>
    </w:p>
    <w:p w:rsidR="00642A15" w:rsidRPr="003C0842" w:rsidRDefault="002E17E5" w:rsidP="002E17E5">
      <w:pPr>
        <w:pStyle w:val="Tekstprzypisudolnego"/>
        <w:spacing w:line="360" w:lineRule="auto"/>
        <w:ind w:firstLine="708"/>
        <w:rPr>
          <w:sz w:val="24"/>
          <w:szCs w:val="24"/>
        </w:rPr>
      </w:pPr>
      <w:r w:rsidRPr="003C0842">
        <w:rPr>
          <w:sz w:val="24"/>
          <w:szCs w:val="24"/>
        </w:rPr>
        <w:t>Stwierdzenie powyższe nie umniejsza dokonań autorów piszących wcześniej na ten temat (jak wspominany Jurgen Spenz czy Henryk Korczyk), podobnie jak licznych autorów omawiających politykę zagraniczną Republiki Weimarskiej, czy też jej fragmentu związanego z Ligą Narodów. Wśród tych ostatnich mocną pozycję zajmują tacy autorzy</w:t>
      </w:r>
      <w:r w:rsidR="007B1CB2" w:rsidRPr="003C0842">
        <w:rPr>
          <w:sz w:val="24"/>
          <w:szCs w:val="24"/>
        </w:rPr>
        <w:t>,</w:t>
      </w:r>
      <w:r w:rsidRPr="003C0842">
        <w:rPr>
          <w:sz w:val="24"/>
          <w:szCs w:val="24"/>
        </w:rPr>
        <w:t xml:space="preserve"> jak Marshall MacDowell Lee czy Christoph M. Kimmich</w:t>
      </w:r>
      <w:r w:rsidRPr="003C0842">
        <w:rPr>
          <w:rStyle w:val="Odwoanieprzypisudolnego"/>
          <w:rFonts w:ascii="Times New Roman" w:hAnsi="Times New Roman"/>
          <w:sz w:val="24"/>
          <w:szCs w:val="24"/>
        </w:rPr>
        <w:footnoteReference w:id="13"/>
      </w:r>
      <w:r w:rsidRPr="003C0842">
        <w:rPr>
          <w:sz w:val="24"/>
          <w:szCs w:val="24"/>
        </w:rPr>
        <w:t xml:space="preserve">. Podkreślają oni zgodnie, że wejście Niemiec do Ligi dokonało się na warunkach lepszych, podpewnymi względami korzystniejszych niż pozostałych państw z grupy pokonanych. Po prostu na ich obecności w Genewie zależało także samej Lidze jako emanacji państw w niej najsilniejszych, które nie mogły odmówić </w:t>
      </w:r>
      <w:r w:rsidRPr="003C0842">
        <w:rPr>
          <w:sz w:val="24"/>
          <w:szCs w:val="24"/>
        </w:rPr>
        <w:lastRenderedPageBreak/>
        <w:t xml:space="preserve">udziału w pracach nad zmianą oblicza Europy i świata państwu– nadal silnemui ważnemu, leżącemu w samym sercu Europy. </w:t>
      </w:r>
    </w:p>
    <w:p w:rsidR="002E17E5" w:rsidRPr="003C0842" w:rsidRDefault="002E17E5" w:rsidP="002E17E5">
      <w:pPr>
        <w:pStyle w:val="Tekstprzypisudolnego"/>
        <w:spacing w:line="360" w:lineRule="auto"/>
        <w:ind w:firstLine="708"/>
        <w:rPr>
          <w:sz w:val="24"/>
          <w:szCs w:val="24"/>
        </w:rPr>
      </w:pPr>
      <w:r w:rsidRPr="003C0842">
        <w:rPr>
          <w:sz w:val="24"/>
          <w:szCs w:val="24"/>
        </w:rPr>
        <w:t>Kolejne lata, miesiące, w końcu tygodnie utwierdzały opinię międzynarodową w przekonaniu, że bez głosu Berlina nie wchodziło w grę pozytywne rozwiązanie żadnego zwielkich zadań złożonych na barki Ligi. Miała ona przede wszystkim występować w roli:</w:t>
      </w:r>
    </w:p>
    <w:p w:rsidR="00726815" w:rsidRPr="003C0842" w:rsidRDefault="00726815" w:rsidP="002E17E5">
      <w:pPr>
        <w:shd w:val="clear" w:color="auto" w:fill="FFFFFF"/>
        <w:suppressAutoHyphens/>
        <w:spacing w:line="360" w:lineRule="auto"/>
        <w:ind w:right="40" w:firstLine="700"/>
      </w:pPr>
      <w:r w:rsidRPr="003C0842">
        <w:t>1</w:t>
      </w:r>
      <w:r w:rsidR="007B1CB2" w:rsidRPr="003C0842">
        <w:t>) e</w:t>
      </w:r>
      <w:r w:rsidR="002E17E5" w:rsidRPr="003C0842">
        <w:t xml:space="preserve">gzekutora traktatów pokojowych z mandatu traktatów pokojowych; </w:t>
      </w:r>
    </w:p>
    <w:p w:rsidR="002E17E5" w:rsidRPr="003C0842" w:rsidRDefault="002E17E5" w:rsidP="002E17E5">
      <w:pPr>
        <w:shd w:val="clear" w:color="auto" w:fill="FFFFFF"/>
        <w:suppressAutoHyphens/>
        <w:spacing w:line="360" w:lineRule="auto"/>
        <w:ind w:right="40" w:firstLine="700"/>
      </w:pPr>
      <w:r w:rsidRPr="003C0842">
        <w:t>2</w:t>
      </w:r>
      <w:r w:rsidR="007B1CB2" w:rsidRPr="003C0842">
        <w:t>)b</w:t>
      </w:r>
      <w:r w:rsidRPr="003C0842">
        <w:t xml:space="preserve">udowniczego bezpieczeństwa zbiorowego (w tym rozbrojenia); </w:t>
      </w:r>
    </w:p>
    <w:p w:rsidR="002E17E5" w:rsidRPr="003C0842" w:rsidRDefault="00726815" w:rsidP="002E17E5">
      <w:pPr>
        <w:shd w:val="clear" w:color="auto" w:fill="FFFFFF"/>
        <w:suppressAutoHyphens/>
        <w:spacing w:line="360" w:lineRule="auto"/>
        <w:ind w:right="40" w:firstLine="720"/>
      </w:pPr>
      <w:r w:rsidRPr="003C0842">
        <w:t>3</w:t>
      </w:r>
      <w:r w:rsidR="007B1CB2" w:rsidRPr="003C0842">
        <w:t>)a</w:t>
      </w:r>
      <w:r w:rsidR="002E17E5" w:rsidRPr="003C0842">
        <w:t>nimatora i promotora rozwoju współpracy międzynarodowej.</w:t>
      </w:r>
    </w:p>
    <w:p w:rsidR="002E17E5" w:rsidRPr="003C0842" w:rsidRDefault="002E17E5" w:rsidP="002E17E5">
      <w:pPr>
        <w:shd w:val="clear" w:color="auto" w:fill="FFFFFF"/>
        <w:spacing w:line="360" w:lineRule="auto"/>
        <w:ind w:firstLine="720"/>
      </w:pPr>
      <w:r w:rsidRPr="003C0842">
        <w:t>Wątpliwości, aczkolwiek i różnie motywowane obawy o charakter owego zaangażowania</w:t>
      </w:r>
      <w:r w:rsidR="00726815" w:rsidRPr="003C0842">
        <w:t>,</w:t>
      </w:r>
      <w:r w:rsidRPr="003C0842">
        <w:t xml:space="preserve"> wypełniały dyskusje ispory, znajdujące po każdej ze stron trudne do lekceważenia argumenty. Znajdowały one posłuch ogółu własnych obywateli oraz państw znajdujących się zbliżonej sytuacji, by wskazać na zwarty na ogół alians pokonanych w „wielkiej wojnie”. Nierzadko sekundowały im ruchy społeczne o charakterze pacyfistycznym w tym tak reklamowanych, jak Deutsche Liga für Völkerbund</w:t>
      </w:r>
      <w:r w:rsidR="005D3D7A">
        <w:t>,</w:t>
      </w:r>
      <w:r w:rsidR="007B1CB2" w:rsidRPr="003C0842">
        <w:t>czy</w:t>
      </w:r>
      <w:r w:rsidRPr="003C0842">
        <w:t xml:space="preserve"> też tak wpływowych w środowiskach filolig</w:t>
      </w:r>
      <w:r w:rsidRPr="003C0842">
        <w:rPr>
          <w:color w:val="000000"/>
        </w:rPr>
        <w:t>owyc</w:t>
      </w:r>
      <w:r w:rsidRPr="003C0842">
        <w:t>h</w:t>
      </w:r>
      <w:r w:rsidR="007B1CB2" w:rsidRPr="003C0842">
        <w:t>,czy</w:t>
      </w:r>
      <w:r w:rsidR="005D3D7A" w:rsidRPr="005D3D7A">
        <w:rPr>
          <w:b/>
        </w:rPr>
        <w:t>???</w:t>
      </w:r>
      <w:r w:rsidRPr="003C0842">
        <w:t>jak brytyjskie League of Nation Union</w:t>
      </w:r>
      <w:r w:rsidRPr="003C0842">
        <w:rPr>
          <w:rStyle w:val="Odwoanieprzypisudolnego"/>
          <w:rFonts w:ascii="Times New Roman" w:hAnsi="Times New Roman"/>
          <w:sz w:val="24"/>
        </w:rPr>
        <w:footnoteReference w:id="14"/>
      </w:r>
      <w:r w:rsidRPr="003C0842">
        <w:t xml:space="preserve">. </w:t>
      </w:r>
    </w:p>
    <w:p w:rsidR="002E17E5" w:rsidRPr="003C0842" w:rsidRDefault="002E17E5" w:rsidP="002E17E5">
      <w:pPr>
        <w:shd w:val="clear" w:color="auto" w:fill="FFFFFF"/>
        <w:spacing w:line="360" w:lineRule="auto"/>
        <w:ind w:firstLine="720"/>
        <w:rPr>
          <w:i/>
        </w:rPr>
      </w:pPr>
      <w:r w:rsidRPr="003C0842">
        <w:t>Ze środowisk otaczających te ruchy, jak również bardzo licznych o zbliżonym charakterze i profilu społeczno-politycznym (silnych wsparciem własnych rządów, acz z reguły pozbawionych efektywnych wpływów) rozlegały się głosy zachwytu na temat filozofii Ligi oraz ludzi w niej zaangażowanych. To właśnie w pierwszych kilku latach jej istnienia, które nieco prześmiewczo nazywa się „Ligą profesorów”,rozlegały się po świecie (głównie jednak Europie) szczytne hasła o nastaniu nowej ery w historii cywilizacji, przepowiednie o przyjaźnimiędzy narodami, o „dobrostanie” także ludów w koloniach, dzięki utworzeniu systemu mandatowego, nad którym Genewa sprawowała nadzór.Przesłania te znalazły liczne odzwierciedlania w literaturze pokazującej blaski (coraz częściej również cienie) Ligi</w:t>
      </w:r>
      <w:r w:rsidR="007B1CB2" w:rsidRPr="003C0842">
        <w:t>,</w:t>
      </w:r>
      <w:r w:rsidRPr="003C0842">
        <w:t xml:space="preserve"> by odwołać się do tytułu książki Elmera Bendinera </w:t>
      </w:r>
      <w:r w:rsidRPr="003C0842">
        <w:rPr>
          <w:i/>
        </w:rPr>
        <w:t>Czas Aniołów</w:t>
      </w:r>
      <w:r w:rsidRPr="003C0842">
        <w:t xml:space="preserve"> bądź najnowszego opracowania polskiego historyka Wiesława Balceraka </w:t>
      </w:r>
      <w:r w:rsidRPr="003C0842">
        <w:rPr>
          <w:i/>
        </w:rPr>
        <w:t>Liga Nadziei</w:t>
      </w:r>
      <w:r w:rsidRPr="003C0842">
        <w:rPr>
          <w:rStyle w:val="Odwoanieprzypisudolnego"/>
          <w:rFonts w:ascii="Times New Roman" w:hAnsi="Times New Roman"/>
          <w:sz w:val="24"/>
        </w:rPr>
        <w:footnoteReference w:id="15"/>
      </w:r>
      <w:r w:rsidRPr="003C0842">
        <w:rPr>
          <w:i/>
        </w:rPr>
        <w:t>.</w:t>
      </w:r>
    </w:p>
    <w:p w:rsidR="002E17E5" w:rsidRPr="003C0842" w:rsidRDefault="002E17E5" w:rsidP="002E17E5">
      <w:pPr>
        <w:shd w:val="clear" w:color="auto" w:fill="FFFFFF"/>
        <w:spacing w:line="360" w:lineRule="auto"/>
        <w:ind w:firstLine="720"/>
        <w:rPr>
          <w:color w:val="000000"/>
        </w:rPr>
      </w:pPr>
      <w:r w:rsidRPr="003C0842">
        <w:lastRenderedPageBreak/>
        <w:t xml:space="preserve">Chronologia tej pracy, jakkolwiek w tytule dominuje rok 1926, stara się </w:t>
      </w:r>
      <w:r w:rsidR="00A80C9A" w:rsidRPr="003C0842">
        <w:t>uwzg</w:t>
      </w:r>
      <w:r w:rsidR="007B1CB2" w:rsidRPr="003C0842">
        <w:t>lędniać także lata wcześniejsze</w:t>
      </w:r>
      <w:r w:rsidR="00A80C9A" w:rsidRPr="003C0842">
        <w:t xml:space="preserve"> po to</w:t>
      </w:r>
      <w:r w:rsidR="007B1CB2" w:rsidRPr="003C0842">
        <w:t>,</w:t>
      </w:r>
      <w:r w:rsidR="00A80C9A" w:rsidRPr="003C0842">
        <w:t xml:space="preserve"> by </w:t>
      </w:r>
      <w:r w:rsidRPr="003C0842">
        <w:t xml:space="preserve">pokazać proces zbliżania się Niemiec do Ligi. Ma to </w:t>
      </w:r>
      <w:r w:rsidR="00A80C9A" w:rsidRPr="003C0842">
        <w:t xml:space="preserve">też </w:t>
      </w:r>
      <w:r w:rsidRPr="003C0842">
        <w:t xml:space="preserve">uwypuklić zmieniającą się pozycję Niemiec i wpisać ją w </w:t>
      </w:r>
      <w:r w:rsidR="007B1CB2" w:rsidRPr="003C0842">
        <w:t>proces zmian</w:t>
      </w:r>
      <w:r w:rsidRPr="003C0842">
        <w:t xml:space="preserve"> dokonując</w:t>
      </w:r>
      <w:r w:rsidR="00725ED4" w:rsidRPr="003C0842">
        <w:t>y</w:t>
      </w:r>
      <w:r w:rsidRPr="003C0842">
        <w:t xml:space="preserve"> się przez pierwsze lata stawania się instytucji genewskiej. Otwarcie problemu to dyskusje w gronie Wielkiej Trójki podczas konferencji pokojowej oraz sugestie hr. Brockdorff-Rantzaua czynione w połowie 1919 r. w sprawie obecności Niemiec </w:t>
      </w:r>
      <w:r w:rsidR="00725ED4" w:rsidRPr="003C0842">
        <w:t>w</w:t>
      </w:r>
      <w:r w:rsidRPr="003C0842">
        <w:t xml:space="preserve"> Lidze. Po przełomach związanych z okupacją Zagłębia Ruhry, planem Dawesa i postanowieniami lokarneńskimi, Wielka Brytania, a za nią Francja zdecydowały się promować zmianę pozycji międzynarodowej Niemiec. </w:t>
      </w:r>
      <w:r w:rsidRPr="003C0842">
        <w:rPr>
          <w:color w:val="000000"/>
        </w:rPr>
        <w:t>Było to spektakularne, choć formalne zamknięcie zrodzonego przez wojnę światową podziału państw na zwycięskie i pokonane. Rzesza – wopinii własnych obywateli, ale też świata zewnętrznego – powr</w:t>
      </w:r>
      <w:r w:rsidR="00A80C9A" w:rsidRPr="003C0842">
        <w:rPr>
          <w:color w:val="000000"/>
        </w:rPr>
        <w:t>aca</w:t>
      </w:r>
      <w:r w:rsidRPr="003C0842">
        <w:rPr>
          <w:color w:val="000000"/>
        </w:rPr>
        <w:t xml:space="preserve">ła do roli pierwszorzędnego czynnika polityki międzynarodowej, uzyskując stałe miejsce w Radzie LN, obok Wielkiej Brytanii, Francji, Japonii i Włoch. Rozpowszechnionym głosom zadowolenia, nieraz zachwytu z powodu pojawienia się delegacji Niemiec w Genewie towarzyszyły </w:t>
      </w:r>
      <w:r w:rsidR="00A80C9A" w:rsidRPr="003C0842">
        <w:rPr>
          <w:color w:val="000000"/>
        </w:rPr>
        <w:t xml:space="preserve">kontrowersje, </w:t>
      </w:r>
      <w:r w:rsidRPr="003C0842">
        <w:rPr>
          <w:color w:val="000000"/>
        </w:rPr>
        <w:t>obawy i z różną mocą artykułowane wątpliwości: czy było to wzmocnienie, ewentualnie ustabilizowaniewersalskiej struktury, czy też jej osłabienie</w:t>
      </w:r>
      <w:r w:rsidRPr="003C0842">
        <w:rPr>
          <w:rStyle w:val="Odwoanieprzypisudolnego"/>
          <w:rFonts w:ascii="Times New Roman" w:hAnsi="Times New Roman"/>
          <w:color w:val="000000"/>
          <w:sz w:val="24"/>
        </w:rPr>
        <w:footnoteReference w:id="16"/>
      </w:r>
      <w:r w:rsidRPr="003C0842">
        <w:rPr>
          <w:color w:val="000000"/>
        </w:rPr>
        <w:t>.</w:t>
      </w:r>
    </w:p>
    <w:p w:rsidR="00A80C9A" w:rsidRPr="003C0842" w:rsidRDefault="002E17E5" w:rsidP="002E17E5">
      <w:pPr>
        <w:shd w:val="clear" w:color="auto" w:fill="FFFFFF"/>
        <w:spacing w:line="360" w:lineRule="auto"/>
        <w:ind w:firstLine="720"/>
        <w:rPr>
          <w:color w:val="000000"/>
        </w:rPr>
      </w:pPr>
      <w:r w:rsidRPr="003C0842">
        <w:rPr>
          <w:color w:val="000000"/>
        </w:rPr>
        <w:t xml:space="preserve">Włączenie się do trwającej niemal wiek dyskusji zakłada zwrócenie zwiększonej uwagi na Genewę jako szczególny, bardziej obiektywny punkt obserwacyjny trwających wówczas zmagań nie tylko największych i najważniejszych podmiotów ligowej rzeczywistości, ale także państw średnich i mniejszych. Te ostatnie wiosną 1926 r. zwietrzyły szansę zaznaczenia swych partykularnych interesów, z tendencją do wymuszenia zwiększonych wpływów w ligowym mechanizmie. Boje te były poprzedzone nierzadko bolesnymi doświadczeniami rywalizacji francusko-brytyjskiej, rozgrywanej także na forum genewskim, </w:t>
      </w:r>
      <w:r w:rsidR="00A80C9A" w:rsidRPr="003C0842">
        <w:rPr>
          <w:color w:val="000000"/>
        </w:rPr>
        <w:t>będącym przecież</w:t>
      </w:r>
      <w:r w:rsidRPr="003C0842">
        <w:rPr>
          <w:color w:val="000000"/>
        </w:rPr>
        <w:t xml:space="preserve"> „światow</w:t>
      </w:r>
      <w:r w:rsidR="00A80C9A" w:rsidRPr="003C0842">
        <w:rPr>
          <w:color w:val="000000"/>
        </w:rPr>
        <w:t>ym</w:t>
      </w:r>
      <w:r w:rsidRPr="003C0842">
        <w:rPr>
          <w:color w:val="000000"/>
        </w:rPr>
        <w:t xml:space="preserve"> rynk</w:t>
      </w:r>
      <w:r w:rsidR="00A80C9A" w:rsidRPr="003C0842">
        <w:rPr>
          <w:color w:val="000000"/>
        </w:rPr>
        <w:t>iem</w:t>
      </w:r>
      <w:r w:rsidRPr="003C0842">
        <w:rPr>
          <w:color w:val="000000"/>
        </w:rPr>
        <w:t xml:space="preserve"> propagandy”. Najsilniej rezonowały one w kwestii niemieckiej, znajdując takie szczególne precedensy</w:t>
      </w:r>
      <w:r w:rsidR="00725ED4" w:rsidRPr="003C0842">
        <w:rPr>
          <w:color w:val="000000"/>
        </w:rPr>
        <w:t>,</w:t>
      </w:r>
      <w:r w:rsidRPr="003C0842">
        <w:rPr>
          <w:color w:val="000000"/>
        </w:rPr>
        <w:t xml:space="preserve"> jak przyjęcie</w:t>
      </w:r>
      <w:r w:rsidR="00725ED4" w:rsidRPr="003C0842">
        <w:rPr>
          <w:color w:val="000000"/>
        </w:rPr>
        <w:t xml:space="preserve"> Węgier</w:t>
      </w:r>
      <w:r w:rsidRPr="003C0842">
        <w:rPr>
          <w:color w:val="000000"/>
        </w:rPr>
        <w:t xml:space="preserve"> do Ligi (czemu poświęcono sporo uwagi w rozdziale pierwszym), efektywnej aktywności Niemiec w działalności społecznej i humanitarnej (o czym m.in. w rozdziale drugim), by w dwóch </w:t>
      </w:r>
      <w:r w:rsidRPr="003C0842">
        <w:rPr>
          <w:color w:val="000000"/>
        </w:rPr>
        <w:lastRenderedPageBreak/>
        <w:t xml:space="preserve">kolejnych przedstawić najważniejsze kwestie angażujące Genewę w kontekście sporów o miejsce i rolę Niemiec w zmienionej Lidze. </w:t>
      </w:r>
    </w:p>
    <w:p w:rsidR="002E17E5" w:rsidRPr="003C0842" w:rsidRDefault="002E17E5" w:rsidP="002E17E5">
      <w:pPr>
        <w:shd w:val="clear" w:color="auto" w:fill="FFFFFF"/>
        <w:spacing w:line="360" w:lineRule="auto"/>
        <w:ind w:firstLine="720"/>
        <w:rPr>
          <w:color w:val="000000"/>
        </w:rPr>
      </w:pPr>
      <w:r w:rsidRPr="003C0842">
        <w:rPr>
          <w:color w:val="000000"/>
        </w:rPr>
        <w:t>Rachunki zysków i strat musiały uwzględniać kwestie, które znajdowały się wśród generalnych zadań Ligi (wymienionych powyżej), poszerzonych o takie kwestie szczegółowe</w:t>
      </w:r>
      <w:r w:rsidR="00725ED4" w:rsidRPr="003C0842">
        <w:rPr>
          <w:color w:val="000000"/>
        </w:rPr>
        <w:t>,</w:t>
      </w:r>
      <w:r w:rsidRPr="003C0842">
        <w:rPr>
          <w:color w:val="000000"/>
        </w:rPr>
        <w:t xml:space="preserve"> jak ligowy ogląd dokonań wLocarno, stale obecny problem „szachu” niemiecko-rosyjskiego, sporów o obsadę stanowisk w Sekretariacie, kontrowersji na tle ochrony mniejszości narodowych, </w:t>
      </w:r>
      <w:r w:rsidR="00907D45" w:rsidRPr="003C0842">
        <w:rPr>
          <w:color w:val="000000"/>
        </w:rPr>
        <w:t xml:space="preserve">gmatwane od początku kwestie </w:t>
      </w:r>
      <w:r w:rsidRPr="003C0842">
        <w:rPr>
          <w:color w:val="000000"/>
        </w:rPr>
        <w:t xml:space="preserve">rozbrojenia itd. Wszystkie one były zanurzone w rewizjonistycznym sosie, którym karmione były miliony potencjalnych rewindykatorów i nie mniej licznych posesjonatów. Genewa, bardziej niż wcześniej,miała stać się w koncepcji </w:t>
      </w:r>
      <w:r w:rsidRPr="003C0842">
        <w:t>Auswärtiges</w:t>
      </w:r>
      <w:r w:rsidRPr="003C0842">
        <w:rPr>
          <w:color w:val="000000"/>
        </w:rPr>
        <w:t xml:space="preserve"> Amtu wielką areną antysystemowej, antywersalskiej propagandy, z nadzieją na zmiany pod presją mocarstw zajmujących stałe miejsca w Radzie Ligi.</w:t>
      </w:r>
    </w:p>
    <w:p w:rsidR="002E17E5" w:rsidRPr="003C0842" w:rsidRDefault="002E17E5" w:rsidP="002406A9">
      <w:pPr>
        <w:shd w:val="clear" w:color="auto" w:fill="FFFFFF"/>
        <w:spacing w:line="360" w:lineRule="auto"/>
        <w:ind w:firstLine="720"/>
      </w:pPr>
      <w:r w:rsidRPr="003C0842">
        <w:rPr>
          <w:color w:val="000000"/>
        </w:rPr>
        <w:t xml:space="preserve">Świadomość powszechności tego </w:t>
      </w:r>
      <w:r w:rsidR="00907D45" w:rsidRPr="003C0842">
        <w:rPr>
          <w:color w:val="000000"/>
        </w:rPr>
        <w:t>stanu rzeczy</w:t>
      </w:r>
      <w:r w:rsidRPr="003C0842">
        <w:rPr>
          <w:color w:val="000000"/>
        </w:rPr>
        <w:t xml:space="preserve"> uzasadnia tezę, że w</w:t>
      </w:r>
      <w:r w:rsidRPr="003C0842">
        <w:t>ejście Niemiec do Ligi w 1926 r. oddział</w:t>
      </w:r>
      <w:r w:rsidR="00907D45" w:rsidRPr="003C0842">
        <w:t>ało</w:t>
      </w:r>
      <w:r w:rsidRPr="003C0842">
        <w:t xml:space="preserve"> na całą strukturę wersalską. Jest to więc fragment ważny, ale tylko fragment dużego zagadnienia, któremu niezmiennie uwagę poświęca duża grupa badaczy różnych specjalności. Światowej literaturze w tradycyjnej, analogowej formie doszedł ekspansywny konkurent w postaci publikacji elektronicznych. Do Internetu wchodzą materiały źródłowe (najczęściej publikowane dokumenty, wyjątkowo źródła archiwalne), wspomnienia – także z grupy </w:t>
      </w:r>
      <w:r w:rsidRPr="003C0842">
        <w:rPr>
          <w:i/>
        </w:rPr>
        <w:t>oral history</w:t>
      </w:r>
      <w:r w:rsidRPr="003C0842">
        <w:t>, artykuły, nieraz sporej wielkości opracowania, które w dużej części dostępne są bez specjalnych warunków i ograniczeń. Oprócz profesjonalnie zaprogramowanych digitalizacji przez np. Indiana University czy Northwestern Univeristy w sieci dostępna jest wielka ilość powtarzających się, podstawowych informacji na temat Ligi Narodów, przygotowywanych dla dydaktyki na różnych poziomach, w tym internetowych instytucji edukacyjnych. Jest to stosunkowo nowe zjawisko i wielkie wyzwanie dla badaczy, którzy muszą zmierzyć się z dodatkowo ogromną ilością informacji, niemożliwych do lekceważenia. Sytuacja ta, zważywszy na ogromną spuściznę pozostawioną przez samą Ligę</w:t>
      </w:r>
      <w:r w:rsidR="002F11C8" w:rsidRPr="003C0842">
        <w:t xml:space="preserve"> (ponad 2 k</w:t>
      </w:r>
      <w:r w:rsidR="00725ED4" w:rsidRPr="003C0842">
        <w:t>i</w:t>
      </w:r>
      <w:r w:rsidR="005D3D7A">
        <w:t>l</w:t>
      </w:r>
      <w:r w:rsidR="00725ED4" w:rsidRPr="003C0842">
        <w:t>ometry</w:t>
      </w:r>
      <w:r w:rsidR="002F11C8" w:rsidRPr="003C0842">
        <w:t xml:space="preserve"> akt!)</w:t>
      </w:r>
      <w:r w:rsidRPr="003C0842">
        <w:t>, skrupulatnie odnotowującą na tysiącach stron każdy ruch, debatę, rozbieżności czy odmiennie rozłożone akcenty, stawia badaczy w dodatkowo trudnej sytuacji</w:t>
      </w:r>
      <w:r w:rsidR="00E103A9" w:rsidRPr="003C0842">
        <w:rPr>
          <w:rStyle w:val="Odwoanieprzypisudolnego"/>
          <w:rFonts w:ascii="Times New Roman" w:hAnsi="Times New Roman"/>
          <w:sz w:val="24"/>
        </w:rPr>
        <w:footnoteReference w:id="17"/>
      </w:r>
      <w:r w:rsidRPr="003C0842">
        <w:t>. Skoro ogarnięcie źródeł (MSZ każdego z członków Ligi ma własne dossier</w:t>
      </w:r>
      <w:r w:rsidR="002F11C8" w:rsidRPr="003C0842">
        <w:t>)</w:t>
      </w:r>
      <w:r w:rsidRPr="003C0842">
        <w:t xml:space="preserve"> i literatury przedmiotu nie było, nie jest i nie będzie możliwe, zachodzi nieubłagana konieczność dokonywania wyborów. Także w tej książce ograniczono „bibliografię” do źródeł i opracowań, które znalazły się w przypisach. Jest to przy tym jedynie część wykorzystanej literatury przedmiotu, do której odwołuję się w innych pracach </w:t>
      </w:r>
      <w:r w:rsidRPr="003C0842">
        <w:lastRenderedPageBreak/>
        <w:t xml:space="preserve">dotyczących Ligi. Jest tego sporo, skoro zgłębianie jej historii angażuje mnie od kilku dziesięcioleci. </w:t>
      </w:r>
    </w:p>
    <w:p w:rsidR="002E17E5" w:rsidRPr="003C0842" w:rsidRDefault="002E17E5" w:rsidP="002E17E5"/>
    <w:p w:rsidR="002E17E5" w:rsidRPr="003C0842" w:rsidRDefault="002E17E5" w:rsidP="002E17E5"/>
    <w:p w:rsidR="002E17E5" w:rsidRPr="003C0842" w:rsidRDefault="00907D45" w:rsidP="002E17E5">
      <w:pPr>
        <w:pStyle w:val="Tekstprzypisudolnego"/>
        <w:spacing w:line="360" w:lineRule="auto"/>
        <w:ind w:firstLine="708"/>
        <w:rPr>
          <w:i/>
          <w:sz w:val="24"/>
          <w:szCs w:val="24"/>
        </w:rPr>
      </w:pPr>
      <w:r w:rsidRPr="003C0842">
        <w:rPr>
          <w:i/>
          <w:sz w:val="24"/>
          <w:szCs w:val="24"/>
        </w:rPr>
        <w:t xml:space="preserve">Poznań, </w:t>
      </w:r>
      <w:r w:rsidR="008E1791" w:rsidRPr="003C0842">
        <w:rPr>
          <w:i/>
          <w:sz w:val="24"/>
          <w:szCs w:val="24"/>
        </w:rPr>
        <w:t>w lip</w:t>
      </w:r>
      <w:r w:rsidRPr="003C0842">
        <w:rPr>
          <w:i/>
          <w:sz w:val="24"/>
          <w:szCs w:val="24"/>
        </w:rPr>
        <w:t>c</w:t>
      </w:r>
      <w:r w:rsidR="008E1791" w:rsidRPr="003C0842">
        <w:rPr>
          <w:i/>
          <w:sz w:val="24"/>
          <w:szCs w:val="24"/>
        </w:rPr>
        <w:t>u</w:t>
      </w:r>
      <w:r w:rsidRPr="003C0842">
        <w:rPr>
          <w:i/>
          <w:sz w:val="24"/>
          <w:szCs w:val="24"/>
        </w:rPr>
        <w:t xml:space="preserve"> 2013 roku</w:t>
      </w:r>
    </w:p>
    <w:p w:rsidR="00BD56B3" w:rsidRDefault="00BD56B3" w:rsidP="002E17E5">
      <w:pPr>
        <w:pStyle w:val="Tekstprzypisudolnego"/>
        <w:spacing w:line="360" w:lineRule="auto"/>
        <w:ind w:firstLine="708"/>
        <w:rPr>
          <w:sz w:val="24"/>
          <w:szCs w:val="24"/>
        </w:rPr>
      </w:pPr>
    </w:p>
    <w:p w:rsidR="008E1791" w:rsidRPr="003C0842" w:rsidRDefault="002F11C8" w:rsidP="009B122E">
      <w:pPr>
        <w:spacing w:line="360" w:lineRule="auto"/>
      </w:pPr>
      <w:r w:rsidRPr="003C0842">
        <w:t>Po roku od zamknięcia tej pracy</w:t>
      </w:r>
      <w:r w:rsidR="009B122E" w:rsidRPr="003C0842">
        <w:t xml:space="preserve"> i złożenia jej w Wydawnictwie </w:t>
      </w:r>
      <w:r w:rsidRPr="003C0842">
        <w:t>Nauka i Innowacje okazało się, że jednak nie ma środków na jej opublikowanie. Sytuacja jest niekomfortowa w dwójnasób. Sugeruje bowiem, że Polsce nie są potrzebne prace poświęcone historii powszechnej XX w</w:t>
      </w:r>
      <w:r w:rsidR="009B122E" w:rsidRPr="003C0842">
        <w:t>.</w:t>
      </w:r>
      <w:r w:rsidRPr="003C0842">
        <w:t xml:space="preserve">, przygotowane z uwzględnieniem rodzimej eksperiencji badawczej i kulturowej, </w:t>
      </w:r>
      <w:r w:rsidR="008E1791" w:rsidRPr="003C0842">
        <w:t xml:space="preserve">polskiego oglądu </w:t>
      </w:r>
      <w:r w:rsidRPr="003C0842">
        <w:t>na jeden z najważniejszych eksperymentów tego czasu</w:t>
      </w:r>
      <w:r w:rsidR="00F6090A" w:rsidRPr="003C0842">
        <w:t>, z którego wyrosła Organizacja Narodów Zjednoczonych</w:t>
      </w:r>
      <w:r w:rsidRPr="003C0842">
        <w:t xml:space="preserve">. Z jednej strony recenzenci powołani przez Narodowe Centrum Nauki po trzykroć maksymalizują kompetencje dla </w:t>
      </w:r>
      <w:r w:rsidR="00F6090A" w:rsidRPr="003C0842">
        <w:t xml:space="preserve">autora tego opracowania, który </w:t>
      </w:r>
      <w:r w:rsidR="008E1791" w:rsidRPr="003C0842">
        <w:t>wkomponowuje nasze</w:t>
      </w:r>
      <w:r w:rsidRPr="003C0842">
        <w:t xml:space="preserve"> spojrzeni</w:t>
      </w:r>
      <w:r w:rsidR="00F6090A" w:rsidRPr="003C0842">
        <w:t>e</w:t>
      </w:r>
      <w:r w:rsidRPr="003C0842">
        <w:t xml:space="preserve"> na</w:t>
      </w:r>
      <w:r w:rsidR="00F6090A" w:rsidRPr="003C0842">
        <w:t xml:space="preserve"> problemy, nadal i stale budzące zainteresowanie w świecie.Jednak środków na badania archiwalne w Genewie, a w dalszej konsekwencji na publik</w:t>
      </w:r>
      <w:r w:rsidR="008E1791" w:rsidRPr="003C0842">
        <w:t>ację</w:t>
      </w:r>
      <w:r w:rsidR="00F6090A" w:rsidRPr="003C0842">
        <w:t xml:space="preserve"> wyników </w:t>
      </w:r>
      <w:r w:rsidR="008E1791" w:rsidRPr="003C0842">
        <w:t>za</w:t>
      </w:r>
      <w:r w:rsidR="00F6090A" w:rsidRPr="003C0842">
        <w:t>brak</w:t>
      </w:r>
      <w:r w:rsidR="008E1791" w:rsidRPr="003C0842">
        <w:t>ło</w:t>
      </w:r>
      <w:r w:rsidR="00F6090A" w:rsidRPr="003C0842">
        <w:t>.</w:t>
      </w:r>
      <w:r w:rsidR="008E1791" w:rsidRPr="003C0842">
        <w:t xml:space="preserve"> Z żalem, nawet zażenowaniem stwierdziłem, że</w:t>
      </w:r>
      <w:r w:rsidR="00F6090A" w:rsidRPr="003C0842">
        <w:t xml:space="preserve"> w podręcznej bibliotece czytelni </w:t>
      </w:r>
      <w:r w:rsidR="00F6090A" w:rsidRPr="003C0842">
        <w:rPr>
          <w:bCs/>
        </w:rPr>
        <w:t>Archives de la Société des Nations w Genewie</w:t>
      </w:r>
      <w:r w:rsidR="008E1791" w:rsidRPr="003C0842">
        <w:rPr>
          <w:bCs/>
        </w:rPr>
        <w:t>,</w:t>
      </w:r>
      <w:r w:rsidR="00274EC6" w:rsidRPr="003C0842">
        <w:rPr>
          <w:bCs/>
        </w:rPr>
        <w:t xml:space="preserve"> naszą naukę i polski punkt widzenia na sprawy światowego pokoju </w:t>
      </w:r>
      <w:r w:rsidR="008E1791" w:rsidRPr="003C0842">
        <w:rPr>
          <w:bCs/>
        </w:rPr>
        <w:t xml:space="preserve">reprezentuje </w:t>
      </w:r>
      <w:r w:rsidR="00274EC6" w:rsidRPr="003C0842">
        <w:rPr>
          <w:bCs/>
        </w:rPr>
        <w:t xml:space="preserve">dr Miroslaw Gonsiorowski (tak pisany) z drugim tomem opracowania </w:t>
      </w:r>
      <w:r w:rsidR="00274EC6" w:rsidRPr="003C0842">
        <w:rPr>
          <w:bCs/>
          <w:i/>
        </w:rPr>
        <w:t>Société des Nations et problème de la Paix</w:t>
      </w:r>
      <w:r w:rsidR="00274EC6" w:rsidRPr="003C0842">
        <w:rPr>
          <w:bCs/>
        </w:rPr>
        <w:t xml:space="preserve"> wydanej w Paryżu w 1927r.</w:t>
      </w:r>
    </w:p>
    <w:p w:rsidR="002E17E5" w:rsidRPr="003C0842" w:rsidRDefault="00F6090A" w:rsidP="009B122E">
      <w:pPr>
        <w:spacing w:line="360" w:lineRule="auto"/>
      </w:pPr>
      <w:r w:rsidRPr="003C0842">
        <w:t>Odnotow</w:t>
      </w:r>
      <w:r w:rsidR="00D17E83" w:rsidRPr="003C0842">
        <w:t>uję z radością i wdzięcznością</w:t>
      </w:r>
      <w:r w:rsidR="00274EC6" w:rsidRPr="003C0842">
        <w:t xml:space="preserve">zrozumienie dla moich wysiłków badawczych </w:t>
      </w:r>
      <w:r w:rsidR="00D17E83" w:rsidRPr="003C0842">
        <w:t>ze stronydr</w:t>
      </w:r>
      <w:r w:rsidR="009B122E" w:rsidRPr="003C0842">
        <w:t>.</w:t>
      </w:r>
      <w:r w:rsidR="00274EC6" w:rsidRPr="003C0842">
        <w:t xml:space="preserve"> Remigiusz</w:t>
      </w:r>
      <w:r w:rsidR="00D17E83" w:rsidRPr="003C0842">
        <w:t>a</w:t>
      </w:r>
      <w:r w:rsidR="00274EC6" w:rsidRPr="003C0842">
        <w:t xml:space="preserve"> A. Henczel</w:t>
      </w:r>
      <w:r w:rsidR="00D17E83" w:rsidRPr="003C0842">
        <w:t>a</w:t>
      </w:r>
      <w:r w:rsidR="00274EC6" w:rsidRPr="003C0842">
        <w:t xml:space="preserve">, </w:t>
      </w:r>
      <w:r w:rsidR="00D17E83" w:rsidRPr="003C0842">
        <w:t>Stałego</w:t>
      </w:r>
      <w:r w:rsidR="00274EC6" w:rsidRPr="003C0842">
        <w:t xml:space="preserve"> Przedstawiciel</w:t>
      </w:r>
      <w:r w:rsidR="00D17E83" w:rsidRPr="003C0842">
        <w:t>a</w:t>
      </w:r>
      <w:r w:rsidR="00274EC6" w:rsidRPr="003C0842">
        <w:t xml:space="preserve"> RP przy Biurze Narodów Zjednoczonych w Genewie</w:t>
      </w:r>
      <w:r w:rsidR="008E1791" w:rsidRPr="003C0842">
        <w:t>,</w:t>
      </w:r>
      <w:r w:rsidR="00D17E83" w:rsidRPr="003C0842">
        <w:t>który za</w:t>
      </w:r>
      <w:r w:rsidR="00274EC6" w:rsidRPr="003C0842">
        <w:t>ofer</w:t>
      </w:r>
      <w:r w:rsidR="00D17E83" w:rsidRPr="003C0842">
        <w:t>ował</w:t>
      </w:r>
      <w:r w:rsidR="008E1791" w:rsidRPr="003C0842">
        <w:t>znaczny</w:t>
      </w:r>
      <w:r w:rsidR="00274EC6" w:rsidRPr="003C0842">
        <w:t xml:space="preserve"> upust </w:t>
      </w:r>
      <w:r w:rsidR="009B122E" w:rsidRPr="003C0842">
        <w:t>z</w:t>
      </w:r>
      <w:r w:rsidR="00274EC6" w:rsidRPr="003C0842">
        <w:t>a korzystanie z pokoju gościnnego w siedzibie placówki. Istotną pomoc przy</w:t>
      </w:r>
      <w:r w:rsidR="008E1791" w:rsidRPr="003C0842">
        <w:t xml:space="preserve"> publikacji tej książki </w:t>
      </w:r>
      <w:r w:rsidR="00274EC6" w:rsidRPr="003C0842">
        <w:t xml:space="preserve">okazał </w:t>
      </w:r>
      <w:r w:rsidR="008E1791" w:rsidRPr="003C0842">
        <w:t>prof. Józef Dobosz, dyrektor mojego macierzystego Instytut</w:t>
      </w:r>
      <w:r w:rsidR="00C503B1" w:rsidRPr="003C0842">
        <w:t>u</w:t>
      </w:r>
      <w:r w:rsidR="008E1791" w:rsidRPr="003C0842">
        <w:t xml:space="preserve"> Historii UAM.</w:t>
      </w:r>
    </w:p>
    <w:p w:rsidR="009B122E" w:rsidRPr="003C0842" w:rsidRDefault="009B122E" w:rsidP="009B122E">
      <w:pPr>
        <w:spacing w:line="360" w:lineRule="auto"/>
      </w:pPr>
    </w:p>
    <w:p w:rsidR="008E1791" w:rsidRPr="003C0842" w:rsidRDefault="008E1791" w:rsidP="009B122E">
      <w:pPr>
        <w:spacing w:line="360" w:lineRule="auto"/>
        <w:rPr>
          <w:i/>
        </w:rPr>
      </w:pPr>
      <w:r w:rsidRPr="003C0842">
        <w:rPr>
          <w:i/>
        </w:rPr>
        <w:t>Poznań, wewrześniu 2014 roku</w:t>
      </w:r>
    </w:p>
    <w:p w:rsidR="00212B99" w:rsidRPr="003C0842" w:rsidRDefault="00212B99" w:rsidP="00B11B2A">
      <w:pPr>
        <w:spacing w:line="360" w:lineRule="auto"/>
        <w:ind w:firstLine="0"/>
      </w:pPr>
    </w:p>
    <w:p w:rsidR="002E17E5" w:rsidRPr="003C0842" w:rsidRDefault="002E17E5" w:rsidP="00B11B2A">
      <w:pPr>
        <w:spacing w:line="360" w:lineRule="auto"/>
        <w:ind w:firstLine="0"/>
      </w:pPr>
    </w:p>
    <w:p w:rsidR="002E17E5" w:rsidRPr="003C0842" w:rsidRDefault="002E17E5" w:rsidP="00B11B2A">
      <w:pPr>
        <w:spacing w:line="360" w:lineRule="auto"/>
        <w:ind w:firstLine="0"/>
      </w:pPr>
    </w:p>
    <w:p w:rsidR="002406A9" w:rsidRPr="003C0842" w:rsidRDefault="002406A9" w:rsidP="00B11B2A">
      <w:pPr>
        <w:spacing w:line="360" w:lineRule="auto"/>
        <w:ind w:firstLine="0"/>
      </w:pPr>
    </w:p>
    <w:p w:rsidR="002406A9" w:rsidRPr="003C0842" w:rsidRDefault="002406A9" w:rsidP="00B11B2A">
      <w:pPr>
        <w:spacing w:line="360" w:lineRule="auto"/>
        <w:ind w:firstLine="0"/>
      </w:pPr>
    </w:p>
    <w:p w:rsidR="002406A9" w:rsidRPr="003C0842" w:rsidRDefault="002406A9" w:rsidP="00B11B2A">
      <w:pPr>
        <w:spacing w:line="360" w:lineRule="auto"/>
        <w:ind w:firstLine="0"/>
      </w:pPr>
    </w:p>
    <w:p w:rsidR="002E17E5" w:rsidRPr="003C0842" w:rsidRDefault="002E17E5" w:rsidP="00B11B2A">
      <w:pPr>
        <w:spacing w:line="360" w:lineRule="auto"/>
        <w:ind w:firstLine="0"/>
      </w:pPr>
    </w:p>
    <w:p w:rsidR="00E25880" w:rsidRPr="003C0842" w:rsidRDefault="00212B99" w:rsidP="002406A9">
      <w:pPr>
        <w:spacing w:line="360" w:lineRule="auto"/>
        <w:outlineLvl w:val="0"/>
        <w:rPr>
          <w:b/>
        </w:rPr>
      </w:pPr>
      <w:r w:rsidRPr="003C0842">
        <w:rPr>
          <w:b/>
        </w:rPr>
        <w:lastRenderedPageBreak/>
        <w:t>Rozdział I.</w:t>
      </w:r>
      <w:r w:rsidR="00E25880" w:rsidRPr="003C0842">
        <w:rPr>
          <w:b/>
        </w:rPr>
        <w:t>TRUDNE POCZĄTKI</w:t>
      </w:r>
    </w:p>
    <w:p w:rsidR="00B41E36" w:rsidRPr="003C0842" w:rsidRDefault="00B41E36" w:rsidP="002406A9">
      <w:pPr>
        <w:spacing w:line="360" w:lineRule="auto"/>
        <w:outlineLvl w:val="0"/>
        <w:rPr>
          <w:b/>
        </w:rPr>
      </w:pPr>
    </w:p>
    <w:p w:rsidR="00212B99" w:rsidRPr="003C0842" w:rsidRDefault="00E25880" w:rsidP="00111348">
      <w:pPr>
        <w:spacing w:line="360" w:lineRule="auto"/>
        <w:outlineLvl w:val="0"/>
        <w:rPr>
          <w:b/>
        </w:rPr>
      </w:pPr>
      <w:r w:rsidRPr="003C0842">
        <w:rPr>
          <w:b/>
        </w:rPr>
        <w:t>1.</w:t>
      </w:r>
      <w:r w:rsidR="00212B99" w:rsidRPr="003C0842">
        <w:rPr>
          <w:b/>
        </w:rPr>
        <w:t>Twórcy L</w:t>
      </w:r>
      <w:r w:rsidR="001C7A31" w:rsidRPr="003C0842">
        <w:rPr>
          <w:b/>
        </w:rPr>
        <w:t xml:space="preserve">igi </w:t>
      </w:r>
      <w:r w:rsidR="00212B99" w:rsidRPr="003C0842">
        <w:rPr>
          <w:b/>
        </w:rPr>
        <w:t>N</w:t>
      </w:r>
      <w:r w:rsidR="001C7A31" w:rsidRPr="003C0842">
        <w:rPr>
          <w:b/>
        </w:rPr>
        <w:t xml:space="preserve">arodów </w:t>
      </w:r>
      <w:r w:rsidR="00212B99" w:rsidRPr="003C0842">
        <w:rPr>
          <w:b/>
        </w:rPr>
        <w:t>de nomine</w:t>
      </w:r>
    </w:p>
    <w:p w:rsidR="00212B99" w:rsidRPr="003C0842" w:rsidRDefault="00212B99" w:rsidP="00111348">
      <w:pPr>
        <w:spacing w:line="360" w:lineRule="auto"/>
      </w:pPr>
    </w:p>
    <w:p w:rsidR="0056781C" w:rsidRPr="003C0842" w:rsidRDefault="00212B99" w:rsidP="00111348">
      <w:pPr>
        <w:spacing w:line="360" w:lineRule="auto"/>
      </w:pPr>
      <w:r w:rsidRPr="003C0842">
        <w:t>Wojny XIX w</w:t>
      </w:r>
      <w:r w:rsidR="009B122E" w:rsidRPr="003C0842">
        <w:t>.,</w:t>
      </w:r>
      <w:r w:rsidRPr="003C0842">
        <w:t xml:space="preserve"> od hekatomby napoleońskiej poczynając</w:t>
      </w:r>
      <w:r w:rsidR="009B122E" w:rsidRPr="003C0842">
        <w:t>,</w:t>
      </w:r>
      <w:r w:rsidRPr="003C0842">
        <w:t xml:space="preserve"> wzmogły zainteresowanie pokojem jako dobrem powszechnym. Inicjatywy mające ten cel na widoku koncentrowały się w Europie, będącej główną areną rywalizacji międzynarodowej</w:t>
      </w:r>
      <w:r w:rsidR="0056781C" w:rsidRPr="003C0842">
        <w:t>,</w:t>
      </w:r>
      <w:r w:rsidRPr="003C0842">
        <w:t xml:space="preserve"> angażującej największe potęgi. Jakkolwiek wiek XX otwierała wielka wystawa w Paryżu, to jednak znakiem te</w:t>
      </w:r>
      <w:r w:rsidR="0056781C" w:rsidRPr="003C0842">
        <w:t xml:space="preserve">go stulecia stały się </w:t>
      </w:r>
      <w:r w:rsidRPr="003C0842">
        <w:t>Niemcy</w:t>
      </w:r>
      <w:r w:rsidR="0056781C" w:rsidRPr="003C0842">
        <w:t>. Najpierw</w:t>
      </w:r>
      <w:r w:rsidRPr="003C0842">
        <w:t xml:space="preserve"> II Rzesza </w:t>
      </w:r>
      <w:r w:rsidR="0056781C" w:rsidRPr="003C0842">
        <w:t xml:space="preserve">kojarzona </w:t>
      </w:r>
      <w:r w:rsidRPr="003C0842">
        <w:t>z dynamiczn</w:t>
      </w:r>
      <w:r w:rsidR="0056781C" w:rsidRPr="003C0842">
        <w:t>ym rozwojem</w:t>
      </w:r>
      <w:r w:rsidRPr="003C0842">
        <w:t>, obejmując</w:t>
      </w:r>
      <w:r w:rsidR="0056781C" w:rsidRPr="003C0842">
        <w:t>ym</w:t>
      </w:r>
      <w:r w:rsidRPr="003C0842">
        <w:t xml:space="preserve"> wszystkie dziedziny życia gospodarczego, społecznego i politycznego. Niemały udział w tym, trwającym kilka dziesięcioleci</w:t>
      </w:r>
      <w:r w:rsidR="009B122E" w:rsidRPr="003C0842">
        <w:t>, procesie</w:t>
      </w:r>
      <w:r w:rsidRPr="003C0842">
        <w:t xml:space="preserve"> miało zwycięstwo w wojnie z Francją 1870/</w:t>
      </w:r>
      <w:r w:rsidR="009B122E" w:rsidRPr="003C0842">
        <w:t>18</w:t>
      </w:r>
      <w:r w:rsidRPr="003C0842">
        <w:t xml:space="preserve">71. </w:t>
      </w:r>
      <w:r w:rsidR="0056781C" w:rsidRPr="003C0842">
        <w:t>K</w:t>
      </w:r>
      <w:r w:rsidRPr="003C0842">
        <w:t>ontrybucja w wysokości 5 mld franków w złocie miała nie tylko znaczenie gospodarcze, ale nie mniej istotne – moralne i polityczne. Takie wydarzenia</w:t>
      </w:r>
      <w:r w:rsidR="009B122E" w:rsidRPr="003C0842">
        <w:t>,</w:t>
      </w:r>
      <w:r w:rsidRPr="003C0842">
        <w:t xml:space="preserve"> jak obwieszczenie w sali zwierciadlanej Wersalu powstania II Rzeszy, kongres berliński z 1878 r., na którym kanclerz Bismarck wystąpił w roli gospodarza i mediatora między mocarstwami, czy też utworzenie trójprzymierza (1882 r.) z wiodącą rolą Berlina</w:t>
      </w:r>
      <w:r w:rsidR="0056781C" w:rsidRPr="003C0842">
        <w:t>,</w:t>
      </w:r>
      <w:r w:rsidRPr="003C0842">
        <w:t xml:space="preserve"> poświadczały narodziny now</w:t>
      </w:r>
      <w:r w:rsidR="00093E3A" w:rsidRPr="003C0842">
        <w:t>oczesnej</w:t>
      </w:r>
      <w:r w:rsidRPr="003C0842">
        <w:t xml:space="preserve"> potęgi. </w:t>
      </w:r>
    </w:p>
    <w:p w:rsidR="00212B99" w:rsidRPr="003C0842" w:rsidRDefault="00212B99" w:rsidP="00111348">
      <w:pPr>
        <w:spacing w:line="360" w:lineRule="auto"/>
      </w:pPr>
      <w:r w:rsidRPr="003C0842">
        <w:t>Gospodarczej supremacji na „starym kontynencie” towarzyszyło poszukiwanie „lepszego miejsca pod słońcem” rozumianego jako walk</w:t>
      </w:r>
      <w:r w:rsidR="00093E3A" w:rsidRPr="003C0842">
        <w:t>a o nowe źródła surowców i rynki</w:t>
      </w:r>
      <w:r w:rsidRPr="003C0842">
        <w:t xml:space="preserve"> zbytu. Ekspansja szła w kierunku ziem polskich zaboru rosyjskiego i Bałkanów, ale także poza Europę w poszukiwaniu kolonii i obszarów zależnych. Chociaż ten program II Rzeszy wywoływał silne reakcje – wewnętrzne, wśród licznego wychodźstwa, a zwłaszcza innych metropolii, to jednak stopniowo program kolonialny (jako część ekspansji w ogóle) zyskał masowe poparcie</w:t>
      </w:r>
      <w:r w:rsidRPr="003C0842">
        <w:rPr>
          <w:rStyle w:val="Odwoanieprzypisudolnego"/>
          <w:rFonts w:ascii="Times New Roman" w:hAnsi="Times New Roman"/>
          <w:sz w:val="24"/>
        </w:rPr>
        <w:footnoteReference w:id="18"/>
      </w:r>
      <w:r w:rsidRPr="003C0842">
        <w:t>.</w:t>
      </w:r>
    </w:p>
    <w:p w:rsidR="00212B99" w:rsidRPr="003C0842" w:rsidRDefault="00212B99" w:rsidP="00111348">
      <w:pPr>
        <w:spacing w:line="360" w:lineRule="auto"/>
      </w:pPr>
      <w:r w:rsidRPr="003C0842">
        <w:t>Rozmach</w:t>
      </w:r>
      <w:r w:rsidR="009B122E" w:rsidRPr="003C0842">
        <w:t>,</w:t>
      </w:r>
      <w:r w:rsidRPr="003C0842">
        <w:t xml:space="preserve"> z jakim II Rzesza wkraczała do polityki światowej stanowił najważniejsze spoiwo dla zbliżenia francusko-brytyjsko-rosyjskiego i narodzin trójporozumienia. Wprowadzone wówczas do obiegu określenie </w:t>
      </w:r>
      <w:r w:rsidRPr="003C0842">
        <w:rPr>
          <w:i/>
        </w:rPr>
        <w:t>entente cordiale</w:t>
      </w:r>
      <w:r w:rsidRPr="003C0842">
        <w:t xml:space="preserve"> nie było jednak „serdeczne”, ale wyrachowane i egoistyczne. Konflikty między sojusznikami, zwłaszcza Francją i Anglią zostały zmajoryzowane intensywnością i rozległością wielkoniemieckich programów zdobywczych. Suplementarną rolę odegrała rywalizacja między Rosją a Niemcami i Austro-Węgrami o wpływy na Bałkanach i w Turcji. Nabrzmiewający przez lata konflikt eksplodował 28 czerwca 1914 r. z powodu zamachu w Sarajewie na austriackiego następcę </w:t>
      </w:r>
      <w:r w:rsidRPr="003C0842">
        <w:lastRenderedPageBreak/>
        <w:t>tronu arcyksięcia Franciszka Ferdynanda i rozwinął się w wojnę o globalnym zasięgu. Prognozy, że wojna potrwa kilka miesięcy i zakończy się „naszym” (nieraz łatwym) zwycięstwem</w:t>
      </w:r>
      <w:r w:rsidR="009B122E" w:rsidRPr="003C0842">
        <w:t>,</w:t>
      </w:r>
      <w:r w:rsidRPr="003C0842">
        <w:t xml:space="preserve"> okazały się chybione. Trwała ponad 4 lata, pod broń wezwano 70 mln ludzi; poległo lub zmarł</w:t>
      </w:r>
      <w:r w:rsidR="009B122E" w:rsidRPr="003C0842">
        <w:t>o z powodu działań wojennych około</w:t>
      </w:r>
      <w:r w:rsidRPr="003C0842">
        <w:t xml:space="preserve"> 10 mln; 20 mln odniosło rany, z czego 3,5 mln zostało kalekami.</w:t>
      </w:r>
    </w:p>
    <w:p w:rsidR="0087541B" w:rsidRPr="003C0842" w:rsidRDefault="00093E3A" w:rsidP="00111348">
      <w:pPr>
        <w:spacing w:line="360" w:lineRule="auto"/>
      </w:pPr>
      <w:r w:rsidRPr="003C0842">
        <w:t>Z</w:t>
      </w:r>
      <w:r w:rsidR="00212B99" w:rsidRPr="003C0842">
        <w:t>magania z lat 1914</w:t>
      </w:r>
      <w:r w:rsidR="005A5F3B">
        <w:t>-</w:t>
      </w:r>
      <w:r w:rsidR="00212B99" w:rsidRPr="003C0842">
        <w:t>1918</w:t>
      </w:r>
      <w:r w:rsidRPr="003C0842">
        <w:t xml:space="preserve"> zaliczanedo „wielkich” wojen w dziejach cywilizacji </w:t>
      </w:r>
      <w:r w:rsidR="00212B99" w:rsidRPr="003C0842">
        <w:t xml:space="preserve">wyróżnia także zakres i głębia zmian przez nią wywołanych. Na polach bitewnychpojawili się żołnierze różnych ras, wyznań, kultur i kręgów cywilizacyjnych. </w:t>
      </w:r>
      <w:r w:rsidR="0056781C" w:rsidRPr="003C0842">
        <w:t>W krwawych zmaganiach</w:t>
      </w:r>
      <w:r w:rsidR="00212B99" w:rsidRPr="003C0842">
        <w:t>, jakkolwiek nadal zdominowanych wojną pozycyjną, rosnącą rolę taktyczną i psychologiczną odgrywały maszyny – samochody, czołgi, samoloty, okręty podwodne. W slangu pojawili się tzw. ipersi</w:t>
      </w:r>
      <w:r w:rsidR="009B122E" w:rsidRPr="003C0842">
        <w:rPr>
          <w:highlight w:val="cyan"/>
        </w:rPr>
        <w:t>???</w:t>
      </w:r>
      <w:r w:rsidR="00212B99" w:rsidRPr="003C0842">
        <w:t xml:space="preserve"> – żołnierze okaleczeni przez stosowanie gaz</w:t>
      </w:r>
      <w:r w:rsidR="009D3090" w:rsidRPr="003C0842">
        <w:t>ów bojowych – Ypres. Wojna swym</w:t>
      </w:r>
      <w:r w:rsidR="00212B99" w:rsidRPr="003C0842">
        <w:t xml:space="preserve"> totalnym oddziaływaniem objęła też ludność cywilną, która cierpiała nie tylko w rejonach objętych działaniami wojennymi czy przemarszami, ale także z dala od nich poprzez różne ciężary material</w:t>
      </w:r>
      <w:r w:rsidR="009D3090" w:rsidRPr="003C0842">
        <w:t>ne, od podatków po rekwizycje. Dla</w:t>
      </w:r>
      <w:r w:rsidR="00212B99" w:rsidRPr="003C0842">
        <w:t xml:space="preserve"> obsługi frontu w uzbrojenie, sprzęt, żywność itd. </w:t>
      </w:r>
      <w:r w:rsidR="009D3090" w:rsidRPr="003C0842">
        <w:t xml:space="preserve">wyrzeczenia </w:t>
      </w:r>
      <w:r w:rsidR="00212B99" w:rsidRPr="003C0842">
        <w:t>dot</w:t>
      </w:r>
      <w:r w:rsidR="009D3090" w:rsidRPr="003C0842">
        <w:t>ykały</w:t>
      </w:r>
      <w:r w:rsidR="00212B99" w:rsidRPr="003C0842">
        <w:t xml:space="preserve"> wszystkie warstwy społeczne, karmione ersatzami (namiastkami) tak w sensie codziennej konsumpcji, jak i mirażami o charakterze społecznym i politycznym. Zapotrzebowanie na nie rosło w miarę przedłużania się wojny, rosnących ofiar i postępującego zacierania się celów wojny. </w:t>
      </w:r>
    </w:p>
    <w:p w:rsidR="00212B99" w:rsidRPr="003C0842" w:rsidRDefault="00212B99" w:rsidP="00111348">
      <w:pPr>
        <w:spacing w:line="360" w:lineRule="auto"/>
      </w:pPr>
      <w:r w:rsidRPr="003C0842">
        <w:t>Do okopów docierały różnymi drogami (także dzięki zrzutom z samolotów) ulotki i różne informacje mające destabilizować zwartość szeregów i pogłębić wątpliwości. Dotyczyło to szczególnie armii zróżnicowanych pod względem rasowym, a zwłaszcza narodowościowym. Problem te</w:t>
      </w:r>
      <w:r w:rsidR="009D3090" w:rsidRPr="003C0842">
        <w:t>n</w:t>
      </w:r>
      <w:r w:rsidRPr="003C0842">
        <w:t xml:space="preserve"> przybrał szersze, później wręcz groźne rozmiary od 1917 r., po przystąpieniu Stanów Zjednoczonych do wojny i rewolucji w Rosji. Upowszechniany pod flagą obu tych państw program samostanowienia narodów wstrząsnął szczególnie armią </w:t>
      </w:r>
      <w:r w:rsidR="00C503B1" w:rsidRPr="003C0842">
        <w:t>a</w:t>
      </w:r>
      <w:r w:rsidRPr="003C0842">
        <w:t>ustro-</w:t>
      </w:r>
      <w:r w:rsidR="00C503B1" w:rsidRPr="003C0842">
        <w:t>w</w:t>
      </w:r>
      <w:r w:rsidRPr="003C0842">
        <w:t>ęgierską, choć także niemiecką mającą w swym składzie żołnierzy polskich, słowackich, czeskich, duńskich. Wielu z nich hasła dotyczące samostanowienia narodów pojmowa</w:t>
      </w:r>
      <w:r w:rsidR="009D3090" w:rsidRPr="003C0842">
        <w:t>ło</w:t>
      </w:r>
      <w:r w:rsidRPr="003C0842">
        <w:t xml:space="preserve"> dosłownie. Roz</w:t>
      </w:r>
      <w:r w:rsidR="0087541B" w:rsidRPr="003C0842">
        <w:t>szerzająca się</w:t>
      </w:r>
      <w:r w:rsidRPr="003C0842">
        <w:t xml:space="preserve"> wiosną 1918 r. </w:t>
      </w:r>
      <w:r w:rsidR="0087541B" w:rsidRPr="003C0842">
        <w:t xml:space="preserve">epidemia </w:t>
      </w:r>
      <w:r w:rsidRPr="003C0842">
        <w:t>gryp</w:t>
      </w:r>
      <w:r w:rsidR="0087541B" w:rsidRPr="003C0842">
        <w:t>y</w:t>
      </w:r>
      <w:r w:rsidRPr="003C0842">
        <w:t xml:space="preserve"> wzmagała niechęć do zwiększonego ryzyka, potęgując „potajemny strajk wojenny”</w:t>
      </w:r>
      <w:r w:rsidRPr="003C0842">
        <w:rPr>
          <w:rStyle w:val="Odwoanieprzypisudolnego"/>
          <w:rFonts w:ascii="Times New Roman" w:hAnsi="Times New Roman"/>
          <w:sz w:val="24"/>
        </w:rPr>
        <w:footnoteReference w:id="19"/>
      </w:r>
      <w:r w:rsidRPr="003C0842">
        <w:t>.</w:t>
      </w:r>
    </w:p>
    <w:p w:rsidR="00042624" w:rsidRPr="003C0842" w:rsidRDefault="009D3090" w:rsidP="00111348">
      <w:pPr>
        <w:spacing w:line="360" w:lineRule="auto"/>
      </w:pPr>
      <w:r w:rsidRPr="003C0842">
        <w:t>P</w:t>
      </w:r>
      <w:r w:rsidR="00212B99" w:rsidRPr="003C0842">
        <w:t>ropaganda w duchu antywojennym znajdowała chętnych słuchaczy</w:t>
      </w:r>
      <w:r w:rsidR="009B122E" w:rsidRPr="003C0842">
        <w:t>,</w:t>
      </w:r>
      <w:r w:rsidR="00212B99" w:rsidRPr="003C0842">
        <w:t xml:space="preserve"> zwłaszcza wśród grup społecznych i środowisk dotkniętych</w:t>
      </w:r>
      <w:r w:rsidRPr="003C0842">
        <w:t xml:space="preserve"> różnymi </w:t>
      </w:r>
      <w:r w:rsidR="0087541B" w:rsidRPr="003C0842">
        <w:t>stratami – żałobą, rekwizycjami itp.</w:t>
      </w:r>
      <w:r w:rsidRPr="003C0842">
        <w:t xml:space="preserve"> Stale o</w:t>
      </w:r>
      <w:r w:rsidR="00212B99" w:rsidRPr="003C0842">
        <w:t xml:space="preserve">becny w przestrzeni publicznej ruch pacyfistycznyza swoje uznał nie tyle </w:t>
      </w:r>
      <w:r w:rsidRPr="003C0842">
        <w:t xml:space="preserve">bolszewickie </w:t>
      </w:r>
      <w:r w:rsidR="00212B99" w:rsidRPr="003C0842">
        <w:t>hasło „wojna wojnie”</w:t>
      </w:r>
      <w:r w:rsidRPr="003C0842">
        <w:t>,</w:t>
      </w:r>
      <w:r w:rsidR="00212B99" w:rsidRPr="003C0842">
        <w:t xml:space="preserve"> ile ponawiane przez Stany Zjednoczone </w:t>
      </w:r>
      <w:r w:rsidRPr="003C0842">
        <w:t xml:space="preserve">projekty mówiące o </w:t>
      </w:r>
      <w:r w:rsidRPr="003C0842">
        <w:lastRenderedPageBreak/>
        <w:t>poko</w:t>
      </w:r>
      <w:r w:rsidR="00212B99" w:rsidRPr="003C0842">
        <w:t>j</w:t>
      </w:r>
      <w:r w:rsidRPr="003C0842">
        <w:t>u</w:t>
      </w:r>
      <w:r w:rsidR="00212B99" w:rsidRPr="003C0842">
        <w:t>sprawiedliwy</w:t>
      </w:r>
      <w:r w:rsidRPr="003C0842">
        <w:t>m</w:t>
      </w:r>
      <w:r w:rsidR="00212B99" w:rsidRPr="003C0842">
        <w:t>, nieraz nawet bez zwycięzców i zwyciężonych. Prezydent Woodrow Wilson szedł do drugiej tury</w:t>
      </w:r>
      <w:r w:rsidR="00A82177" w:rsidRPr="003C0842">
        <w:t>wyborów</w:t>
      </w:r>
      <w:r w:rsidR="00212B99" w:rsidRPr="003C0842">
        <w:t xml:space="preserve"> w 1916 r. pod sz</w:t>
      </w:r>
      <w:r w:rsidR="00042624" w:rsidRPr="003C0842">
        <w:t>tandarem</w:t>
      </w:r>
      <w:r w:rsidR="00212B99" w:rsidRPr="003C0842">
        <w:t xml:space="preserve"> trwałego pokoju, upowszechnienia demokracji i antykolonializmu. Mówił o tym wielokrotnie, m.in. w orędziu do senatu 22 stycznia 1917 r., kiedy zarysował zasady nowego ładu międzynarodowego opartego na „wspólnocie siły” i „zorganizowanym wspólnym pokoju”. Plany te zostały skonkretyzowane i rozwinięte rok później. W dorocznym orędziu o stanie państwa przedstawił 8 stycznia 1918 r. program powojennego porządku międzynarodowego. </w:t>
      </w:r>
    </w:p>
    <w:p w:rsidR="00212B99" w:rsidRPr="003C0842" w:rsidRDefault="00212B99" w:rsidP="00111348">
      <w:pPr>
        <w:spacing w:line="360" w:lineRule="auto"/>
      </w:pPr>
      <w:r w:rsidRPr="003C0842">
        <w:t>Owe 14 punktów Wilsona to jeden z najbardziej znanych dokumentów politycznych o światowym zasięgu. Powstał on jako kompromis między tym</w:t>
      </w:r>
      <w:r w:rsidR="009B122E" w:rsidRPr="003C0842">
        <w:t>,</w:t>
      </w:r>
      <w:r w:rsidRPr="003C0842">
        <w:t xml:space="preserve"> co oczekiwane przez narody, uwiedzione hasłem pokoju i samostanowienia, a tym</w:t>
      </w:r>
      <w:r w:rsidR="009B122E" w:rsidRPr="003C0842">
        <w:t>,</w:t>
      </w:r>
      <w:r w:rsidRPr="003C0842">
        <w:t xml:space="preserve"> co możliwe do zaakceptowania przez główne państwa Europy. Niektóre szczegółowe punkty programu zawierały formułę kategoryczną – np. ewakuacja Belgii (p. 7), zwrot Alzacji i Lotaryngii (p. 8), inne dotyczące np. losów Cesarstwa Otomańskiego (p. 12), Rosji (p. 6), Austro-Węgier (p. 10), państw bałkańskich (p. 11), czy nawet powstania niezawisłego państwa polskiego (p. 13) miały charakter otwarty, bardziej stawiający problem niż</w:t>
      </w:r>
      <w:r w:rsidR="009E7691" w:rsidRPr="003C0842">
        <w:t>go</w:t>
      </w:r>
      <w:r w:rsidRPr="003C0842">
        <w:t xml:space="preserve"> rozwiąz</w:t>
      </w:r>
      <w:r w:rsidR="009E7691" w:rsidRPr="003C0842">
        <w:t>ujący</w:t>
      </w:r>
      <w:r w:rsidRPr="003C0842">
        <w:t>. Globalny sens projektu amerykańskiego wyziera z kilku punktów zakładających likwidację tajnej dyplomacji (p. 1), wolność mórz i żeglugi (p. 2), zniesienie barier gospodarczych (p. 3), redukcja uzbrojenia (p. 4), uwzględnienie interesów ludów w koloniach (p. 5), a zwłaszcza utworzenie Ligi Narodów jako regulatora współżycia międzynarodowego (p. 14)</w:t>
      </w:r>
      <w:r w:rsidRPr="003C0842">
        <w:rPr>
          <w:rStyle w:val="Odwoanieprzypisudolnego"/>
          <w:rFonts w:ascii="Times New Roman" w:hAnsi="Times New Roman"/>
          <w:sz w:val="24"/>
        </w:rPr>
        <w:footnoteReference w:id="20"/>
      </w:r>
      <w:r w:rsidRPr="003C0842">
        <w:t>.</w:t>
      </w:r>
    </w:p>
    <w:p w:rsidR="00212B99" w:rsidRPr="003C0842" w:rsidRDefault="00212B99" w:rsidP="00111348">
      <w:pPr>
        <w:spacing w:line="360" w:lineRule="auto"/>
      </w:pPr>
      <w:r w:rsidRPr="003C0842">
        <w:t>Up</w:t>
      </w:r>
      <w:r w:rsidR="009E7691" w:rsidRPr="003C0842">
        <w:t>owszechnianie 14 punktów, będących</w:t>
      </w:r>
      <w:r w:rsidRPr="003C0842">
        <w:t xml:space="preserve"> przykładem nowoczesnej propagandy politycznej w </w:t>
      </w:r>
      <w:r w:rsidR="00042624" w:rsidRPr="003C0842">
        <w:t xml:space="preserve">nowym </w:t>
      </w:r>
      <w:r w:rsidRPr="003C0842">
        <w:t xml:space="preserve">stylu, było o tyle ułatwione, że zawierały one kwestie </w:t>
      </w:r>
      <w:r w:rsidR="009E7691" w:rsidRPr="003C0842">
        <w:t>funkcjonujące</w:t>
      </w:r>
      <w:r w:rsidRPr="003C0842">
        <w:t xml:space="preserve"> już w debacie międzynarodowej. </w:t>
      </w:r>
      <w:r w:rsidR="009E7691" w:rsidRPr="003C0842">
        <w:t>Od stycznia</w:t>
      </w:r>
      <w:r w:rsidRPr="003C0842">
        <w:t xml:space="preserve"> 1918 r. toczyła się </w:t>
      </w:r>
      <w:r w:rsidR="009E7691" w:rsidRPr="003C0842">
        <w:t xml:space="preserve">ona </w:t>
      </w:r>
      <w:r w:rsidRPr="003C0842">
        <w:t xml:space="preserve">pod auspicjami prezydenta potężnego państwa, podkreślającego i deklarującego swą bezinteresowność w budowie nowego ładu </w:t>
      </w:r>
      <w:r w:rsidR="009B122E" w:rsidRPr="003C0842">
        <w:t>według</w:t>
      </w:r>
      <w:r w:rsidRPr="003C0842">
        <w:t xml:space="preserve"> kryterium sprawiedliwości. Podszyta idealizmem frazeologia prezydenta Wilsona, uwzględniająca żywe, miejscami żywiołowe reakcje ludów na hasła rozchodzące się z bolszewickiej Rosji, od początku wywoływały zastrzeżenia sojuszników</w:t>
      </w:r>
      <w:r w:rsidRPr="003C0842">
        <w:rPr>
          <w:rStyle w:val="Odwoanieprzypisudolnego"/>
          <w:rFonts w:ascii="Times New Roman" w:hAnsi="Times New Roman"/>
          <w:sz w:val="24"/>
        </w:rPr>
        <w:footnoteReference w:id="21"/>
      </w:r>
      <w:r w:rsidRPr="003C0842">
        <w:t>.</w:t>
      </w:r>
    </w:p>
    <w:p w:rsidR="00212B99" w:rsidRPr="003C0842" w:rsidRDefault="00212B99" w:rsidP="00111348">
      <w:pPr>
        <w:spacing w:line="360" w:lineRule="auto"/>
      </w:pPr>
      <w:r w:rsidRPr="003C0842">
        <w:t xml:space="preserve">W programie amerykańskim ogłoszonym bez wcześniejszych konsultacji </w:t>
      </w:r>
      <w:r w:rsidR="009E7691" w:rsidRPr="003C0842">
        <w:t xml:space="preserve">z Londynem czy Paryżem, nie mówiąc o Rzymie czy Tokio, </w:t>
      </w:r>
      <w:r w:rsidRPr="003C0842">
        <w:t xml:space="preserve">dostrzegano wynoszenie się Stanów Zjednoczonych i </w:t>
      </w:r>
      <w:r w:rsidR="00042624" w:rsidRPr="003C0842">
        <w:t xml:space="preserve">jej </w:t>
      </w:r>
      <w:r w:rsidRPr="003C0842">
        <w:t>prezydenta na uprzywilejowane miejsce – pośrednika, mentora, jedynego sprawiedliwego</w:t>
      </w:r>
      <w:r w:rsidR="009E7691" w:rsidRPr="003C0842">
        <w:t>. Pojawiły się opinie</w:t>
      </w:r>
      <w:r w:rsidRPr="003C0842">
        <w:t>,</w:t>
      </w:r>
      <w:r w:rsidR="009E7691" w:rsidRPr="003C0842">
        <w:t xml:space="preserve"> że jest on</w:t>
      </w:r>
      <w:r w:rsidRPr="003C0842">
        <w:t xml:space="preserve"> got</w:t>
      </w:r>
      <w:r w:rsidR="009E7691" w:rsidRPr="003C0842">
        <w:t>ów</w:t>
      </w:r>
      <w:r w:rsidRPr="003C0842">
        <w:t>,</w:t>
      </w:r>
      <w:r w:rsidR="009E7691" w:rsidRPr="003C0842">
        <w:t xml:space="preserve"> w razie potrzeby</w:t>
      </w:r>
      <w:r w:rsidRPr="003C0842">
        <w:t>,</w:t>
      </w:r>
      <w:r w:rsidR="009E7691" w:rsidRPr="003C0842">
        <w:t xml:space="preserve"> do</w:t>
      </w:r>
      <w:r w:rsidRPr="003C0842">
        <w:t xml:space="preserve"> narzuc</w:t>
      </w:r>
      <w:r w:rsidR="009E7691" w:rsidRPr="003C0842">
        <w:t xml:space="preserve">enia </w:t>
      </w:r>
      <w:r w:rsidR="009E7691" w:rsidRPr="003C0842">
        <w:lastRenderedPageBreak/>
        <w:t>swej</w:t>
      </w:r>
      <w:r w:rsidRPr="003C0842">
        <w:t>wol</w:t>
      </w:r>
      <w:r w:rsidR="009E7691" w:rsidRPr="003C0842">
        <w:t>i</w:t>
      </w:r>
      <w:r w:rsidRPr="003C0842">
        <w:t xml:space="preserve"> w dzi</w:t>
      </w:r>
      <w:r w:rsidR="009E7691" w:rsidRPr="003C0842">
        <w:t xml:space="preserve">ele budowy powszechnego pokoju </w:t>
      </w:r>
      <w:r w:rsidRPr="003C0842">
        <w:t>i demokracji</w:t>
      </w:r>
      <w:r w:rsidR="009E7691" w:rsidRPr="003C0842">
        <w:t>, rozumianej „po amerykańsku”</w:t>
      </w:r>
      <w:r w:rsidRPr="003C0842">
        <w:t>.</w:t>
      </w:r>
      <w:r w:rsidR="00042624" w:rsidRPr="003C0842">
        <w:t>N</w:t>
      </w:r>
      <w:r w:rsidRPr="003C0842">
        <w:t>iepowodzenia na frontach wymusiły uznanie 14 punktów za podstawęrozmów rozejmowych</w:t>
      </w:r>
      <w:r w:rsidR="00042624" w:rsidRPr="003C0842">
        <w:t xml:space="preserve"> także przez rządy państw centralnych.</w:t>
      </w:r>
      <w:r w:rsidRPr="003C0842">
        <w:t xml:space="preserve"> Z prośbą taką do prezydenta Stanów Zjednoczonych wystąpiły 16 września 1918 r. Austro-Węgry i 6 października Niemcy. Był to wielki</w:t>
      </w:r>
      <w:r w:rsidR="005A0D94" w:rsidRPr="003C0842">
        <w:t>, osobisty</w:t>
      </w:r>
      <w:r w:rsidRPr="003C0842">
        <w:t>triumf prezydenta Wilsona i Ameryki</w:t>
      </w:r>
      <w:r w:rsidR="005A0D94" w:rsidRPr="003C0842">
        <w:t xml:space="preserve"> w ogóle. G</w:t>
      </w:r>
      <w:r w:rsidRPr="003C0842">
        <w:t>odził</w:t>
      </w:r>
      <w:r w:rsidR="005A0D94" w:rsidRPr="003C0842">
        <w:t xml:space="preserve"> on</w:t>
      </w:r>
      <w:r w:rsidR="00042624" w:rsidRPr="003C0842">
        <w:t>jednocześnie</w:t>
      </w:r>
      <w:r w:rsidRPr="003C0842">
        <w:t xml:space="preserve"> w autorytet koalicyjnych gremiów, choćby Najwyższej Rady Wojennej.</w:t>
      </w:r>
    </w:p>
    <w:p w:rsidR="00212B99" w:rsidRPr="003C0842" w:rsidRDefault="00212B99" w:rsidP="00111348">
      <w:pPr>
        <w:spacing w:line="360" w:lineRule="auto"/>
      </w:pPr>
      <w:r w:rsidRPr="003C0842">
        <w:t xml:space="preserve">Przeforsowanie przez prezydenta Wilsona amerykańskiego programu pokojowego jako podstawy zawieszenia broni z Austro-Węgrami (3 listopada) i Niemcami (11 listopada 1918 r.) stawiało przed aliantami problem przekształcenia zwycięstwa militarnego w zwycięski pokój. Tymczasem prezydent Wilson, a raczej wyrażający jego poglądy w Europie płk Edward House, odrzucali formułę bezwarunkowej kapitulacji i pełnego zwycięstwa. Po prostu bez Niemiec </w:t>
      </w:r>
      <w:r w:rsidR="009B122E" w:rsidRPr="003C0842">
        <w:t>W</w:t>
      </w:r>
      <w:r w:rsidRPr="003C0842">
        <w:t>ilsonowskie projekty nowego ładu europejskiego i światowego nie były możliwe, nawet teoretycznie. Stąd dość wcześnie ujawniona chęć do możliw</w:t>
      </w:r>
      <w:r w:rsidR="009B122E" w:rsidRPr="003C0842">
        <w:t>i</w:t>
      </w:r>
      <w:r w:rsidRPr="003C0842">
        <w:t>e łagodnego traktowania państw pokonanych. Uwidoczniło się to szczególnie wyraźniew odniesieniu do Niemiec, mających zresztą w Stanach Zjednoczonych wpływowych orędowników. W tym kierunku działała wcale liczna emigracja o niemieckim rodowodzie, z utworzoną w 1919 r. Steuben Society jako tolerowanego przez władze organizatora akcji promujących pozytywny obraz Niemiec i Niemca</w:t>
      </w:r>
      <w:r w:rsidRPr="003C0842">
        <w:rPr>
          <w:rStyle w:val="Odwoanieprzypisudolnego"/>
          <w:rFonts w:ascii="Times New Roman" w:hAnsi="Times New Roman"/>
          <w:sz w:val="24"/>
        </w:rPr>
        <w:footnoteReference w:id="22"/>
      </w:r>
      <w:r w:rsidRPr="003C0842">
        <w:t xml:space="preserve">. </w:t>
      </w:r>
    </w:p>
    <w:p w:rsidR="00212B99" w:rsidRPr="003C0842" w:rsidRDefault="00212B99" w:rsidP="00111348">
      <w:pPr>
        <w:spacing w:line="360" w:lineRule="auto"/>
      </w:pPr>
      <w:r w:rsidRPr="003C0842">
        <w:t>W pluralistycznym społeczeństwie amerykańskim, także z powodu wszechobecnej rywalizacji między demokratami i republikanami, raz po raz, im bliżej końca wojny tym częściej, podnoszona była sprawa odpowiedzialności za wybuch wojny, jej przebieg, finał. Zwłaszcza niechętne prezydentowi Wilsonowi środowiska polityczne wskazywały na p</w:t>
      </w:r>
      <w:r w:rsidR="00545027" w:rsidRPr="003C0842">
        <w:t>r</w:t>
      </w:r>
      <w:r w:rsidRPr="003C0842">
        <w:t>owojenną aktywność innych państw, takich jak Francja czy Rosja. Bywało, że państwa te awansowały do roli głównego lub bezpośredniego sprawcy wojny, której zresztą można było uniknąć, gdyby demokratyczny prezydent Stanów Zjednoczonych okazał się lepszym dyplomatą i sprawniejszym, bardziej zde</w:t>
      </w:r>
      <w:r w:rsidR="00545027" w:rsidRPr="003C0842">
        <w:t xml:space="preserve">cydowanym politykiem. Rozwijane, szczególnie </w:t>
      </w:r>
      <w:r w:rsidRPr="003C0842">
        <w:t xml:space="preserve">w ramach kampanii wyborczej ataki na prezydenta, uzurpującego dla siebie i Partii Demokratycznej decydujący głos w sprawie rozejmu i pokoju z państwami pokonanymi, miały nierzadko brutalny charakter. Nie ustały bynajmniej, kiedy na krótko przed rozejmem w Compiègne demokraci ponieśli klęskę zarówno w wyborach do Senatu, jak i Izby </w:t>
      </w:r>
      <w:r w:rsidRPr="003C0842">
        <w:lastRenderedPageBreak/>
        <w:t>Reprezentantów</w:t>
      </w:r>
      <w:r w:rsidRPr="003C0842">
        <w:rPr>
          <w:rStyle w:val="Odwoanieprzypisudolnego"/>
          <w:rFonts w:ascii="Times New Roman" w:hAnsi="Times New Roman"/>
          <w:sz w:val="24"/>
        </w:rPr>
        <w:footnoteReference w:id="23"/>
      </w:r>
      <w:r w:rsidRPr="003C0842">
        <w:t>. Były prezydent Theodore Roosevelt w komentarzu do powstałej sytuacji uznał, że Wilson przez wynik wyborczy został pozbawiony przywództwa i występowania w imieniu Amerykanów. Składane przez prezydenta różne, liczne deklaracje i oświadczenia „nie mają żadnych podstaw prawnych, aby być utożsamiane z wolą narodu amerykańskiego”</w:t>
      </w:r>
      <w:r w:rsidRPr="003C0842">
        <w:rPr>
          <w:rStyle w:val="Odwoanieprzypisudolnego"/>
          <w:rFonts w:ascii="Times New Roman" w:hAnsi="Times New Roman"/>
          <w:sz w:val="24"/>
        </w:rPr>
        <w:footnoteReference w:id="24"/>
      </w:r>
      <w:r w:rsidRPr="003C0842">
        <w:t>.</w:t>
      </w:r>
    </w:p>
    <w:p w:rsidR="00212B99" w:rsidRPr="003C0842" w:rsidRDefault="005A0D94" w:rsidP="00111348">
      <w:pPr>
        <w:spacing w:line="360" w:lineRule="auto"/>
      </w:pPr>
      <w:r w:rsidRPr="003C0842">
        <w:t>Zawrzało więc</w:t>
      </w:r>
      <w:r w:rsidR="009B122E" w:rsidRPr="003C0842">
        <w:t>,</w:t>
      </w:r>
      <w:r w:rsidRPr="003C0842">
        <w:t xml:space="preserve"> kiedy Biały Dom powiadomił</w:t>
      </w:r>
      <w:r w:rsidR="00212B99" w:rsidRPr="003C0842">
        <w:t xml:space="preserve">, że prezydent Wilson nie tylko będzie przewodniczył delegacji Stanów Zjednoczonych na rozmowy pokojowe, ale też będzie w nich uczestniczył. </w:t>
      </w:r>
      <w:r w:rsidRPr="003C0842">
        <w:t xml:space="preserve">Decyzja to zaskoczyła także jego demokratycznych zwolenników. </w:t>
      </w:r>
      <w:r w:rsidR="00212B99" w:rsidRPr="003C0842">
        <w:t xml:space="preserve">W przeszłości </w:t>
      </w:r>
      <w:r w:rsidRPr="003C0842">
        <w:t>bowiem</w:t>
      </w:r>
      <w:r w:rsidR="00212B99" w:rsidRPr="003C0842">
        <w:t>żaden z urzędujących prezydentów nie opuszczał kraju na dłuższy czas, w tym wypadku konieczny na podróż do Paryża i negocjacje pokojowe. W atmosferze skandalu delegacja Stanów Zjednoczonych wypłynęła 4 grudnia 1918 r. w trwającą ponad dwa tygodnie podróż doEuropy. Prym w krytyce jej składu, obejmującego wyłącznie ludzi z kręgu prezydenta, wiódł Henry Cabot Lodge, przewodniczący Senackiej Komisji Spraw Zagranicznych. Wtórowali mu politycy, którzy jak były prezydent William Taft wspierał Wilsona w niektórych projektach (np. dotyczących utworzenia Ligi Narodów), ale w innych miał wątpliwości lub odmienne zdanie. Monopartyjny skład delegacji Stanów Zjednoczonych na konferencję pokojową uwypuklał ambicje prezydenta Wilsona do osobistego zdyskontowania sukcesu osiągniętego pod jego przywództwem na polach bitew, którego zwieńczeniem miał być pokój ustanawiający nowy ład o globalnym charakterze izasięgu.</w:t>
      </w:r>
    </w:p>
    <w:p w:rsidR="00212B99" w:rsidRPr="003C0842" w:rsidRDefault="00212B99" w:rsidP="00111348">
      <w:pPr>
        <w:spacing w:line="360" w:lineRule="auto"/>
      </w:pPr>
      <w:r w:rsidRPr="003C0842">
        <w:t xml:space="preserve">Plany </w:t>
      </w:r>
      <w:r w:rsidR="005A0D94" w:rsidRPr="003C0842">
        <w:t xml:space="preserve">budowane na </w:t>
      </w:r>
      <w:r w:rsidRPr="003C0842">
        <w:t>przekonani</w:t>
      </w:r>
      <w:r w:rsidR="005A0D94" w:rsidRPr="003C0842">
        <w:t>u</w:t>
      </w:r>
      <w:r w:rsidRPr="003C0842">
        <w:t xml:space="preserve"> o dziejowej misji „Nowego Świata” w zakresie stosunków międzynarodowych rozwijały się także pod wpływem informacji o zgoła nabożnym oczekiwaniu Europejczyków na prezydenta wielkiego, silnego i bogatego kraju</w:t>
      </w:r>
      <w:r w:rsidR="005A0D94" w:rsidRPr="003C0842">
        <w:t>. Wieszczono</w:t>
      </w:r>
      <w:r w:rsidRPr="003C0842">
        <w:t xml:space="preserve"> powszechn</w:t>
      </w:r>
      <w:r w:rsidR="005A0D94" w:rsidRPr="003C0842">
        <w:t>i</w:t>
      </w:r>
      <w:r w:rsidRPr="003C0842">
        <w:t>e</w:t>
      </w:r>
      <w:r w:rsidR="005A0D94" w:rsidRPr="003C0842">
        <w:t>, że</w:t>
      </w:r>
      <w:r w:rsidR="002C3A59" w:rsidRPr="003C0842">
        <w:t xml:space="preserve">formułowane oczekiwania, spory i </w:t>
      </w:r>
      <w:r w:rsidRPr="003C0842">
        <w:t>problemy rozwią</w:t>
      </w:r>
      <w:r w:rsidR="002C3A59" w:rsidRPr="003C0842">
        <w:t>że</w:t>
      </w:r>
      <w:r w:rsidRPr="003C0842">
        <w:t xml:space="preserve"> sprawiedliwie, czy</w:t>
      </w:r>
      <w:r w:rsidR="002C3A59" w:rsidRPr="003C0842">
        <w:t>li po „naszej” myśli. Ź</w:t>
      </w:r>
      <w:r w:rsidRPr="003C0842">
        <w:t xml:space="preserve">ródła z epoki są zgodne, że przyjazd prezydenta Wilsona do Europy oraz poprzedzająca otwarcie konferencji miesięczna podróż z Paryża do Londynu i Rzymu, to pochód w pełni tego słowa triumfalny. Tłumy z entuzjazmem oklaskiwały przybysza </w:t>
      </w:r>
      <w:r w:rsidR="002C3A59" w:rsidRPr="003C0842">
        <w:t>utożsamianego z narodzinami</w:t>
      </w:r>
      <w:r w:rsidRPr="003C0842">
        <w:t xml:space="preserve"> sprawiedliwego, pokojowego i dostatniego świata </w:t>
      </w:r>
      <w:r w:rsidR="002C3A59" w:rsidRPr="003C0842">
        <w:t>organizowanego pod flagą</w:t>
      </w:r>
      <w:r w:rsidRPr="003C0842">
        <w:t xml:space="preserve"> Ligi Narodów. W warunkach dopiero co zakończonej wojny z nadzieją i </w:t>
      </w:r>
      <w:r w:rsidR="00BA44D4" w:rsidRPr="003C0842">
        <w:t>wiarą</w:t>
      </w:r>
      <w:r w:rsidRPr="003C0842">
        <w:t xml:space="preserve"> słuchano zapewnień, że dobrowolny związek </w:t>
      </w:r>
      <w:r w:rsidRPr="003C0842">
        <w:lastRenderedPageBreak/>
        <w:t>wszystkich wolnych narodów jest jedynie słuszną drogą gwarant</w:t>
      </w:r>
      <w:r w:rsidR="002C3A59" w:rsidRPr="003C0842">
        <w:t>ującą</w:t>
      </w:r>
      <w:r w:rsidRPr="003C0842">
        <w:t xml:space="preserve"> pok</w:t>
      </w:r>
      <w:r w:rsidR="002C3A59" w:rsidRPr="003C0842">
        <w:t>ój</w:t>
      </w:r>
      <w:r w:rsidRPr="003C0842">
        <w:t xml:space="preserve">. </w:t>
      </w:r>
      <w:r w:rsidR="002C3A59" w:rsidRPr="003C0842">
        <w:t>R</w:t>
      </w:r>
      <w:r w:rsidRPr="003C0842">
        <w:t>ozbrojeni</w:t>
      </w:r>
      <w:r w:rsidR="002C3A59" w:rsidRPr="003C0842">
        <w:t xml:space="preserve">e </w:t>
      </w:r>
      <w:r w:rsidR="00BA44D4" w:rsidRPr="003C0842">
        <w:t xml:space="preserve">zaś </w:t>
      </w:r>
      <w:r w:rsidR="00164234" w:rsidRPr="003C0842">
        <w:t>–</w:t>
      </w:r>
      <w:r w:rsidR="002C3A59" w:rsidRPr="003C0842">
        <w:t>to nastanie</w:t>
      </w:r>
      <w:r w:rsidRPr="003C0842">
        <w:t xml:space="preserve"> er</w:t>
      </w:r>
      <w:r w:rsidR="002C3A59" w:rsidRPr="003C0842">
        <w:t>y</w:t>
      </w:r>
      <w:r w:rsidRPr="003C0842">
        <w:t xml:space="preserve"> powszechnego bezpieczeństwa</w:t>
      </w:r>
      <w:r w:rsidR="002C3A59" w:rsidRPr="003C0842">
        <w:t>,</w:t>
      </w:r>
      <w:r w:rsidRPr="003C0842">
        <w:t xml:space="preserve"> umożliwiającego współpracę </w:t>
      </w:r>
      <w:r w:rsidR="00BA44D4" w:rsidRPr="003C0842">
        <w:t xml:space="preserve">równych sobie </w:t>
      </w:r>
      <w:r w:rsidRPr="003C0842">
        <w:t>państw</w:t>
      </w:r>
      <w:r w:rsidR="00BA44D4" w:rsidRPr="003C0842">
        <w:t>.To także gwarancja dobrych</w:t>
      </w:r>
      <w:r w:rsidRPr="003C0842">
        <w:t xml:space="preserve"> warunk</w:t>
      </w:r>
      <w:r w:rsidR="002C3A59" w:rsidRPr="003C0842">
        <w:t>ów</w:t>
      </w:r>
      <w:r w:rsidRPr="003C0842">
        <w:t xml:space="preserve"> życia </w:t>
      </w:r>
      <w:r w:rsidR="002C3A59" w:rsidRPr="003C0842">
        <w:t>ludzkości i każdego z osobna.</w:t>
      </w:r>
    </w:p>
    <w:p w:rsidR="00212B99" w:rsidRPr="003C0842" w:rsidRDefault="00212B99" w:rsidP="00111348">
      <w:pPr>
        <w:spacing w:line="360" w:lineRule="auto"/>
      </w:pPr>
      <w:r w:rsidRPr="003C0842">
        <w:t xml:space="preserve">Wielką popularność zdobył też Wilson w krajach pokonanych. </w:t>
      </w:r>
      <w:r w:rsidR="002C3A59" w:rsidRPr="003C0842">
        <w:t>W sposób charakterystyczny pisał</w:t>
      </w:r>
      <w:r w:rsidRPr="003C0842">
        <w:t xml:space="preserve"> o tym na łamach „New York Times” hrabia Johan</w:t>
      </w:r>
      <w:r w:rsidR="00936E4D" w:rsidRPr="003C0842">
        <w:t xml:space="preserve">nvon </w:t>
      </w:r>
      <w:r w:rsidRPr="003C0842">
        <w:t>Bernstorff, były ambasador niemiecki w Stanach Zjednoczonych. Jego opinię dziennik opatrzył wielkim tytułem podkreślając</w:t>
      </w:r>
      <w:r w:rsidR="002C3A59" w:rsidRPr="003C0842">
        <w:t>ym</w:t>
      </w:r>
      <w:r w:rsidRPr="003C0842">
        <w:t>, że</w:t>
      </w:r>
      <w:r w:rsidR="002C3A59" w:rsidRPr="003C0842">
        <w:t xml:space="preserve"> dyplomata niemiecki</w:t>
      </w:r>
      <w:r w:rsidRPr="003C0842">
        <w:t xml:space="preserve"> opowiada się jednoznacznie za pokojem zgodnym z planami prezydenta Wilsona z Ligą Narodów na czele. Hrabia </w:t>
      </w:r>
      <w:r w:rsidR="00936E4D" w:rsidRPr="003C0842">
        <w:t xml:space="preserve">von </w:t>
      </w:r>
      <w:r w:rsidRPr="003C0842">
        <w:t>Bernstorff też miał nadzieję na sprawiedliwy pokój możliwy do zaprowadzenia właśnie z „wilsonowską Ligą” likwidującą militaryzm. Oświadczenie to nabierało znaczenia przez fakt powołania się na konsultacje z ministrem</w:t>
      </w:r>
      <w:r w:rsidR="00936E4D" w:rsidRPr="003C0842">
        <w:t xml:space="preserve"> spraw zagranicznych Ulrichem von Brockdorff</w:t>
      </w:r>
      <w:r w:rsidRPr="003C0842">
        <w:t>-Rantzauem oraz innymi wysokimi urzędnikami niemieckiego MSZ. Czytelnik dowiadywał się również, że to właśnie hr</w:t>
      </w:r>
      <w:r w:rsidR="00D1597B" w:rsidRPr="003C0842">
        <w:t>.</w:t>
      </w:r>
      <w:r w:rsidRPr="003C0842">
        <w:t xml:space="preserve"> Bernstorff był wśród tych polityków niemieckich, którzy pracowali nad szczegółami niemieckich propozycji pokojowych. </w:t>
      </w:r>
    </w:p>
    <w:p w:rsidR="00212B99" w:rsidRPr="003C0842" w:rsidRDefault="00322719" w:rsidP="00111348">
      <w:pPr>
        <w:spacing w:line="360" w:lineRule="auto"/>
      </w:pPr>
      <w:r w:rsidRPr="003C0842">
        <w:t>P</w:t>
      </w:r>
      <w:r w:rsidR="00212B99" w:rsidRPr="003C0842">
        <w:t xml:space="preserve">isemna wypowiedź </w:t>
      </w:r>
      <w:r w:rsidRPr="003C0842">
        <w:t>hr</w:t>
      </w:r>
      <w:r w:rsidR="00936E4D" w:rsidRPr="003C0842">
        <w:t>.</w:t>
      </w:r>
      <w:r w:rsidRPr="003C0842">
        <w:t xml:space="preserve"> Bernstorffa </w:t>
      </w:r>
      <w:r w:rsidR="00212B99" w:rsidRPr="003C0842">
        <w:t xml:space="preserve">na </w:t>
      </w:r>
      <w:r w:rsidR="00BA44D4" w:rsidRPr="003C0842">
        <w:t xml:space="preserve">pytania </w:t>
      </w:r>
      <w:r w:rsidR="00212B99" w:rsidRPr="003C0842">
        <w:t>Agencj</w:t>
      </w:r>
      <w:r w:rsidR="00BA44D4" w:rsidRPr="003C0842">
        <w:t>i</w:t>
      </w:r>
      <w:r w:rsidR="00212B99" w:rsidRPr="003C0842">
        <w:t xml:space="preserve"> Associated Press </w:t>
      </w:r>
      <w:r w:rsidR="00BA44D4" w:rsidRPr="003C0842">
        <w:t>wiązała się z</w:t>
      </w:r>
      <w:r w:rsidR="00212B99" w:rsidRPr="003C0842">
        <w:t xml:space="preserve"> rozpoczęty</w:t>
      </w:r>
      <w:r w:rsidR="00BA44D4" w:rsidRPr="003C0842">
        <w:t>mi</w:t>
      </w:r>
      <w:r w:rsidR="00212B99" w:rsidRPr="003C0842">
        <w:t xml:space="preserve"> właśnie w Paryżu</w:t>
      </w:r>
      <w:r w:rsidR="00BA44D4" w:rsidRPr="003C0842">
        <w:t xml:space="preserve"> negocjacjami</w:t>
      </w:r>
      <w:r w:rsidR="00212B99" w:rsidRPr="003C0842">
        <w:t xml:space="preserve"> nad układem pokojowym. W istocie </w:t>
      </w:r>
      <w:r w:rsidRPr="003C0842">
        <w:t xml:space="preserve">popularyzował on </w:t>
      </w:r>
      <w:r w:rsidR="00212B99" w:rsidRPr="003C0842">
        <w:t xml:space="preserve">bardzo rozpowszechnioną wówczas wśród Niemców i państw pokonanych nadzieję na pokój, </w:t>
      </w:r>
      <w:r w:rsidRPr="003C0842">
        <w:t xml:space="preserve">oparty na </w:t>
      </w:r>
      <w:r w:rsidR="00212B99" w:rsidRPr="003C0842">
        <w:t>orędzi</w:t>
      </w:r>
      <w:r w:rsidRPr="003C0842">
        <w:t>u</w:t>
      </w:r>
      <w:r w:rsidR="00212B99" w:rsidRPr="003C0842">
        <w:t xml:space="preserve"> prezydenta Wilsona do kongresu 8 stycznia 1918 r. Na pierwszym miejscu stanął projekt utworzenia Ligi Narodów, który spotkał się w Niemczech z nadzwyczajnie pozytywnym odzewem, o czym miało świadczyć powstanie German League of Nations Society. Liderzy niemieckiego życia narodowego byli też przekonani</w:t>
      </w:r>
      <w:r w:rsidR="00D1597B" w:rsidRPr="003C0842">
        <w:t>,</w:t>
      </w:r>
      <w:r w:rsidR="00212B99" w:rsidRPr="003C0842">
        <w:t xml:space="preserve"> „że nic innego, tylko Liga wolnych i równych narodów” może wyeliminować imperializm i stworzyć w przyszłości nowy porządek na świecie. Niemcy oczek</w:t>
      </w:r>
      <w:r w:rsidRPr="003C0842">
        <w:t xml:space="preserve">iwali </w:t>
      </w:r>
      <w:r w:rsidR="00212B99" w:rsidRPr="003C0842">
        <w:t xml:space="preserve">na Ligę i przymusowy arbitraż w przekonaniu, że jedynie oparty </w:t>
      </w:r>
      <w:r w:rsidR="00D1597B" w:rsidRPr="003C0842">
        <w:t xml:space="preserve">na </w:t>
      </w:r>
      <w:r w:rsidR="00212B99" w:rsidRPr="003C0842">
        <w:t>now</w:t>
      </w:r>
      <w:r w:rsidR="00D1597B" w:rsidRPr="003C0842">
        <w:t>ych</w:t>
      </w:r>
      <w:r w:rsidR="00212B99" w:rsidRPr="003C0842">
        <w:t xml:space="preserve"> zasad</w:t>
      </w:r>
      <w:r w:rsidR="00D1597B" w:rsidRPr="003C0842">
        <w:t>ach</w:t>
      </w:r>
      <w:r w:rsidR="00212B99" w:rsidRPr="003C0842">
        <w:t xml:space="preserve"> pokój może otworzyć widoki na przyszłość. Nie </w:t>
      </w:r>
      <w:r w:rsidRPr="003C0842">
        <w:t xml:space="preserve">było </w:t>
      </w:r>
      <w:r w:rsidR="00212B99" w:rsidRPr="003C0842">
        <w:t>więc trudności z pełną aprobatą pierwszych trzech punktów z programu prezydenta Wilsona.</w:t>
      </w:r>
    </w:p>
    <w:p w:rsidR="00212B99" w:rsidRPr="003C0842" w:rsidRDefault="00212B99" w:rsidP="00111348">
      <w:pPr>
        <w:spacing w:line="360" w:lineRule="auto"/>
      </w:pPr>
      <w:r w:rsidRPr="003C0842">
        <w:t>W kontekście p. 4 hrabia Bernstorff wspomniał, że Niemcy chcą likwidacji obowiązkowej służby wojskowej, która była wcześniej kamieniem węgielnym ich pozycji w Europie. Kwestie kolonialne postawione w p. 5 prezydenckiego orędzia i zaakceptowane przez rządy Ententy zostały powitane w Niemczech z nadzieją na dyskusję na ten temat – zgodnie z duchem wcześniejszych wypowiedzi prezydenta Wilsona. Deklaracji „całkowitej bezinteresowności” w sprawach dotyczących Rosji towarzyszył sprzeciw na rozprzestrzenianie się bolszewizmu na inne państwa. Niemcy „są przygotowani” do zapłaty za wszystkie szkody wyrządzone ludności cywilnej Belgii</w:t>
      </w:r>
      <w:r w:rsidR="00D1597B" w:rsidRPr="003C0842">
        <w:t>,</w:t>
      </w:r>
      <w:r w:rsidRPr="003C0842">
        <w:t xml:space="preserve"> jeśli zostały dowiedzione, że </w:t>
      </w:r>
      <w:r w:rsidRPr="003C0842">
        <w:lastRenderedPageBreak/>
        <w:t xml:space="preserve">powstały one w wyniku „niemieckiej agresji”. Kwestia ta podniesiona w p. 7 dotyczyła także ziem na północy Francji. Już jednak problemy związane z innymi przesunięciami granicy, czy to z Francją, czy z Włochami miały wiązać się z wolą mieszkańców. Zasada samookreślenia wydawała się hr. Bernstorffowi najodpowiedniejsza dla rozwiązania przyszłości byłej monarchii </w:t>
      </w:r>
      <w:r w:rsidR="00936E4D" w:rsidRPr="003C0842">
        <w:t>a</w:t>
      </w:r>
      <w:r w:rsidRPr="003C0842">
        <w:t>ustro-</w:t>
      </w:r>
      <w:r w:rsidR="00936E4D" w:rsidRPr="003C0842">
        <w:t>w</w:t>
      </w:r>
      <w:r w:rsidRPr="003C0842">
        <w:t>ęgierskiej oraz ludów na Półwyspie Bałkańskim i Turcji. Ogólnie tylko wypowiedział się w sprawie art. 13, gdyż jak zauważył redaktor Associated Press, jeśliby zaspokoić ambicje terytorialne Polaków</w:t>
      </w:r>
      <w:r w:rsidR="00D1597B" w:rsidRPr="003C0842">
        <w:t>,</w:t>
      </w:r>
      <w:r w:rsidRPr="003C0842">
        <w:t xml:space="preserve"> to miałyby one „groźny charakter”</w:t>
      </w:r>
      <w:r w:rsidR="00D1597B" w:rsidRPr="003C0842">
        <w:t>,</w:t>
      </w:r>
      <w:r w:rsidRPr="003C0842">
        <w:t xml:space="preserve"> gdyż Prusy Wschodnie musiałyby zostać odłączone od reszty imperium. </w:t>
      </w:r>
    </w:p>
    <w:p w:rsidR="00212B99" w:rsidRPr="003C0842" w:rsidRDefault="00212B99" w:rsidP="00111348">
      <w:pPr>
        <w:spacing w:line="360" w:lineRule="auto"/>
      </w:pPr>
      <w:r w:rsidRPr="003C0842">
        <w:t>Hrabia Bernstorff uchylił się od opinii w sprawach terytorialnych rozważanych przez konferencję pokojową</w:t>
      </w:r>
      <w:r w:rsidR="00D1597B" w:rsidRPr="003C0842">
        <w:t>,</w:t>
      </w:r>
      <w:r w:rsidRPr="003C0842">
        <w:t xml:space="preserve"> podkreślając, że Niemcy całkowicie polegają na treści p. 2 </w:t>
      </w:r>
      <w:r w:rsidR="001C7A31" w:rsidRPr="003C0842">
        <w:t>wypowiedzi</w:t>
      </w:r>
      <w:r w:rsidRPr="003C0842">
        <w:t xml:space="preserve"> Wilsona w Mount-Vernon: zasadniczą podstawą rozstrzygania tych spraw jest wola „bezpośrednio zainteresowanych. Zaiste pokój i panowanie prawa zakłada, że pod auspicjami Ligi Narodów i z jej gwarancjami zasada samostanowienia będzie ważniejsza od wszelkich kwestii terytorialnych”.</w:t>
      </w:r>
    </w:p>
    <w:p w:rsidR="00212B99" w:rsidRPr="003C0842" w:rsidRDefault="00212B99" w:rsidP="00111348">
      <w:pPr>
        <w:spacing w:line="360" w:lineRule="auto"/>
      </w:pPr>
      <w:r w:rsidRPr="003C0842">
        <w:t>Postawiona na koniec kwestia winy za wojnę powinna być rozpatrzona – zdaniem rządu niemieckiego (</w:t>
      </w:r>
      <w:r w:rsidR="00322719" w:rsidRPr="003C0842">
        <w:t>hr</w:t>
      </w:r>
      <w:r w:rsidR="00D1597B" w:rsidRPr="003C0842">
        <w:t>.</w:t>
      </w:r>
      <w:r w:rsidR="00322719" w:rsidRPr="003C0842">
        <w:t xml:space="preserve"> Bernstorff</w:t>
      </w:r>
      <w:r w:rsidRPr="003C0842">
        <w:t>powoływał się na jego zdanie tylko w tej kwestii) – przez neutralną komisję. Tylko takie rozwiązanie wydaje się jedynie słuszne. Naród niemiecki w ogromnej większości nie czuje się winny, chociaż trudno zaprzeczyć, że mogły zdarzać się pomyłki (</w:t>
      </w:r>
      <w:r w:rsidRPr="003C0842">
        <w:rPr>
          <w:i/>
        </w:rPr>
        <w:t>not deny that mistaks were made</w:t>
      </w:r>
      <w:r w:rsidRPr="003C0842">
        <w:t>)</w:t>
      </w:r>
      <w:r w:rsidRPr="003C0842">
        <w:rPr>
          <w:rStyle w:val="Odwoanieprzypisudolnego"/>
          <w:rFonts w:ascii="Times New Roman" w:hAnsi="Times New Roman"/>
          <w:sz w:val="24"/>
        </w:rPr>
        <w:footnoteReference w:id="25"/>
      </w:r>
      <w:r w:rsidRPr="003C0842">
        <w:t>.</w:t>
      </w:r>
    </w:p>
    <w:p w:rsidR="00212B99" w:rsidRPr="003C0842" w:rsidRDefault="00212B99" w:rsidP="00111348">
      <w:pPr>
        <w:spacing w:line="360" w:lineRule="auto"/>
      </w:pPr>
      <w:r w:rsidRPr="003C0842">
        <w:t>W ogólnoeuropejskiej, populistycznej erupcji „wilsonizmu” próżno szukać liderów zwycięskich państw, którzy nagle, także we własnych państwach</w:t>
      </w:r>
      <w:r w:rsidR="002C3A59" w:rsidRPr="003C0842">
        <w:t>,</w:t>
      </w:r>
      <w:r w:rsidRPr="003C0842">
        <w:t xml:space="preserve"> znaleźli się w cieniu o</w:t>
      </w:r>
      <w:r w:rsidR="002C3A59" w:rsidRPr="003C0842">
        <w:t>soby</w:t>
      </w:r>
      <w:r w:rsidRPr="003C0842">
        <w:t xml:space="preserve"> ekscytujące</w:t>
      </w:r>
      <w:r w:rsidR="002C3A59" w:rsidRPr="003C0842">
        <w:t>j</w:t>
      </w:r>
      <w:r w:rsidRPr="003C0842">
        <w:t xml:space="preserve"> tłumy. Z</w:t>
      </w:r>
      <w:r w:rsidR="002C3A59" w:rsidRPr="003C0842">
        <w:t xml:space="preserve"> niepokojem też odnotowywali </w:t>
      </w:r>
      <w:r w:rsidRPr="003C0842">
        <w:t xml:space="preserve">trwanie Wilsona przy poglądach i planach </w:t>
      </w:r>
      <w:r w:rsidR="00322719" w:rsidRPr="003C0842">
        <w:t xml:space="preserve">wypowiadanych podczas </w:t>
      </w:r>
      <w:r w:rsidRPr="003C0842">
        <w:t>wojn</w:t>
      </w:r>
      <w:r w:rsidR="00322719" w:rsidRPr="003C0842">
        <w:t>y</w:t>
      </w:r>
      <w:r w:rsidRPr="003C0842">
        <w:t xml:space="preserve">, </w:t>
      </w:r>
      <w:r w:rsidR="00322719" w:rsidRPr="003C0842">
        <w:t>kiedy w grę wchodziła</w:t>
      </w:r>
      <w:r w:rsidRPr="003C0842">
        <w:t xml:space="preserve"> koniecznoś</w:t>
      </w:r>
      <w:r w:rsidR="00322719" w:rsidRPr="003C0842">
        <w:t>ć</w:t>
      </w:r>
      <w:r w:rsidRPr="003C0842">
        <w:t xml:space="preserve"> podnoszenia zapału wojsk własnych, a osłabienie morale strony przeciwnej. Tymczasem prezydent Wilson przybywszy do Europy nie chciał słyszeć ani rozmawiać o konkretach (od których</w:t>
      </w:r>
      <w:r w:rsidR="00C93CA9" w:rsidRPr="003C0842">
        <w:t xml:space="preserve">dodatkowo </w:t>
      </w:r>
      <w:r w:rsidRPr="003C0842">
        <w:t xml:space="preserve">odgradzał go towarzyszący mu personel) w przeświadczeniu, że nadrzędnym elementem konstrukcji pokojowej </w:t>
      </w:r>
      <w:r w:rsidR="00C93CA9" w:rsidRPr="003C0842">
        <w:t xml:space="preserve">ma </w:t>
      </w:r>
      <w:r w:rsidRPr="003C0842">
        <w:t>b</w:t>
      </w:r>
      <w:r w:rsidR="00C93CA9" w:rsidRPr="003C0842">
        <w:t>yć Liga Narodów. Forsowanie</w:t>
      </w:r>
      <w:r w:rsidRPr="003C0842">
        <w:t xml:space="preserve"> tego </w:t>
      </w:r>
      <w:r w:rsidR="00C93CA9" w:rsidRPr="003C0842">
        <w:t>celubyło powiązane z pozycją</w:t>
      </w:r>
      <w:r w:rsidRPr="003C0842">
        <w:t xml:space="preserve"> militarną, gospodarczą</w:t>
      </w:r>
      <w:r w:rsidR="009E7EDD" w:rsidRPr="003C0842">
        <w:t xml:space="preserve"> i</w:t>
      </w:r>
      <w:r w:rsidRPr="003C0842">
        <w:t xml:space="preserve"> polityczną Stanów Zjednoczonych</w:t>
      </w:r>
      <w:r w:rsidR="009E7EDD" w:rsidRPr="003C0842">
        <w:t>.</w:t>
      </w:r>
      <w:r w:rsidR="00C93CA9" w:rsidRPr="003C0842">
        <w:t xml:space="preserve"> Podkreślano</w:t>
      </w:r>
      <w:r w:rsidR="009E7EDD" w:rsidRPr="003C0842">
        <w:t xml:space="preserve"> teżstronę moralną aktywności amerykańskiej</w:t>
      </w:r>
      <w:r w:rsidR="00D1597B" w:rsidRPr="003C0842">
        <w:t>, gdyż</w:t>
      </w:r>
      <w:r w:rsidR="009E7EDD" w:rsidRPr="003C0842">
        <w:t xml:space="preserve"> ich wkład w</w:t>
      </w:r>
      <w:r w:rsidR="00C93CA9" w:rsidRPr="003C0842">
        <w:t>budowanie pokojunie jest</w:t>
      </w:r>
      <w:r w:rsidRPr="003C0842">
        <w:t xml:space="preserve"> podyktowan</w:t>
      </w:r>
      <w:r w:rsidR="00D1597B" w:rsidRPr="003C0842">
        <w:t>y</w:t>
      </w:r>
      <w:r w:rsidRPr="003C0842">
        <w:t xml:space="preserve"> egoistycznymi celami czy oczekiwaniami. </w:t>
      </w:r>
      <w:r w:rsidR="009E7EDD" w:rsidRPr="003C0842">
        <w:t>P</w:t>
      </w:r>
      <w:r w:rsidRPr="003C0842">
        <w:t xml:space="preserve">owracając </w:t>
      </w:r>
      <w:r w:rsidR="009E7EDD" w:rsidRPr="003C0842">
        <w:t>wielokro</w:t>
      </w:r>
      <w:r w:rsidR="00D1597B" w:rsidRPr="003C0842">
        <w:t>tnie</w:t>
      </w:r>
      <w:r w:rsidRPr="003C0842">
        <w:t>do planów budowy „nowego ładu” z Ligą Narodów jako jego filarem</w:t>
      </w:r>
      <w:r w:rsidR="00D1597B" w:rsidRPr="003C0842">
        <w:t>,</w:t>
      </w:r>
      <w:r w:rsidRPr="003C0842">
        <w:t xml:space="preserve"> podkreśla</w:t>
      </w:r>
      <w:r w:rsidR="009E7EDD" w:rsidRPr="003C0842">
        <w:t>no</w:t>
      </w:r>
      <w:r w:rsidRPr="003C0842">
        <w:t xml:space="preserve">, że </w:t>
      </w:r>
      <w:r w:rsidR="00C93CA9" w:rsidRPr="003C0842">
        <w:t>w grę wchodzą</w:t>
      </w:r>
      <w:r w:rsidRPr="003C0842">
        <w:t xml:space="preserve"> rozwiązania korzystne dla wszystkich</w:t>
      </w:r>
      <w:r w:rsidR="00D1597B" w:rsidRPr="003C0842">
        <w:t xml:space="preserve"> razem</w:t>
      </w:r>
      <w:r w:rsidRPr="003C0842">
        <w:t xml:space="preserve"> i każdego z osobna.</w:t>
      </w:r>
    </w:p>
    <w:p w:rsidR="00212B99" w:rsidRPr="003C0842" w:rsidRDefault="00212B99" w:rsidP="00111348">
      <w:pPr>
        <w:spacing w:line="360" w:lineRule="auto"/>
      </w:pPr>
      <w:r w:rsidRPr="003C0842">
        <w:lastRenderedPageBreak/>
        <w:t xml:space="preserve">Otwarcie konferencji pokojowej 18 stycznia 1919 r. w Paryżu zdawało się potwierdzać prymat Stanów Zjednoczonych wśród 32 delegacji państwowych (w tym dominiów). </w:t>
      </w:r>
      <w:r w:rsidR="009E4E30" w:rsidRPr="003C0842">
        <w:t>P</w:t>
      </w:r>
      <w:r w:rsidRPr="003C0842">
        <w:t xml:space="preserve">rezydent Francji Raymond </w:t>
      </w:r>
      <w:r w:rsidR="009E4E30" w:rsidRPr="003C0842">
        <w:t>Po</w:t>
      </w:r>
      <w:r w:rsidR="00A454C4" w:rsidRPr="003C0842">
        <w:t>incaré</w:t>
      </w:r>
      <w:r w:rsidR="009E4E30" w:rsidRPr="003C0842">
        <w:t xml:space="preserve">, jako gospodarzinauguracyjnego spotkania, </w:t>
      </w:r>
      <w:r w:rsidRPr="003C0842">
        <w:t>w wyszukanych słowach witał delegację Stanów Zjednoczonych, która „przebyła ocean, aby wyrwać swoją matkę z poniżenia, niewoli i aby uratować cywilizację”. Wspominając planowane utworzenie Ligi Narodów</w:t>
      </w:r>
      <w:r w:rsidR="00D1597B" w:rsidRPr="003C0842">
        <w:t>,</w:t>
      </w:r>
      <w:r w:rsidRPr="003C0842">
        <w:t xml:space="preserve"> zapowiedział, że „nie zamknie ona z góry przed nikim swoich podwoi”.</w:t>
      </w:r>
    </w:p>
    <w:p w:rsidR="00212B99" w:rsidRPr="003C0842" w:rsidRDefault="009E4E30" w:rsidP="00111348">
      <w:pPr>
        <w:spacing w:line="360" w:lineRule="auto"/>
      </w:pPr>
      <w:r w:rsidRPr="003C0842">
        <w:t xml:space="preserve">Świadkowie </w:t>
      </w:r>
      <w:r w:rsidR="00212B99" w:rsidRPr="003C0842">
        <w:t xml:space="preserve">tego oświadczenia zdawali sobie sprawę, że akurat gospodarze różnili się w wielu istotnych sprawach, także </w:t>
      </w:r>
      <w:r w:rsidRPr="003C0842">
        <w:t>tejostatniej</w:t>
      </w:r>
      <w:r w:rsidR="00212B99" w:rsidRPr="003C0842">
        <w:t>. Premier Francji Georges Clemenceaukilkakrotnie wypow</w:t>
      </w:r>
      <w:r w:rsidR="00D1597B" w:rsidRPr="003C0842">
        <w:t>iadał się przeciwko przyjmowaniu</w:t>
      </w:r>
      <w:r w:rsidR="00212B99" w:rsidRPr="003C0842">
        <w:t xml:space="preserve"> do Ligi wszystkich chętnych. Poglądu tego nie zmienił </w:t>
      </w:r>
      <w:r w:rsidR="009E7EDD" w:rsidRPr="003C0842">
        <w:t>on, także jako</w:t>
      </w:r>
      <w:r w:rsidRPr="003C0842">
        <w:t>przewodniczący konferencji pokojowej</w:t>
      </w:r>
      <w:r w:rsidR="00212B99" w:rsidRPr="003C0842">
        <w:t xml:space="preserve"> podczas trwających kilka miesięcy prac nad </w:t>
      </w:r>
      <w:r w:rsidRPr="003C0842">
        <w:t>tekstem traktatu</w:t>
      </w:r>
      <w:r w:rsidR="009E7EDD" w:rsidRPr="003C0842">
        <w:t xml:space="preserve">. Skoro miał on </w:t>
      </w:r>
      <w:r w:rsidR="00212B99" w:rsidRPr="003C0842">
        <w:t xml:space="preserve">sankcjonować pozycję Francji osiągniętą </w:t>
      </w:r>
      <w:r w:rsidR="00D1597B" w:rsidRPr="003C0842">
        <w:t>po</w:t>
      </w:r>
      <w:r w:rsidRPr="003C0842">
        <w:t xml:space="preserve">zwycięskiej </w:t>
      </w:r>
      <w:r w:rsidR="00212B99" w:rsidRPr="003C0842">
        <w:t>wojnie</w:t>
      </w:r>
      <w:r w:rsidR="009E7EDD" w:rsidRPr="003C0842">
        <w:t>, to</w:t>
      </w:r>
      <w:r w:rsidR="0042685F" w:rsidRPr="003C0842">
        <w:t xml:space="preserve"> zgoda na rozmowy o egalitaryzmie i</w:t>
      </w:r>
      <w:r w:rsidR="00212B99" w:rsidRPr="003C0842">
        <w:t>„jak</w:t>
      </w:r>
      <w:r w:rsidR="0042685F" w:rsidRPr="003C0842">
        <w:t>iej</w:t>
      </w:r>
      <w:r w:rsidR="00212B99" w:rsidRPr="003C0842">
        <w:t>ś tam Li</w:t>
      </w:r>
      <w:r w:rsidR="0042685F" w:rsidRPr="003C0842">
        <w:t>dze</w:t>
      </w:r>
      <w:r w:rsidR="00212B99" w:rsidRPr="003C0842">
        <w:t>”</w:t>
      </w:r>
      <w:r w:rsidR="0042685F" w:rsidRPr="003C0842">
        <w:t xml:space="preserve"> przychodziła mu z wielkim trudem. Ustąpił pod presją anglosaskich aliantów</w:t>
      </w:r>
      <w:r w:rsidR="00212B99" w:rsidRPr="003C0842">
        <w:t>, utrzymujących wówczas, że gdyby Niemcy znów zaatakowały Francję</w:t>
      </w:r>
      <w:r w:rsidR="00D1597B" w:rsidRPr="003C0842">
        <w:t>,</w:t>
      </w:r>
      <w:r w:rsidR="00212B99" w:rsidRPr="003C0842">
        <w:t xml:space="preserve"> to może ona być pewna ich pomocy.</w:t>
      </w:r>
    </w:p>
    <w:p w:rsidR="00BD56B3" w:rsidRDefault="00212B99" w:rsidP="00111348">
      <w:pPr>
        <w:spacing w:line="360" w:lineRule="auto"/>
      </w:pPr>
      <w:r w:rsidRPr="003C0842">
        <w:t xml:space="preserve">Rachował na nią także marszałek </w:t>
      </w:r>
      <w:r w:rsidR="00A454C4" w:rsidRPr="003C0842">
        <w:t xml:space="preserve">Ferdinand </w:t>
      </w:r>
      <w:r w:rsidRPr="003C0842">
        <w:t xml:space="preserve">Foch, który w specjalnych memoriałach z listopada 1918 r. i stycznia 1919 r. proponował utworzenie Ligi Narodów Prawa wyposażonej w silną i skuteczną władzę. Aż do czasu uzyskania „całkowitych gwarancji pokoju” granica z Niemcami miała przebiegać wzdłuż Renu z częściową okupacją przyczółków po jego prawej stronie; Nadrenia </w:t>
      </w:r>
      <w:r w:rsidR="009E4E30" w:rsidRPr="003C0842">
        <w:t>miała</w:t>
      </w:r>
      <w:r w:rsidRPr="003C0842">
        <w:t xml:space="preserve"> być niezależna. Antyniemieckie ostrze owej Ligi, złożonej zrazu z Francji, Wielkiej Brytanii i Stanów Zjednoczonych było oczywiste. Stopniowo miała ona poszerzać swój skład, poczynając od państw sojuszniczych i neutralnych, celem umniejszenia ciężarów wojskowych państw założycielskich</w:t>
      </w:r>
      <w:r w:rsidRPr="003C0842">
        <w:rPr>
          <w:rStyle w:val="Odwoanieprzypisudolnego"/>
          <w:rFonts w:ascii="Times New Roman" w:hAnsi="Times New Roman"/>
          <w:sz w:val="24"/>
        </w:rPr>
        <w:footnoteReference w:id="26"/>
      </w:r>
      <w:r w:rsidRPr="003C0842">
        <w:t>.</w:t>
      </w:r>
    </w:p>
    <w:p w:rsidR="00212B99" w:rsidRPr="003C0842" w:rsidRDefault="00212B99" w:rsidP="00111348">
      <w:pPr>
        <w:spacing w:line="360" w:lineRule="auto"/>
      </w:pPr>
      <w:r w:rsidRPr="003C0842">
        <w:t xml:space="preserve">Hierarchia oczekiwań społeczeństwa francuskiego koncentrowała się na programie maksymalnego osłabienia Niemiec oraz zabezpieczenia się przed ich rewanżem. Pamięć o wielkiej kontrybucji po </w:t>
      </w:r>
      <w:r w:rsidR="009E4E30" w:rsidRPr="003C0842">
        <w:t>klęsce</w:t>
      </w:r>
      <w:r w:rsidRPr="003C0842">
        <w:t xml:space="preserve"> 1870/1871 oraz ogromne straty materialne i ludzkie poniesione w latach 1914</w:t>
      </w:r>
      <w:r w:rsidR="005A5F3B">
        <w:t>-</w:t>
      </w:r>
      <w:r w:rsidRPr="003C0842">
        <w:t xml:space="preserve">1918 nakazywały odmieniać w różnych przypadkach hasło: </w:t>
      </w:r>
      <w:r w:rsidRPr="003C0842">
        <w:rPr>
          <w:i/>
        </w:rPr>
        <w:t>Boche p</w:t>
      </w:r>
      <w:r w:rsidR="006229A1" w:rsidRPr="003C0842">
        <w:rPr>
          <w:i/>
        </w:rPr>
        <w:t>a</w:t>
      </w:r>
      <w:r w:rsidRPr="003C0842">
        <w:rPr>
          <w:i/>
        </w:rPr>
        <w:t>ierà</w:t>
      </w:r>
      <w:r w:rsidRPr="003C0842">
        <w:t xml:space="preserve">. Z nadzieją, że za wszystko </w:t>
      </w:r>
      <w:r w:rsidR="00D1597B" w:rsidRPr="003C0842">
        <w:t>„</w:t>
      </w:r>
      <w:r w:rsidR="00C06692">
        <w:t>a</w:t>
      </w:r>
      <w:r w:rsidRPr="003C0842">
        <w:t>musi zapłacić</w:t>
      </w:r>
      <w:r w:rsidR="00D1597B" w:rsidRPr="003C0842">
        <w:t>”</w:t>
      </w:r>
      <w:r w:rsidRPr="003C0842">
        <w:t>, żądano także wyrównania rachunków terytorialnych nie tylko Alzacji i Lotaryngii, ale i Zagłębia S</w:t>
      </w:r>
      <w:r w:rsidR="00C06692">
        <w:t>a</w:t>
      </w:r>
      <w:r w:rsidRPr="003C0842">
        <w:t xml:space="preserve">ary. Program terytorialnego pognębienia Niemiec obejmował również istotne wsparcie dla </w:t>
      </w:r>
      <w:r w:rsidR="0042685F" w:rsidRPr="003C0842">
        <w:t xml:space="preserve">zachodniej </w:t>
      </w:r>
      <w:r w:rsidRPr="003C0842">
        <w:t>granicy odradzającego się państwa polskiego.</w:t>
      </w:r>
    </w:p>
    <w:p w:rsidR="008E73AA" w:rsidRPr="003C0842" w:rsidRDefault="00212B99" w:rsidP="00111348">
      <w:pPr>
        <w:spacing w:line="360" w:lineRule="auto"/>
      </w:pPr>
      <w:r w:rsidRPr="003C0842">
        <w:lastRenderedPageBreak/>
        <w:t xml:space="preserve">Francuska koncepcja Ligi jako organizacji pilnującej nowego porządku międzynarodowego wynikłego z klęski państw centralnych, kłóciła się nie tylko z planami Stanów Zjednoczonych, ale także Wielkiej Brytanii. </w:t>
      </w:r>
      <w:r w:rsidR="0042685F" w:rsidRPr="003C0842">
        <w:t>Język propagandy na Wyspach stopniowo łagodniał, aczkolwiek</w:t>
      </w:r>
      <w:r w:rsidRPr="003C0842">
        <w:t xml:space="preserve"> londyńska „ul</w:t>
      </w:r>
      <w:r w:rsidR="00A454C4" w:rsidRPr="003C0842">
        <w:t>ica” nadal używała określenia „H</w:t>
      </w:r>
      <w:r w:rsidRPr="003C0842">
        <w:t xml:space="preserve">un” </w:t>
      </w:r>
      <w:r w:rsidR="00164234" w:rsidRPr="003C0842">
        <w:t>–</w:t>
      </w:r>
      <w:r w:rsidRPr="003C0842">
        <w:t xml:space="preserve">jako synonimu niemieckiego żołnierza gotowego na wszystko, jak </w:t>
      </w:r>
      <w:r w:rsidR="0042685F" w:rsidRPr="003C0842">
        <w:t>niegdyś dzikie germańskie hordy</w:t>
      </w:r>
      <w:r w:rsidRPr="003C0842">
        <w:t>. Mniej zapamiętale ponawian</w:t>
      </w:r>
      <w:r w:rsidR="0042685F" w:rsidRPr="003C0842">
        <w:t>o</w:t>
      </w:r>
      <w:r w:rsidRPr="003C0842">
        <w:t xml:space="preserve"> żądanie głowy Kaisera (</w:t>
      </w:r>
      <w:r w:rsidRPr="003C0842">
        <w:rPr>
          <w:i/>
        </w:rPr>
        <w:t>Hang the Kaiser</w:t>
      </w:r>
      <w:r w:rsidRPr="003C0842">
        <w:t xml:space="preserve">) jako osoby syntetyzującej klęskę II Rzeszy </w:t>
      </w:r>
      <w:r w:rsidR="00164234" w:rsidRPr="003C0842">
        <w:t>–</w:t>
      </w:r>
      <w:r w:rsidRPr="003C0842">
        <w:t xml:space="preserve"> ogólnie pozycji w Europie i na świecie. Historycznie uwarunkowana rywalizacja francusko-brytyjska nakazywała pilnować względnej równowagi na kontynencie, której niezmiennie ważnym elementem były relacje niemiecko-francuskie. Dla przywrócenia tej równowagi, zniszczonej przez sukces Prus i powstanie II Rzeszy, imperium brytyjskie stanęło u boku Francji w „wielkiej wojnie”. Nie po to jednak, aby po zwycięstwie doszło do odwrócenia sytuacji. </w:t>
      </w:r>
    </w:p>
    <w:p w:rsidR="00212B99" w:rsidRPr="003C0842" w:rsidRDefault="00212B99" w:rsidP="00111348">
      <w:pPr>
        <w:spacing w:line="360" w:lineRule="auto"/>
      </w:pPr>
      <w:r w:rsidRPr="003C0842">
        <w:t xml:space="preserve">Moralizatorskie napomnienia prezydenta Wilsona oczekującego sprawiedliwego pokoju, otwierającego drogę do konstruktywnej, partnerskiej, opartej na wzajemnym </w:t>
      </w:r>
      <w:r w:rsidR="008E73AA" w:rsidRPr="003C0842">
        <w:t xml:space="preserve">zaufaniu współpracy znajdowały względnie </w:t>
      </w:r>
      <w:r w:rsidRPr="003C0842">
        <w:t xml:space="preserve">życzliwy posłuch na wyspach brytyjskich. Im żądania francuskie dalej szły w kierunku trwałego pognębienia Rzeszy, tym </w:t>
      </w:r>
      <w:r w:rsidR="008E73AA" w:rsidRPr="003C0842">
        <w:t xml:space="preserve">bardziej </w:t>
      </w:r>
      <w:r w:rsidRPr="003C0842">
        <w:t xml:space="preserve">ujawniała się </w:t>
      </w:r>
      <w:r w:rsidR="008E73AA" w:rsidRPr="003C0842">
        <w:t>przeciwstawna taktyka</w:t>
      </w:r>
      <w:r w:rsidRPr="003C0842">
        <w:t xml:space="preserve"> delegacji brytyjskiej, zręcznie kierowanej przez premiera </w:t>
      </w:r>
      <w:r w:rsidR="00A454C4" w:rsidRPr="003C0842">
        <w:t xml:space="preserve">Davida </w:t>
      </w:r>
      <w:r w:rsidRPr="003C0842">
        <w:t>Lloyda George’a. W obliczu wzmagającej się krytyki Wilsona podczas kilkunastodniowego pobytu w kraju (w Paryżu nie było go od 14 lutego do 14 marca) to właśnie Lloyd George stał się głównym opozycjonistą wobec surowych warunków po</w:t>
      </w:r>
      <w:r w:rsidR="008E73AA" w:rsidRPr="003C0842">
        <w:t xml:space="preserve">kojowych dla państw pokonanych </w:t>
      </w:r>
      <w:r w:rsidR="00714132" w:rsidRPr="003C0842">
        <w:t>–</w:t>
      </w:r>
      <w:r w:rsidRPr="003C0842">
        <w:t xml:space="preserve">przede wszystkim Niemiec. </w:t>
      </w:r>
    </w:p>
    <w:p w:rsidR="00212B99" w:rsidRPr="003C0842" w:rsidRDefault="00212B99" w:rsidP="00111348">
      <w:pPr>
        <w:spacing w:line="360" w:lineRule="auto"/>
      </w:pPr>
      <w:r w:rsidRPr="003C0842">
        <w:t xml:space="preserve">Stanowiska stron dobrze pokazują </w:t>
      </w:r>
      <w:r w:rsidR="009E4E30" w:rsidRPr="003C0842">
        <w:t xml:space="preserve">znane </w:t>
      </w:r>
      <w:r w:rsidRPr="003C0842">
        <w:t>memoranda z końca marca 1919 r. sygnowane przez Lloyd</w:t>
      </w:r>
      <w:r w:rsidR="008E73AA" w:rsidRPr="003C0842">
        <w:t>a</w:t>
      </w:r>
      <w:r w:rsidRPr="003C0842">
        <w:t xml:space="preserve"> George’a i Clemenceau. Datowany na 25 marca 1919 r. memoriał miał uświadomić Francji potrzebę ustalenia warunków pokojowych możliwych do zaakceptowania przez Niemców. Według Brytyjczyków utrzymanie pokoju w przyszłości będzie możliwe</w:t>
      </w:r>
      <w:r w:rsidR="00714132" w:rsidRPr="003C0842">
        <w:t>,</w:t>
      </w:r>
      <w:r w:rsidRPr="003C0842">
        <w:t xml:space="preserve"> jeśli nie dojdzie do „pogwałcenia poczucia dumy narodowej, słuszności i sprawiedliwości pokonanego narodu, i jeśli naród ten nie będzie doprowadzany do głębokiej rozpaczy”</w:t>
      </w:r>
      <w:r w:rsidRPr="003C0842">
        <w:rPr>
          <w:rStyle w:val="Odwoanieprzypisudolnego"/>
          <w:rFonts w:ascii="Times New Roman" w:hAnsi="Times New Roman"/>
          <w:sz w:val="24"/>
        </w:rPr>
        <w:footnoteReference w:id="27"/>
      </w:r>
      <w:r w:rsidRPr="003C0842">
        <w:t>. Podobnie jak prezydent Wilson, aczkolwiek bez powoływania się na jego stanowisko, Brytyjczycy byli za uznaniem państw pokonanych jako pełnoprawnych uczestników życia międzynarodowego. To właśnie Liga Narodów miała być najlepszym f</w:t>
      </w:r>
      <w:r w:rsidR="008E73AA" w:rsidRPr="003C0842">
        <w:t>orum dla powojennej współpracy</w:t>
      </w:r>
      <w:r w:rsidR="00714132" w:rsidRPr="003C0842">
        <w:t>,</w:t>
      </w:r>
      <w:r w:rsidR="008E73AA" w:rsidRPr="003C0842">
        <w:t xml:space="preserve"> o ile</w:t>
      </w:r>
      <w:r w:rsidRPr="003C0842">
        <w:t xml:space="preserve"> pokonane państwa przyjmą warunki uznane przez zwycięzców za słuszne i </w:t>
      </w:r>
      <w:r w:rsidRPr="003C0842">
        <w:lastRenderedPageBreak/>
        <w:t>sprawiedliwe. „Czy przyjęcie do Ligi nie byłoby dla nich bodźcem do zaakceptowania naszych warunków [</w:t>
      </w:r>
      <w:r w:rsidR="00B21A46">
        <w:t>…</w:t>
      </w:r>
      <w:r w:rsidRPr="003C0842">
        <w:t>] czy nie bezpieczniej będzie mieć Niemcy w Lidze, niż poza nią?”</w:t>
      </w:r>
    </w:p>
    <w:p w:rsidR="00714132" w:rsidRPr="003C0842" w:rsidRDefault="00212B99" w:rsidP="00111348">
      <w:pPr>
        <w:spacing w:line="360" w:lineRule="auto"/>
      </w:pPr>
      <w:r w:rsidRPr="003C0842">
        <w:t xml:space="preserve">Za jeden z najważniejszych problemów stojących przed rodzącą się Ligą uznał Lloyd George wyeliminowanie z życia międzynarodowego rywalizacji na tle zbrojeń. </w:t>
      </w:r>
      <w:r w:rsidR="00E855CF" w:rsidRPr="003C0842">
        <w:t xml:space="preserve">Jeszcze przed podpisaniem paktu Ligi </w:t>
      </w:r>
      <w:r w:rsidRPr="003C0842">
        <w:t>powinno</w:t>
      </w:r>
      <w:r w:rsidR="008E73AA" w:rsidRPr="003C0842">
        <w:t xml:space="preserve"> dojść do </w:t>
      </w:r>
      <w:r w:rsidRPr="003C0842">
        <w:t>porozumieni</w:t>
      </w:r>
      <w:r w:rsidR="008E73AA" w:rsidRPr="003C0842">
        <w:t>a</w:t>
      </w:r>
      <w:r w:rsidRPr="003C0842">
        <w:t xml:space="preserve"> między Wielką Brytanią, Stanami Zjednoczonymi, Francją i Włochami. W przeciwnym razie „Liga stanie się tylko farsą i fikcją” oraz dowodem na to, że „jej opiekunowie i twórcy sami nie wierzą w jej użyteczność”. Porozumienie mocarstw mające skutecznie bronić wszystkich członków Ligi, a jednocześnie usuwające wyścig zbrojeń i wzajemne podejrzenia</w:t>
      </w:r>
      <w:r w:rsidR="009E4E30" w:rsidRPr="003C0842">
        <w:t>,</w:t>
      </w:r>
      <w:r w:rsidRPr="003C0842">
        <w:t xml:space="preserve"> może zapewnić Lidze przyszłość i autorytet. „Liga – uważał Lloyd George – zdoła wtedy uzyskać, jako zasadniczy warunek pokoju, zobowiązanie nie tylko ze strony Niemiec, ale i ze strony mniejszych państw europejskich, że ograniczą oni zbrojenia i zniosą przymusową służbę w</w:t>
      </w:r>
      <w:r w:rsidR="00E855CF" w:rsidRPr="003C0842">
        <w:t>ojskową”. Z</w:t>
      </w:r>
      <w:r w:rsidRPr="003C0842">
        <w:t>a rzecz bezcelową</w:t>
      </w:r>
      <w:r w:rsidR="00E855CF" w:rsidRPr="003C0842">
        <w:t xml:space="preserve"> uznawał</w:t>
      </w:r>
      <w:r w:rsidRPr="003C0842">
        <w:t xml:space="preserve"> narzucanie Niemcom trwałego ograniczenia zbrojeń</w:t>
      </w:r>
      <w:r w:rsidR="00900BE3" w:rsidRPr="003C0842">
        <w:t>,„</w:t>
      </w:r>
      <w:r w:rsidRPr="001E5F63">
        <w:t>jeśli nie jesteśmy gotowi narzucić takiego ograniczenia sobie samym [</w:t>
      </w:r>
      <w:r w:rsidR="00B21A46" w:rsidRPr="001E5F63">
        <w:t>…</w:t>
      </w:r>
      <w:r w:rsidRPr="001E5F63">
        <w:t>]. Jeśli nie przeprowadzimy powszechnego ograniczenia zbrojeń</w:t>
      </w:r>
      <w:r w:rsidR="00714132" w:rsidRPr="001E5F63">
        <w:t>,</w:t>
      </w:r>
      <w:r w:rsidRPr="001E5F63">
        <w:t xml:space="preserve"> nie uzyskamy ani trwałego pokoju, ani trwałego dotrzymywania przez Niemcy ograniczeń zbrojeniowych, które chcemy im teraz narzucić</w:t>
      </w:r>
      <w:r w:rsidR="00900BE3" w:rsidRPr="001E5F63">
        <w:t>”</w:t>
      </w:r>
      <w:r w:rsidRPr="001E5F63">
        <w:rPr>
          <w:rStyle w:val="Odwoanieprzypisudolnego"/>
          <w:rFonts w:ascii="Times New Roman" w:hAnsi="Times New Roman"/>
          <w:sz w:val="24"/>
        </w:rPr>
        <w:footnoteReference w:id="28"/>
      </w:r>
      <w:r w:rsidRPr="001E5F63">
        <w:t>.</w:t>
      </w:r>
    </w:p>
    <w:p w:rsidR="00212B99" w:rsidRPr="003C0842" w:rsidRDefault="00212B99" w:rsidP="00111348">
      <w:pPr>
        <w:spacing w:line="360" w:lineRule="auto"/>
      </w:pPr>
      <w:r w:rsidRPr="003C0842">
        <w:t xml:space="preserve">Napomnienia Lloyda George’a mające na celu złagodzenie ostrości i rozległości żądań francuskich nie odniosły skutku, chociaż łączono je z wieszczeniem zagrożeń </w:t>
      </w:r>
      <w:r w:rsidR="00E855CF" w:rsidRPr="003C0842">
        <w:t>związanych z</w:t>
      </w:r>
      <w:r w:rsidRPr="003C0842">
        <w:t xml:space="preserve"> bolszewizacj</w:t>
      </w:r>
      <w:r w:rsidR="00E855CF" w:rsidRPr="003C0842">
        <w:t>ą</w:t>
      </w:r>
      <w:r w:rsidRPr="003C0842">
        <w:t xml:space="preserve"> Niemiec i współp</w:t>
      </w:r>
      <w:r w:rsidR="00E855CF" w:rsidRPr="003C0842">
        <w:t>racą</w:t>
      </w:r>
      <w:r w:rsidRPr="003C0842">
        <w:t xml:space="preserve"> rosyjsko-niemieck</w:t>
      </w:r>
      <w:r w:rsidR="00E855CF" w:rsidRPr="003C0842">
        <w:t>ą</w:t>
      </w:r>
      <w:r w:rsidRPr="003C0842">
        <w:t xml:space="preserve">. W ripoście Clemenceau z 26 marca 1919 r. </w:t>
      </w:r>
      <w:r w:rsidR="00E855CF" w:rsidRPr="003C0842">
        <w:t>dominowało przekonanie</w:t>
      </w:r>
      <w:r w:rsidRPr="003C0842">
        <w:t xml:space="preserve">, że Brytyjczycy </w:t>
      </w:r>
      <w:r w:rsidR="00714132" w:rsidRPr="003C0842">
        <w:t>–</w:t>
      </w:r>
      <w:r w:rsidRPr="003C0842">
        <w:t>osiągn</w:t>
      </w:r>
      <w:r w:rsidR="00E855CF" w:rsidRPr="003C0842">
        <w:t>ąwszy</w:t>
      </w:r>
      <w:r w:rsidRPr="003C0842">
        <w:t xml:space="preserve"> główne cele uzasadniające ich udział w wojnie</w:t>
      </w:r>
      <w:r w:rsidR="00E855CF" w:rsidRPr="003C0842">
        <w:t xml:space="preserve"> – są usatysfakcjonowani</w:t>
      </w:r>
      <w:r w:rsidRPr="003C0842">
        <w:t xml:space="preserve">. Przejęli lub przejmą niemieckie kolonie, marynarkę wojenną i handlową (w </w:t>
      </w:r>
      <w:r w:rsidR="00E855CF" w:rsidRPr="003C0842">
        <w:t>ramach</w:t>
      </w:r>
      <w:r w:rsidRPr="003C0842">
        <w:t xml:space="preserve"> odszkodowań), niemieckie rynki zbytu. </w:t>
      </w:r>
      <w:r w:rsidR="008D3018" w:rsidRPr="003C0842">
        <w:t>P</w:t>
      </w:r>
      <w:r w:rsidRPr="003C0842">
        <w:t>remier Clemenceau w ogóle nie odniósł się do szeroko w memoriale brytyjskim potraktowanej sprawy Ligi Narodów, z jej ważnym, dla wielu głównym zadaniem – ograniczenia zbrojeń, czy wręcz rozbrojenia</w:t>
      </w:r>
      <w:r w:rsidRPr="003C0842">
        <w:rPr>
          <w:rStyle w:val="Odwoanieprzypisudolnego"/>
          <w:rFonts w:ascii="Times New Roman" w:hAnsi="Times New Roman"/>
          <w:sz w:val="24"/>
        </w:rPr>
        <w:footnoteReference w:id="29"/>
      </w:r>
      <w:r w:rsidRPr="003C0842">
        <w:t>.</w:t>
      </w:r>
    </w:p>
    <w:p w:rsidR="00212B99" w:rsidRPr="003C0842" w:rsidRDefault="00212B99" w:rsidP="00111348">
      <w:pPr>
        <w:spacing w:line="360" w:lineRule="auto"/>
      </w:pPr>
      <w:r w:rsidRPr="003C0842">
        <w:t>Rodzący się w twardym boju układ pokojowy spychał na pobocze stale</w:t>
      </w:r>
      <w:r w:rsidR="00E855CF" w:rsidRPr="003C0842">
        <w:t>cyzelowany</w:t>
      </w:r>
      <w:r w:rsidRPr="003C0842">
        <w:t xml:space="preserve"> Pakt Ligi, jednogłośnie przegłosowany</w:t>
      </w:r>
      <w:r w:rsidR="00E855CF" w:rsidRPr="003C0842">
        <w:t xml:space="preserve"> dopiero</w:t>
      </w:r>
      <w:r w:rsidRPr="003C0842">
        <w:t xml:space="preserve"> 28 kwietnia 1919 r. w czasie plenarnego posiedzenia konferencji pokojowej. </w:t>
      </w:r>
      <w:r w:rsidR="00E855CF" w:rsidRPr="003C0842">
        <w:t>D</w:t>
      </w:r>
      <w:r w:rsidRPr="003C0842">
        <w:t xml:space="preserve">okument ten miał być włączony w traktaty pokojowe z państwami pokonanymi jako część wyodrębniona, ale zarazem integralna. Oznaczało to, że każdy sygnatariusz traktatu pokojowego jednocześnie akceptował Pakt Ligi. Rozwiązanie to mające „szachować” amerykańskich wrogów Wilsona i „jego” Ligi uwypuklało </w:t>
      </w:r>
      <w:r w:rsidRPr="003C0842">
        <w:lastRenderedPageBreak/>
        <w:t>zagrożenia</w:t>
      </w:r>
      <w:r w:rsidR="00714132" w:rsidRPr="003C0842">
        <w:t>,</w:t>
      </w:r>
      <w:r w:rsidRPr="003C0842">
        <w:t xml:space="preserve">jakie piętrzyły się przed </w:t>
      </w:r>
      <w:r w:rsidR="00E855CF" w:rsidRPr="003C0842">
        <w:t>całym przedsięwzięciem</w:t>
      </w:r>
      <w:r w:rsidRPr="003C0842">
        <w:t xml:space="preserve">. Różnie motywowane niekonsekwencje nie tylko samego Paktu Ligi, ale i traktatu pokojowego poddane zostały powszechnej, nieraz </w:t>
      </w:r>
      <w:r w:rsidR="00E855CF" w:rsidRPr="003C0842">
        <w:t>brutalnej</w:t>
      </w:r>
      <w:r w:rsidRPr="003C0842">
        <w:t xml:space="preserve"> krytyce. </w:t>
      </w:r>
      <w:r w:rsidR="00CB622E" w:rsidRPr="003C0842">
        <w:t>Gen</w:t>
      </w:r>
      <w:r w:rsidR="00714132" w:rsidRPr="003C0842">
        <w:t>erał</w:t>
      </w:r>
      <w:r w:rsidR="00CB622E" w:rsidRPr="003C0842">
        <w:t xml:space="preserve"> John Christian Smuts, premier Unii Południowo-Afrykańskiej i członek pokojowej delegacji brytyjskiej,a zarazem </w:t>
      </w:r>
      <w:r w:rsidRPr="003C0842">
        <w:t xml:space="preserve">bliski Wilsonowi sojusznik w </w:t>
      </w:r>
      <w:r w:rsidR="00E855CF" w:rsidRPr="003C0842">
        <w:t>batalii</w:t>
      </w:r>
      <w:r w:rsidRPr="003C0842">
        <w:t xml:space="preserve"> o „jego”</w:t>
      </w:r>
      <w:r w:rsidR="00E855CF" w:rsidRPr="003C0842">
        <w:t xml:space="preserve"> kształt</w:t>
      </w:r>
      <w:r w:rsidRPr="003C0842">
        <w:t>Lig</w:t>
      </w:r>
      <w:r w:rsidR="00E855CF" w:rsidRPr="003C0842">
        <w:t>i</w:t>
      </w:r>
      <w:r w:rsidR="00CB622E" w:rsidRPr="003C0842">
        <w:t>, w</w:t>
      </w:r>
      <w:r w:rsidRPr="003C0842">
        <w:t xml:space="preserve"> liście z 30 maja 1919 r. </w:t>
      </w:r>
      <w:r w:rsidR="00E855CF" w:rsidRPr="003C0842">
        <w:t>szedł daleko, aż po</w:t>
      </w:r>
      <w:r w:rsidRPr="003C0842">
        <w:t xml:space="preserve"> solidarność z uwagami </w:t>
      </w:r>
      <w:r w:rsidR="00CB622E" w:rsidRPr="003C0842">
        <w:t xml:space="preserve">sformułowanymi przez Berlin. </w:t>
      </w:r>
      <w:r w:rsidR="00B44F52" w:rsidRPr="003C0842">
        <w:t>Mówiono tam o złamaniudanego słowa</w:t>
      </w:r>
      <w:r w:rsidRPr="003C0842">
        <w:t xml:space="preserve">, że warunki traktatu pokojowego z Niemcami będą zgodne z 14 punktami i innymi zasadami ogłoszonymi w 1918 r. przez amerykańskiego prezydenta. Jeśli umowa ta stanie się </w:t>
      </w:r>
      <w:r w:rsidR="00900BE3" w:rsidRPr="001E5F63">
        <w:t>„</w:t>
      </w:r>
      <w:r w:rsidRPr="001E5F63">
        <w:t>świstkiem papieru</w:t>
      </w:r>
      <w:r w:rsidR="00CB622E" w:rsidRPr="001E5F63">
        <w:t xml:space="preserve"> – pisał gen</w:t>
      </w:r>
      <w:r w:rsidR="00B44F52" w:rsidRPr="001E5F63">
        <w:t>. Smuts</w:t>
      </w:r>
      <w:r w:rsidR="00164234" w:rsidRPr="001E5F63">
        <w:t>–</w:t>
      </w:r>
      <w:r w:rsidRPr="001E5F63">
        <w:t>to ściągn</w:t>
      </w:r>
      <w:r w:rsidR="00CB622E" w:rsidRPr="001E5F63">
        <w:t>iemy</w:t>
      </w:r>
      <w:r w:rsidRPr="001E5F63">
        <w:t xml:space="preserve"> na siebie samych „krzywdę cięższą niż same Niemcy</w:t>
      </w:r>
      <w:r w:rsidR="00CB622E" w:rsidRPr="001E5F63">
        <w:t>.</w:t>
      </w:r>
      <w:r w:rsidRPr="001E5F63">
        <w:t xml:space="preserve"> [</w:t>
      </w:r>
      <w:r w:rsidR="00B21A46" w:rsidRPr="001E5F63">
        <w:t>…</w:t>
      </w:r>
      <w:r w:rsidRPr="001E5F63">
        <w:t>] Wszystkie te jednostronne warunki, które wykluczają wzajemność czy równouprawnienie, i wszystkie owe kolce, od których układ ten aż się roi wydają mi się uchybiać literze i duchowi Pańskich Punktów [</w:t>
      </w:r>
      <w:r w:rsidR="00B21A46" w:rsidRPr="001E5F63">
        <w:t>…</w:t>
      </w:r>
      <w:r w:rsidRPr="001E5F63">
        <w:t>] pokój ten mógłby ponadto oznaczać dla świata jakieś nawet jeszcze większe zło, aniżeli to, którym była właśnie zakończona wojna</w:t>
      </w:r>
      <w:r w:rsidR="00900BE3" w:rsidRPr="001E5F63">
        <w:t>”</w:t>
      </w:r>
      <w:r w:rsidRPr="001E5F63">
        <w:rPr>
          <w:rStyle w:val="Odwoanieprzypisudolnego"/>
          <w:rFonts w:ascii="Times New Roman" w:hAnsi="Times New Roman"/>
          <w:sz w:val="24"/>
        </w:rPr>
        <w:footnoteReference w:id="30"/>
      </w:r>
      <w:r w:rsidRPr="001E5F63">
        <w:t>.</w:t>
      </w:r>
    </w:p>
    <w:p w:rsidR="00212B99" w:rsidRPr="003C0842" w:rsidRDefault="00CB622E" w:rsidP="00111348">
      <w:pPr>
        <w:spacing w:line="360" w:lineRule="auto"/>
      </w:pPr>
      <w:r w:rsidRPr="003C0842">
        <w:t xml:space="preserve">Surowe </w:t>
      </w:r>
      <w:r w:rsidR="00212B99" w:rsidRPr="003C0842">
        <w:t>warunk</w:t>
      </w:r>
      <w:r w:rsidRPr="003C0842">
        <w:t xml:space="preserve">i podyktowane Niemcom wywołały gwałtowne </w:t>
      </w:r>
      <w:r w:rsidR="00212B99" w:rsidRPr="003C0842">
        <w:t>protesty także w pozostałych państwach pokonanych, świadomych jego wzorcowego charakteru. Kibicowały przeto</w:t>
      </w:r>
      <w:r w:rsidR="00B44F52" w:rsidRPr="003C0842">
        <w:t xml:space="preserve">wzmiankowanej wyżej </w:t>
      </w:r>
      <w:r w:rsidR="00212B99" w:rsidRPr="003C0842">
        <w:t xml:space="preserve">ripoście niemieckiej z 29 maja zdominowanej przez opór i sprzeciw wobec większości postanowień. </w:t>
      </w:r>
      <w:r w:rsidR="002A3314" w:rsidRPr="003C0842">
        <w:t xml:space="preserve">Można mówić o społecznej burzy wywołanej w Niemczech z powodu kategorycznego stwierdzenia </w:t>
      </w:r>
      <w:r w:rsidR="00212B99" w:rsidRPr="003C0842">
        <w:t xml:space="preserve">o ich </w:t>
      </w:r>
      <w:r w:rsidR="00B44F52" w:rsidRPr="003C0842">
        <w:t>wyłą</w:t>
      </w:r>
      <w:r w:rsidR="002A3314" w:rsidRPr="003C0842">
        <w:t>czn</w:t>
      </w:r>
      <w:r w:rsidR="00B44F52" w:rsidRPr="003C0842">
        <w:t>e</w:t>
      </w:r>
      <w:r w:rsidR="002A3314" w:rsidRPr="003C0842">
        <w:t xml:space="preserve">j </w:t>
      </w:r>
      <w:r w:rsidR="00212B99" w:rsidRPr="003C0842">
        <w:t xml:space="preserve">odpowiedzialności za wywołanie wojny. Z uznaniem natomiast wyrażano się o idei utworzenia Ligi Narodów, mającej zainaugurować nową erę w stosunkach międzynarodowych opartych </w:t>
      </w:r>
      <w:r w:rsidR="00714132" w:rsidRPr="003C0842">
        <w:t>na</w:t>
      </w:r>
      <w:r w:rsidR="00212B99" w:rsidRPr="003C0842">
        <w:t xml:space="preserve"> panowani</w:t>
      </w:r>
      <w:r w:rsidR="00714132" w:rsidRPr="003C0842">
        <w:t>u</w:t>
      </w:r>
      <w:r w:rsidR="00212B99" w:rsidRPr="003C0842">
        <w:t xml:space="preserve"> praw</w:t>
      </w:r>
      <w:r w:rsidR="002A3314" w:rsidRPr="003C0842">
        <w:t>a, sprawiedliwości i równości. W</w:t>
      </w:r>
      <w:r w:rsidR="00212B99" w:rsidRPr="003C0842">
        <w:t xml:space="preserve">ątki </w:t>
      </w:r>
      <w:r w:rsidR="002A3314" w:rsidRPr="003C0842">
        <w:t xml:space="preserve">te </w:t>
      </w:r>
      <w:r w:rsidR="00212B99" w:rsidRPr="003C0842">
        <w:t xml:space="preserve">były </w:t>
      </w:r>
      <w:r w:rsidR="00B44F52" w:rsidRPr="003C0842">
        <w:t xml:space="preserve">upowszechniane </w:t>
      </w:r>
      <w:r w:rsidR="002A3314" w:rsidRPr="003C0842">
        <w:t>pr</w:t>
      </w:r>
      <w:r w:rsidR="00DE64B6" w:rsidRPr="003C0842">
        <w:t>zez powstałą</w:t>
      </w:r>
      <w:r w:rsidR="00212B99" w:rsidRPr="003C0842">
        <w:t>17 grudnia 1918 r. Deu</w:t>
      </w:r>
      <w:r w:rsidR="00DE64B6" w:rsidRPr="003C0842">
        <w:t>tsche Liga für Völkerbund (DLfV</w:t>
      </w:r>
      <w:r w:rsidR="00B44F52" w:rsidRPr="003C0842">
        <w:t>)</w:t>
      </w:r>
      <w:r w:rsidR="00DE64B6" w:rsidRPr="003C0842">
        <w:t>,</w:t>
      </w:r>
      <w:r w:rsidR="00212B99" w:rsidRPr="003C0842">
        <w:t xml:space="preserve">z inicjatywy ówczesnego </w:t>
      </w:r>
      <w:r w:rsidR="00640982" w:rsidRPr="003C0842">
        <w:t>„ministra bez teki</w:t>
      </w:r>
      <w:r w:rsidR="009B7B2D" w:rsidRPr="003C0842">
        <w:t>”</w:t>
      </w:r>
      <w:r w:rsidR="00212B99" w:rsidRPr="003C0842">
        <w:t xml:space="preserve"> Ma</w:t>
      </w:r>
      <w:r w:rsidR="009B7B2D" w:rsidRPr="003C0842">
        <w:t xml:space="preserve">tthiasa Erzbergera, zwolennika </w:t>
      </w:r>
      <w:r w:rsidR="00212B99" w:rsidRPr="003C0842">
        <w:t xml:space="preserve">kompromisowegopokoju. Wykorzystał </w:t>
      </w:r>
      <w:r w:rsidR="00B44F52" w:rsidRPr="003C0842">
        <w:t xml:space="preserve">on </w:t>
      </w:r>
      <w:r w:rsidR="00212B99" w:rsidRPr="003C0842">
        <w:t>poparcie uznanych działaczy pacyfistycznych</w:t>
      </w:r>
      <w:r w:rsidR="00714132" w:rsidRPr="003C0842">
        <w:t>,</w:t>
      </w:r>
      <w:r w:rsidR="00212B99" w:rsidRPr="003C0842">
        <w:t xml:space="preserve"> jak Walthera Schückinga, Ludwiga Quidde, Helene Stoker czy Hansa Wehberga</w:t>
      </w:r>
      <w:r w:rsidR="00212B99" w:rsidRPr="003C0842">
        <w:rPr>
          <w:rStyle w:val="Odwoanieprzypisudolnego"/>
          <w:rFonts w:ascii="Times New Roman" w:hAnsi="Times New Roman"/>
          <w:sz w:val="24"/>
        </w:rPr>
        <w:footnoteReference w:id="31"/>
      </w:r>
      <w:r w:rsidR="00212B99" w:rsidRPr="003C0842">
        <w:t>. Czasowa zbieżność tej inicjatywy z przybyciem do Europy prezydenta Wilsona była demonstrac</w:t>
      </w:r>
      <w:r w:rsidR="00B44F52" w:rsidRPr="003C0842">
        <w:t>ją</w:t>
      </w:r>
      <w:r w:rsidR="00212B99" w:rsidRPr="003C0842">
        <w:t xml:space="preserve"> wiary Niemców w Amerykę i głoszone tam zasady.</w:t>
      </w:r>
    </w:p>
    <w:p w:rsidR="00212B99" w:rsidRPr="003C0842" w:rsidRDefault="00212B99" w:rsidP="00111348">
      <w:pPr>
        <w:spacing w:line="360" w:lineRule="auto"/>
      </w:pPr>
      <w:r w:rsidRPr="003C0842">
        <w:t>Pod szyldem DLfV docierały do społeczeństwa ulotki i broszury wyjaśniające cele i zasady Ligi oraz korzyści</w:t>
      </w:r>
      <w:r w:rsidR="00714132" w:rsidRPr="003C0842">
        <w:t>,</w:t>
      </w:r>
      <w:r w:rsidRPr="003C0842">
        <w:t xml:space="preserve"> jakie dla Niemiec mogą płynąć </w:t>
      </w:r>
      <w:r w:rsidR="00B44F52" w:rsidRPr="003C0842">
        <w:t xml:space="preserve">z </w:t>
      </w:r>
      <w:r w:rsidRPr="003C0842">
        <w:t xml:space="preserve">jej </w:t>
      </w:r>
      <w:r w:rsidR="00B44F52" w:rsidRPr="003C0842">
        <w:t>istnienia</w:t>
      </w:r>
      <w:r w:rsidRPr="003C0842">
        <w:t xml:space="preserve">. W tym duchu starano się oddziaływać na prasę, która w </w:t>
      </w:r>
      <w:r w:rsidR="00B44F52" w:rsidRPr="003C0842">
        <w:t xml:space="preserve">obliczu wielkiej </w:t>
      </w:r>
      <w:r w:rsidRPr="003C0842">
        <w:t>katastrof</w:t>
      </w:r>
      <w:r w:rsidR="00B44F52" w:rsidRPr="003C0842">
        <w:t>y dostrzegała</w:t>
      </w:r>
      <w:r w:rsidRPr="003C0842">
        <w:t xml:space="preserve"> w Lidze Narodów iskierkę nadziei. Tak też to widział prezydent Wilson, który w trwających 3 i 12 czerwca rozmowach w gronie Wielkiej Trójki mówił, że wejście do Ligi jest sprawą </w:t>
      </w:r>
      <w:r w:rsidRPr="003C0842">
        <w:lastRenderedPageBreak/>
        <w:t xml:space="preserve">„najbardziej martwiącą Niemców”. Sugerował więc, aby wyjść temu na przeciw poprzez deklarację, że życzenie tego rodzaju będzie możliwe „w ciągu kilku miesięcy” w zależności od rozwoju sytuacji wewnętrznej w Niemczech. Sugestia ta nie znalazła uznania ani Lloyda </w:t>
      </w:r>
      <w:r w:rsidR="00640982" w:rsidRPr="003C0842">
        <w:t>Georg</w:t>
      </w:r>
      <w:r w:rsidRPr="003C0842">
        <w:t>e’a, który uznał, że jest to „za dużo powiedziane”, ani tym bardziej Clemenceau</w:t>
      </w:r>
      <w:r w:rsidRPr="003C0842">
        <w:rPr>
          <w:rStyle w:val="Odwoanieprzypisudolnego"/>
          <w:rFonts w:ascii="Times New Roman" w:hAnsi="Times New Roman"/>
          <w:sz w:val="24"/>
        </w:rPr>
        <w:footnoteReference w:id="32"/>
      </w:r>
      <w:r w:rsidRPr="003C0842">
        <w:t>.</w:t>
      </w:r>
    </w:p>
    <w:p w:rsidR="00212B99" w:rsidRPr="003C0842" w:rsidRDefault="00212B99" w:rsidP="00111348">
      <w:pPr>
        <w:spacing w:line="360" w:lineRule="auto"/>
      </w:pPr>
      <w:r w:rsidRPr="003C0842">
        <w:t>Utrzymująca się przez cały czas troska Wilsona o uznanie Ligi Narodów jako organizacji powojennego pojednania i współpracy znajdowała w działalności DLfV</w:t>
      </w:r>
      <w:r w:rsidR="00B44F52" w:rsidRPr="003C0842">
        <w:t xml:space="preserve"> pełne poparcie.Należyzarazem</w:t>
      </w:r>
      <w:r w:rsidR="005C0B1B" w:rsidRPr="003C0842">
        <w:t xml:space="preserve">zauważyć i </w:t>
      </w:r>
      <w:r w:rsidRPr="003C0842">
        <w:t xml:space="preserve">pamiętać, że stowarzyszenie to </w:t>
      </w:r>
      <w:r w:rsidR="005C0B1B" w:rsidRPr="003C0842">
        <w:t>(</w:t>
      </w:r>
      <w:r w:rsidRPr="003C0842">
        <w:t>podobnie jak w innych państwach</w:t>
      </w:r>
      <w:r w:rsidR="005C0B1B" w:rsidRPr="003C0842">
        <w:t>)</w:t>
      </w:r>
      <w:r w:rsidRPr="003C0842">
        <w:t>, działało w ścisłej więzi z</w:t>
      </w:r>
      <w:r w:rsidR="005C0B1B" w:rsidRPr="003C0842">
        <w:t>e swoim</w:t>
      </w:r>
      <w:r w:rsidR="00DE64B6" w:rsidRPr="003C0842">
        <w:t xml:space="preserve"> rząd</w:t>
      </w:r>
      <w:r w:rsidR="005C0B1B" w:rsidRPr="003C0842">
        <w:t>em</w:t>
      </w:r>
      <w:r w:rsidRPr="003C0842">
        <w:t>. Bieżącą współpracę z Auswärtiges Amt</w:t>
      </w:r>
      <w:r w:rsidR="00714132" w:rsidRPr="003C0842">
        <w:t>em (AA)</w:t>
      </w:r>
      <w:r w:rsidRPr="003C0842">
        <w:t xml:space="preserve"> zapewniał </w:t>
      </w:r>
      <w:r w:rsidR="005C0B1B" w:rsidRPr="003C0842">
        <w:t>hr.</w:t>
      </w:r>
      <w:r w:rsidRPr="003C0842">
        <w:t xml:space="preserve"> Ulrich von Brockdorff-Rantzau, </w:t>
      </w:r>
      <w:r w:rsidR="005C0B1B" w:rsidRPr="003C0842">
        <w:t>najpierw jako</w:t>
      </w:r>
      <w:r w:rsidRPr="003C0842">
        <w:t>sekretarz stanu w tym resorcie</w:t>
      </w:r>
      <w:r w:rsidR="005C0B1B" w:rsidRPr="003C0842">
        <w:t xml:space="preserve">, a od lutego 1919 r.minister. Stał na czele </w:t>
      </w:r>
      <w:r w:rsidRPr="003C0842">
        <w:t>delegacj</w:t>
      </w:r>
      <w:r w:rsidR="005C0B1B" w:rsidRPr="003C0842">
        <w:t>i</w:t>
      </w:r>
      <w:r w:rsidRPr="003C0842">
        <w:t xml:space="preserve"> niemieck</w:t>
      </w:r>
      <w:r w:rsidR="005C0B1B" w:rsidRPr="003C0842">
        <w:t>iej, która przedłożyła</w:t>
      </w:r>
      <w:r w:rsidRPr="003C0842">
        <w:t xml:space="preserve"> 29 maja 1919 r. w Wersalu uwagi do projektu układu pokojowego.</w:t>
      </w:r>
      <w:r w:rsidR="00DE64B6" w:rsidRPr="003C0842">
        <w:t>Ż</w:t>
      </w:r>
      <w:r w:rsidRPr="003C0842">
        <w:t>ąda</w:t>
      </w:r>
      <w:r w:rsidR="00DE64B6" w:rsidRPr="003C0842">
        <w:t xml:space="preserve">nia </w:t>
      </w:r>
      <w:r w:rsidRPr="003C0842">
        <w:t>daleko idących zmian</w:t>
      </w:r>
      <w:r w:rsidR="00DE64B6" w:rsidRPr="003C0842">
        <w:t xml:space="preserve"> oraz – wobec odmowy – </w:t>
      </w:r>
      <w:r w:rsidRPr="003C0842">
        <w:t>dymisj</w:t>
      </w:r>
      <w:r w:rsidR="00DE64B6" w:rsidRPr="003C0842">
        <w:t>a z rządu, wzm</w:t>
      </w:r>
      <w:r w:rsidR="005C0B1B" w:rsidRPr="003C0842">
        <w:t>o</w:t>
      </w:r>
      <w:r w:rsidR="00DE64B6" w:rsidRPr="003C0842">
        <w:t>gły napięcie.</w:t>
      </w:r>
      <w:r w:rsidR="005C0B1B" w:rsidRPr="003C0842">
        <w:t xml:space="preserve">Dopiero </w:t>
      </w:r>
      <w:r w:rsidRPr="003C0842">
        <w:t>groźb</w:t>
      </w:r>
      <w:r w:rsidR="005C0B1B" w:rsidRPr="003C0842">
        <w:t>a</w:t>
      </w:r>
      <w:r w:rsidRPr="003C0842">
        <w:t xml:space="preserve"> wznowienia działań wojennych złama</w:t>
      </w:r>
      <w:r w:rsidR="005C0B1B" w:rsidRPr="003C0842">
        <w:t>ła</w:t>
      </w:r>
      <w:r w:rsidRPr="003C0842">
        <w:t xml:space="preserve"> opór parlamentu i</w:t>
      </w:r>
      <w:r w:rsidR="00640982" w:rsidRPr="003C0842">
        <w:t xml:space="preserve"> nowo utworzonego rządu z Gustav</w:t>
      </w:r>
      <w:r w:rsidRPr="003C0842">
        <w:t>em Bauerem jako premierem i Hermannem Müllerem jako ministrem spraw zagranicznych. Ten ostatni oraz minister komunikacji Johannes Bell podpisali 28 czerwca 1919 r. traktat pokojowy zwany wersalskim, od miejsca złożenia podpisów</w:t>
      </w:r>
      <w:r w:rsidRPr="003C0842">
        <w:rPr>
          <w:rStyle w:val="Odwoanieprzypisudolnego"/>
          <w:rFonts w:ascii="Times New Roman" w:hAnsi="Times New Roman"/>
          <w:sz w:val="24"/>
        </w:rPr>
        <w:footnoteReference w:id="33"/>
      </w:r>
      <w:r w:rsidRPr="003C0842">
        <w:t>.</w:t>
      </w:r>
    </w:p>
    <w:p w:rsidR="00212B99" w:rsidRPr="003C0842" w:rsidRDefault="00212B99" w:rsidP="00111348">
      <w:pPr>
        <w:spacing w:line="360" w:lineRule="auto"/>
      </w:pPr>
      <w:r w:rsidRPr="003C0842">
        <w:t>Układ pokojowy narzucony Niemcom</w:t>
      </w:r>
      <w:r w:rsidR="00511C74" w:rsidRPr="003C0842">
        <w:t>,</w:t>
      </w:r>
      <w:r w:rsidRPr="003C0842">
        <w:t xml:space="preserve"> już wówczas republikańskim</w:t>
      </w:r>
      <w:r w:rsidR="00511C74" w:rsidRPr="003C0842">
        <w:t>,</w:t>
      </w:r>
      <w:r w:rsidRPr="003C0842">
        <w:t xml:space="preserve"> uprawomocnił się 10 stycznia 1920 r. Był to czas ogólnonarodowego lamentu wzmaganego zawodem z powodu ustępliwości Wielkiej Brytanii i USA wobec żądań francuskich. Drakońskie postanowienia o charakterze gospodarczym (reparacje, utrata kolonii), wojskowym (rozbrojenie, kontrola zbrojeń), terytorialnym i ludnościowym (na rzecz Francji, Polski, Czechosłowacji, Danii) nabierały dodatkowego znaczenia w kontekście politycznym, prestiżowym i moralnym: odpowiedzialność za wojnę, sąd na</w:t>
      </w:r>
      <w:r w:rsidR="00714132" w:rsidRPr="003C0842">
        <w:t>d</w:t>
      </w:r>
      <w:r w:rsidRPr="003C0842">
        <w:t xml:space="preserve"> cesarzem i dowództwem, aż po faktyczną eliminację z życia międzynarodowego poprzez zamknięcie </w:t>
      </w:r>
      <w:r w:rsidR="00511C74" w:rsidRPr="003C0842">
        <w:t>wrót</w:t>
      </w:r>
      <w:r w:rsidRPr="003C0842">
        <w:t xml:space="preserve"> do Ligi Narodów. To wszystko dotykało państwo z wielkimi tradycjami o bardzo dużym, nie zniszczonym przez wojnę potencjale gospodarczym i ludnościowym (60 mln), znacznie przewyższającym pozostałe państwa europejskie (poza Rosją). </w:t>
      </w:r>
    </w:p>
    <w:p w:rsidR="00212B99" w:rsidRPr="003C0842" w:rsidRDefault="00212B99" w:rsidP="00111348">
      <w:pPr>
        <w:spacing w:line="360" w:lineRule="auto"/>
      </w:pPr>
      <w:r w:rsidRPr="003C0842">
        <w:t xml:space="preserve">W sukurs niemieckim </w:t>
      </w:r>
      <w:r w:rsidR="00511C74" w:rsidRPr="003C0842">
        <w:t>protestom</w:t>
      </w:r>
      <w:r w:rsidRPr="003C0842">
        <w:t xml:space="preserve"> szły </w:t>
      </w:r>
      <w:r w:rsidR="005C0B1B" w:rsidRPr="003C0842">
        <w:t>prze</w:t>
      </w:r>
      <w:r w:rsidRPr="003C0842">
        <w:t xml:space="preserve">różnie pretensje, nie tylko </w:t>
      </w:r>
      <w:r w:rsidR="005C0B1B" w:rsidRPr="003C0842">
        <w:t>z pozostałych</w:t>
      </w:r>
      <w:r w:rsidRPr="003C0842">
        <w:t xml:space="preserve"> państw pokonan</w:t>
      </w:r>
      <w:r w:rsidR="005C0B1B" w:rsidRPr="003C0842">
        <w:t>ych</w:t>
      </w:r>
      <w:r w:rsidRPr="003C0842">
        <w:t xml:space="preserve">, ale też z obozu zwycięzców. Do obszernego rejestru dodać trzeba także krytykę ze strony entuzjastów Ligi Narodów, którzy mieli za złe jej twórcom, że podzielili świat na </w:t>
      </w:r>
      <w:r w:rsidRPr="003C0842">
        <w:lastRenderedPageBreak/>
        <w:t>trzy grupy. Do pierwszej zaliczono pierwotnych członków Ligi, państwa na ogół godne zaufania, współdziałające podczas wielkiej wojny po stronie Francji, Wielkiej Brytanii, USA. Grupę drugą stanowiły państwa zaproszone, rekrutujące się spośród neutralnych. W końcu trzecią grupę stanowiły wszystkie państwa pokonane w wielkiej wojnie z Niemcami na czele, niektóre wielkie państwa o niestabilnej sytuacji wewnętrznej, jak Rosja czy nie lubiany przez Amerykanów z USA Meksyk, w końcu mikropaństwa jak Luksemburg czy Li</w:t>
      </w:r>
      <w:r w:rsidR="00640982" w:rsidRPr="003C0842">
        <w:t>e</w:t>
      </w:r>
      <w:r w:rsidRPr="003C0842">
        <w:t>chtenstein</w:t>
      </w:r>
      <w:r w:rsidRPr="003C0842">
        <w:rPr>
          <w:rStyle w:val="Odwoanieprzypisudolnego"/>
          <w:rFonts w:ascii="Times New Roman" w:hAnsi="Times New Roman"/>
          <w:sz w:val="24"/>
        </w:rPr>
        <w:footnoteReference w:id="34"/>
      </w:r>
      <w:r w:rsidRPr="003C0842">
        <w:t>.</w:t>
      </w:r>
    </w:p>
    <w:p w:rsidR="00212B99" w:rsidRPr="003C0842" w:rsidRDefault="00212B99" w:rsidP="00111348">
      <w:pPr>
        <w:spacing w:line="360" w:lineRule="auto"/>
      </w:pPr>
      <w:r w:rsidRPr="003C0842">
        <w:t xml:space="preserve">Tak więc Ligę narodów tworzyły państwa, które zwyciężyły w wojnie. Było to widoczne dla </w:t>
      </w:r>
      <w:r w:rsidR="00A70EB5" w:rsidRPr="003C0842">
        <w:t>wielu osób</w:t>
      </w:r>
      <w:r w:rsidRPr="003C0842">
        <w:t xml:space="preserve">, a przy tym zaskakujące (lub tylko niespodziewane) odstępstwo od pierwotnych idei, a nawet całej filozofii powstającego stowarzyszenia. </w:t>
      </w:r>
      <w:r w:rsidR="00E36588" w:rsidRPr="003C0842">
        <w:t>T</w:t>
      </w:r>
      <w:r w:rsidRPr="003C0842">
        <w:t>en stan rzeczy</w:t>
      </w:r>
      <w:r w:rsidR="00E36588" w:rsidRPr="003C0842">
        <w:t>, zwłaszcza niechętni Lidze, łączyli</w:t>
      </w:r>
      <w:r w:rsidRPr="003C0842">
        <w:t xml:space="preserve"> z „tajną dyplomacją”. Wbrew pierwotnym deklaracjom królowała ona zarówno przy ustalaniu warunków dla Niemiec, jak i przetargów dotyczących zasad funkcjonowania Ligi. W każdym też razie lekceważone i ignorowane były równościowo-demokratyczne zasady obrad. Posiedzenia plenarne, czy to samej konferencji pokojowej, czy też </w:t>
      </w:r>
      <w:r w:rsidR="00E36588" w:rsidRPr="003C0842">
        <w:t xml:space="preserve">prezydowanej przez Wilsona Komisji </w:t>
      </w:r>
      <w:r w:rsidRPr="003C0842">
        <w:t>Li</w:t>
      </w:r>
      <w:r w:rsidR="00E36588" w:rsidRPr="003C0842">
        <w:t>gi</w:t>
      </w:r>
      <w:r w:rsidRPr="003C0842">
        <w:t xml:space="preserve"> Narodów, unaoczniały dominację mocarstw. Zresztą także to pojęcie zostało </w:t>
      </w:r>
      <w:r w:rsidRPr="003C0842">
        <w:rPr>
          <w:i/>
        </w:rPr>
        <w:t>via fatti</w:t>
      </w:r>
      <w:r w:rsidRPr="003C0842">
        <w:t xml:space="preserve"> zredukowane do trzech, bo Włochy i Japonia eliminowały się z „wielkiej piątki” same, koncentrując się zwykle na sprawach ich dotyczących.</w:t>
      </w:r>
    </w:p>
    <w:p w:rsidR="00890133" w:rsidRPr="003C0842" w:rsidRDefault="00212B99" w:rsidP="00111348">
      <w:pPr>
        <w:spacing w:line="360" w:lineRule="auto"/>
      </w:pPr>
      <w:r w:rsidRPr="003C0842">
        <w:t xml:space="preserve">Dość niespodziewanie traktat wersalski największy rezonans spośród zwycięzców wywołał w Stanach Zjednoczonych. Bezpardonowej krytyce przewodzili republikanie. Zdobytą przewagę w obu izbach kongresu zamierzali ugruntować prezydenturą </w:t>
      </w:r>
      <w:r w:rsidR="00A70EB5" w:rsidRPr="003C0842">
        <w:t xml:space="preserve">kandydata </w:t>
      </w:r>
      <w:r w:rsidRPr="003C0842">
        <w:t>ze sw</w:t>
      </w:r>
      <w:r w:rsidR="00A70EB5" w:rsidRPr="003C0842">
        <w:t>ojego</w:t>
      </w:r>
      <w:r w:rsidRPr="003C0842">
        <w:t xml:space="preserve"> ugrupowania. </w:t>
      </w:r>
      <w:r w:rsidR="00E36588" w:rsidRPr="003C0842">
        <w:t>N</w:t>
      </w:r>
      <w:r w:rsidRPr="003C0842">
        <w:t xml:space="preserve">ie stroniono od </w:t>
      </w:r>
      <w:r w:rsidR="00A452B5" w:rsidRPr="003C0842">
        <w:t xml:space="preserve">oskarżeń </w:t>
      </w:r>
      <w:r w:rsidRPr="003C0842">
        <w:t>demagogicznych, poniżających i nieprawdziwych</w:t>
      </w:r>
      <w:r w:rsidR="00E36588" w:rsidRPr="003C0842">
        <w:t>; dominowała</w:t>
      </w:r>
      <w:r w:rsidR="00A452B5" w:rsidRPr="003C0842">
        <w:t xml:space="preserve"> teza o </w:t>
      </w:r>
      <w:r w:rsidRPr="003C0842">
        <w:t>pierwszeństw</w:t>
      </w:r>
      <w:r w:rsidR="00A452B5" w:rsidRPr="003C0842">
        <w:t>ie</w:t>
      </w:r>
      <w:r w:rsidRPr="003C0842">
        <w:t xml:space="preserve"> interesu własnego, amerykańskiego nad cudzym, euro</w:t>
      </w:r>
      <w:r w:rsidR="00A452B5" w:rsidRPr="003C0842">
        <w:t>pejskim. Nośne swego czasu hasła</w:t>
      </w:r>
      <w:r w:rsidRPr="003C0842">
        <w:t xml:space="preserve"> o posłannictwie i misji „nowego” świata wobec „starego”, zostało zdominowane pytaniem o korzyści z udziału w wojnie, rozumiane bardzo dosłownie</w:t>
      </w:r>
      <w:r w:rsidRPr="003C0842">
        <w:rPr>
          <w:rStyle w:val="Odwoanieprzypisudolnego"/>
          <w:rFonts w:ascii="Times New Roman" w:hAnsi="Times New Roman"/>
          <w:sz w:val="24"/>
        </w:rPr>
        <w:footnoteReference w:id="35"/>
      </w:r>
      <w:r w:rsidRPr="003C0842">
        <w:t xml:space="preserve">. Tymczasem spleciony z traktatem pokojowym Pakt Ligi Narodów wymuszał dalszą obecność w niespokojnej, zantagonizowanej, coraz bardziej rozdrobnionej Europie. </w:t>
      </w:r>
    </w:p>
    <w:p w:rsidR="00E36588" w:rsidRPr="003C0842" w:rsidRDefault="00212B99" w:rsidP="00111348">
      <w:pPr>
        <w:spacing w:line="360" w:lineRule="auto"/>
      </w:pPr>
      <w:r w:rsidRPr="003C0842">
        <w:lastRenderedPageBreak/>
        <w:t>Poszukiwanie kompromisu utrudniało niezadowolenie części zwolenników prezydenta Wilsona, którzy zarzucali mu odstępstwo od pierwotnie deklarowanych zasad. Większość spośród nich dążyła jednak do przeprowadzenia ratyfikacji w wersji widniejącej w traktacie wersalskim. Odrzucali oni sugestie 14 poprawek i interpretacji proponowanych przez rep</w:t>
      </w:r>
      <w:r w:rsidR="00714132" w:rsidRPr="003C0842">
        <w:t>ublikańskich polityków. Sytuację</w:t>
      </w:r>
      <w:r w:rsidRPr="003C0842">
        <w:t xml:space="preserve"> komplikował częściowy paraliż prezydenta</w:t>
      </w:r>
      <w:r w:rsidR="00714132" w:rsidRPr="003C0842">
        <w:t>,</w:t>
      </w:r>
      <w:r w:rsidRPr="003C0842">
        <w:t xml:space="preserve"> wywołany </w:t>
      </w:r>
      <w:r w:rsidR="00890133" w:rsidRPr="003C0842">
        <w:t>ogromnymzaangażowaniem</w:t>
      </w:r>
      <w:r w:rsidRPr="003C0842">
        <w:t xml:space="preserve"> towarzyszącym trwającej walce. </w:t>
      </w:r>
      <w:r w:rsidR="00A452B5" w:rsidRPr="003C0842">
        <w:t>Z</w:t>
      </w:r>
      <w:r w:rsidRPr="003C0842">
        <w:t>głoszenie kandydatury Wilsona na kolejną, trzecią kadencję prezydencką i potraktowanie kampanii jako ogólnonarodowego referendum w sprawie Ligi Narodów</w:t>
      </w:r>
      <w:r w:rsidR="00A452B5" w:rsidRPr="003C0842">
        <w:t>, uznaje się za „zgoła szaleńczą”</w:t>
      </w:r>
      <w:r w:rsidR="00A452B5" w:rsidRPr="003C0842">
        <w:rPr>
          <w:rStyle w:val="Odwoanieprzypisudolnego"/>
          <w:rFonts w:ascii="Times New Roman" w:hAnsi="Times New Roman"/>
          <w:sz w:val="24"/>
        </w:rPr>
        <w:footnoteReference w:id="36"/>
      </w:r>
      <w:r w:rsidRPr="003C0842">
        <w:t xml:space="preserve">. </w:t>
      </w:r>
    </w:p>
    <w:p w:rsidR="00212B99" w:rsidRPr="003C0842" w:rsidRDefault="00212B99" w:rsidP="00111348">
      <w:pPr>
        <w:spacing w:line="360" w:lineRule="auto"/>
      </w:pPr>
      <w:r w:rsidRPr="003C0842">
        <w:t xml:space="preserve">Kolejna próba sił w senacie 19 marca 1920 r. zakończyła się ponowną odmową ratyfikacji traktatu wersalskiego, formalnie zresztą już obowiązującego. Przypieczętowaniem klęski „idealizmu wilsonowskiego” były wybory prezydenckie, w których przedstawiciel republikanów Warren G. Harding zwyciężył zdecydowanie. Wyborcy </w:t>
      </w:r>
      <w:r w:rsidR="00890133" w:rsidRPr="003C0842">
        <w:t>n</w:t>
      </w:r>
      <w:r w:rsidR="00A452B5" w:rsidRPr="003C0842">
        <w:t>aj</w:t>
      </w:r>
      <w:r w:rsidRPr="003C0842">
        <w:t>bardziej chcieli zdyskontować zyski</w:t>
      </w:r>
      <w:r w:rsidR="00714132" w:rsidRPr="003C0842">
        <w:t>,</w:t>
      </w:r>
      <w:r w:rsidRPr="003C0842">
        <w:t xml:space="preserve"> jakie z poświęcenia dla „startego kontynentu” mieli uzyskać. Stany Z</w:t>
      </w:r>
      <w:r w:rsidR="00A452B5" w:rsidRPr="003C0842">
        <w:t>jednoczone chciały być beneficjentem</w:t>
      </w:r>
      <w:r w:rsidRPr="003C0842">
        <w:t xml:space="preserve"> postanowień pokojowych, ale bez niewygodnych, czy wręcz kłopotliwych zobowiązań wobec Europy – zwaśnionej, zadłużonej, biednej, zrewoltowanej. Cele te zasadniczo zostały osiągnięte w separatystycznym pokoju z Niemcami, Austrią i Węgrami przyjętym przez senat 18 października 1921 r. Trzypunktowy tekst dokumentu o Lidze Narodów nie wspominał</w:t>
      </w:r>
      <w:r w:rsidRPr="003C0842">
        <w:rPr>
          <w:rStyle w:val="Odwoanieprzypisudolnego"/>
          <w:rFonts w:ascii="Times New Roman" w:hAnsi="Times New Roman"/>
          <w:sz w:val="24"/>
        </w:rPr>
        <w:footnoteReference w:id="37"/>
      </w:r>
      <w:r w:rsidRPr="003C0842">
        <w:t>.</w:t>
      </w:r>
    </w:p>
    <w:p w:rsidR="0092747F" w:rsidRPr="003C0842" w:rsidRDefault="0092747F" w:rsidP="00111348">
      <w:pPr>
        <w:spacing w:line="360" w:lineRule="auto"/>
      </w:pPr>
      <w:r w:rsidRPr="003C0842">
        <w:t xml:space="preserve">Niechęć, wrogość większości obywateli Stanów Zjednoczonych wobec LN okazała się stanem trwałym. Amerykaodmawiała uczestniczenia w jakichkolwiek przedsięwzięciach o charakterze zbiorowym, które mogłyby wplątać ją w </w:t>
      </w:r>
      <w:r w:rsidR="00C3346B" w:rsidRPr="003C0842">
        <w:t>spory</w:t>
      </w:r>
      <w:r w:rsidRPr="003C0842">
        <w:t xml:space="preserve"> po drugiej stronie Atlantyku. </w:t>
      </w:r>
      <w:r w:rsidR="00C20766" w:rsidRPr="003C0842">
        <w:t>Każ</w:t>
      </w:r>
      <w:r w:rsidRPr="003C0842">
        <w:t>d</w:t>
      </w:r>
      <w:r w:rsidR="00C20766" w:rsidRPr="003C0842">
        <w:t xml:space="preserve">ainicjatywa tego typu </w:t>
      </w:r>
      <w:r w:rsidR="00C3346B" w:rsidRPr="003C0842">
        <w:t>to świadczenie</w:t>
      </w:r>
      <w:r w:rsidR="00C20766" w:rsidRPr="003C0842">
        <w:t xml:space="preserve"> z jej strony, jako państwa najsilniejszego, a przy tym całkowicie bezpiecznego. Politycy z grupy „nieprzejednanych”, wśród których dominowali republikanie, wzniecali alarmy, jeśli tylko dostrzegali inicjatywy, nawet </w:t>
      </w:r>
      <w:r w:rsidR="00C3346B" w:rsidRPr="003C0842">
        <w:t xml:space="preserve">sugerujące </w:t>
      </w:r>
      <w:r w:rsidR="00C20766" w:rsidRPr="003C0842">
        <w:t>przybliżani</w:t>
      </w:r>
      <w:r w:rsidR="00C3346B" w:rsidRPr="003C0842">
        <w:t>e</w:t>
      </w:r>
      <w:r w:rsidR="00C20766" w:rsidRPr="003C0842">
        <w:t xml:space="preserve"> się do Genewy „kuchennymi” drzwiami.</w:t>
      </w:r>
    </w:p>
    <w:p w:rsidR="00212B99" w:rsidRPr="003C0842" w:rsidRDefault="00212B99" w:rsidP="00111348">
      <w:pPr>
        <w:spacing w:line="360" w:lineRule="auto"/>
      </w:pPr>
    </w:p>
    <w:p w:rsidR="00212B99" w:rsidRPr="003C0842" w:rsidRDefault="00212B99" w:rsidP="00111348">
      <w:pPr>
        <w:spacing w:line="360" w:lineRule="auto"/>
        <w:rPr>
          <w:b/>
        </w:rPr>
      </w:pPr>
      <w:r w:rsidRPr="003C0842">
        <w:rPr>
          <w:b/>
        </w:rPr>
        <w:t>2. Twórcy de facto</w:t>
      </w:r>
    </w:p>
    <w:p w:rsidR="00212B99" w:rsidRPr="003C0842" w:rsidRDefault="00212B99" w:rsidP="00111348">
      <w:pPr>
        <w:spacing w:line="360" w:lineRule="auto"/>
      </w:pPr>
    </w:p>
    <w:p w:rsidR="00212B99" w:rsidRPr="003C0842" w:rsidRDefault="00212B99" w:rsidP="00111348">
      <w:pPr>
        <w:spacing w:line="360" w:lineRule="auto"/>
      </w:pPr>
      <w:r w:rsidRPr="003C0842">
        <w:lastRenderedPageBreak/>
        <w:t>Zdeterminowane, okresowo gwałtowne, nie wolne do personalnego cynizmu spory Amerykanów o Ligę Narodów wywoływały w Europie duże poruszenie. Zatroskani współtwórcy Ligi, zwłaszcza w Londynie i Paryżu skłonni byli iść na ustępstwa, nigdy jednak dokładnie nie sprecyzowane. Nie byłoby to zresztą łatwe</w:t>
      </w:r>
      <w:r w:rsidR="00662F3A" w:rsidRPr="003C0842">
        <w:t>,</w:t>
      </w:r>
      <w:r w:rsidRPr="003C0842">
        <w:t xml:space="preserve"> gdyż każdy dodatkowy zapis czy indywidualna korekta lub interpretacja podpisanego w Wersalu traktatu pokojowego stwarzały możliwość jego podważenia. Nadzieje </w:t>
      </w:r>
      <w:r w:rsidR="00890133" w:rsidRPr="003C0842">
        <w:t xml:space="preserve">(obawy) </w:t>
      </w:r>
      <w:r w:rsidRPr="003C0842">
        <w:t>tego rodzaju były tym większe</w:t>
      </w:r>
      <w:r w:rsidR="00662F3A" w:rsidRPr="003C0842">
        <w:t>,</w:t>
      </w:r>
      <w:r w:rsidRPr="003C0842">
        <w:t xml:space="preserve"> im bardziej zmiany wchodziły w grę. Niewątpliwie brak amerykańskiej ratyfikacji traktatu wersalskiego, a tym samym odrzucenie Paktu Ligi Narodów to pierwsza poważna rysa w budowanej właśnie strukturze wersalskiej. </w:t>
      </w:r>
    </w:p>
    <w:p w:rsidR="00212B99" w:rsidRPr="003C0842" w:rsidRDefault="00212B99" w:rsidP="00111348">
      <w:pPr>
        <w:spacing w:line="360" w:lineRule="auto"/>
      </w:pPr>
      <w:r w:rsidRPr="003C0842">
        <w:t>Z trwającej niemal trzy lata debaty europejscy „kibice” wyłuskiwali te elementy, które odpowiadały ich partykularnym interesom. Powojenna Europa raczej wzmacniała siły niezadowolonych</w:t>
      </w:r>
      <w:r w:rsidR="00890133" w:rsidRPr="003C0842">
        <w:t xml:space="preserve">–coraz </w:t>
      </w:r>
      <w:r w:rsidRPr="003C0842">
        <w:t>liczn</w:t>
      </w:r>
      <w:r w:rsidR="00890133" w:rsidRPr="003C0842">
        <w:t>iejszyc</w:t>
      </w:r>
      <w:r w:rsidRPr="003C0842">
        <w:t>h i silniejszych. Ich argumenty były tym chętniej słuchane przez współziomków, że odwoływały się do sytuacji na ogół prawdziwych, chociaż stronniczo interpretowanych. Dotyczyło to nie tylko państw pokonanych, ale też zwycięskich, w których pamiętano lub wręcz eksponowano obietnice później zapomniane lub realizowane wadliwie. Powszechne było zawodzenie, nieraz bardzo dosadne</w:t>
      </w:r>
      <w:r w:rsidR="00890133" w:rsidRPr="003C0842">
        <w:t>,</w:t>
      </w:r>
      <w:r w:rsidRPr="003C0842">
        <w:t xml:space="preserve"> o „przepaści” dzielącej 14</w:t>
      </w:r>
      <w:r w:rsidR="00662F3A" w:rsidRPr="003C0842">
        <w:t>-</w:t>
      </w:r>
      <w:r w:rsidRPr="003C0842">
        <w:t>punktowy program prezydenta Wilsona, a rzeczywistością ujętą w paragrafy traktatów pokojowych.</w:t>
      </w:r>
    </w:p>
    <w:p w:rsidR="00BD56B3" w:rsidRDefault="00212B99" w:rsidP="00111348">
      <w:pPr>
        <w:spacing w:line="360" w:lineRule="auto"/>
      </w:pPr>
      <w:r w:rsidRPr="003C0842">
        <w:t>Wcale mała część „zdradzonych” nadziei łączyła się z Ligą Narodów</w:t>
      </w:r>
      <w:r w:rsidRPr="003C0842">
        <w:rPr>
          <w:rStyle w:val="Odwoanieprzypisudolnego"/>
          <w:rFonts w:ascii="Times New Roman" w:hAnsi="Times New Roman"/>
          <w:sz w:val="24"/>
        </w:rPr>
        <w:footnoteReference w:id="38"/>
      </w:r>
      <w:r w:rsidRPr="003C0842">
        <w:t>. Tworzyły ją, w pełnym tego słowa znaczeniu, jedynie państwa zwycięskie, chociaż mieniła się otwartą dla wszystkich, spełniających określone warunki. Normy ogólne wprowadzone do Paktu LN pod naciskiem prezydenta Wilsona były niewątpliwie skażone idealizmem</w:t>
      </w:r>
      <w:r w:rsidRPr="003C0842">
        <w:rPr>
          <w:rStyle w:val="Odwoanieprzypisudolnego"/>
          <w:rFonts w:ascii="Times New Roman" w:hAnsi="Times New Roman"/>
          <w:sz w:val="24"/>
        </w:rPr>
        <w:footnoteReference w:id="39"/>
      </w:r>
      <w:r w:rsidRPr="003C0842">
        <w:t xml:space="preserve">. Członkowie zobowiązywali się, że nie będą uciekali się do wojny, a stosunki międzynarodowe </w:t>
      </w:r>
      <w:r w:rsidR="006229A1" w:rsidRPr="003C0842">
        <w:t xml:space="preserve">będą </w:t>
      </w:r>
      <w:r w:rsidRPr="003C0842">
        <w:t>op</w:t>
      </w:r>
      <w:r w:rsidR="006229A1" w:rsidRPr="003C0842">
        <w:t>ierać</w:t>
      </w:r>
      <w:r w:rsidRPr="003C0842">
        <w:t xml:space="preserve"> na jawności, sprawiedliwości i honorze. Mi</w:t>
      </w:r>
      <w:r w:rsidR="00C3346B" w:rsidRPr="003C0842">
        <w:t>eli</w:t>
      </w:r>
      <w:r w:rsidRPr="003C0842">
        <w:t xml:space="preserve"> też przestrzegać ściśle przepisów prawa międzynarodowego oraz skrupulatnie szanować wszelkie zobowiązania traktowane we wzajemnych stosunkach między zorganizowanymi narodami.</w:t>
      </w:r>
    </w:p>
    <w:p w:rsidR="00212B99" w:rsidRPr="003C0842" w:rsidRDefault="00C3346B" w:rsidP="00111348">
      <w:pPr>
        <w:spacing w:line="360" w:lineRule="auto"/>
      </w:pPr>
      <w:r w:rsidRPr="003C0842">
        <w:t>P</w:t>
      </w:r>
      <w:r w:rsidR="00212B99" w:rsidRPr="003C0842">
        <w:t xml:space="preserve">ierwotnymi członkami Ligi Narodów </w:t>
      </w:r>
      <w:r w:rsidR="006229A1" w:rsidRPr="003C0842">
        <w:t>byli</w:t>
      </w:r>
      <w:r w:rsidR="00212B99" w:rsidRPr="003C0842">
        <w:t xml:space="preserve"> sygnatariusze traktatów pokojowych wymienieni w aneksie do Paktu oraz państwa zaproszone do przystąpienia do Ligi, jeśli bez </w:t>
      </w:r>
      <w:r w:rsidR="00212B99" w:rsidRPr="003C0842">
        <w:lastRenderedPageBreak/>
        <w:t xml:space="preserve">zastrzeżeń złożą stosowną deklarację w Sekretariacie Ligi. </w:t>
      </w:r>
      <w:r w:rsidRPr="003C0842">
        <w:t>K</w:t>
      </w:r>
      <w:r w:rsidR="00212B99" w:rsidRPr="003C0842">
        <w:t>ażde państwo, dominium lub kolonia, rządzące się samodzielnie</w:t>
      </w:r>
      <w:r w:rsidR="006229A1" w:rsidRPr="003C0842">
        <w:t>,</w:t>
      </w:r>
      <w:r w:rsidR="00212B99" w:rsidRPr="003C0842">
        <w:t xml:space="preserve"> mo</w:t>
      </w:r>
      <w:r w:rsidRPr="003C0842">
        <w:t>gło</w:t>
      </w:r>
      <w:r w:rsidR="00212B99" w:rsidRPr="003C0842">
        <w:t xml:space="preserve"> stać się członkiem Ligi, jeżeli </w:t>
      </w:r>
      <w:r w:rsidR="006229A1" w:rsidRPr="003C0842">
        <w:t>taki wniosek uzyskapoparcie2/3</w:t>
      </w:r>
      <w:r w:rsidR="00212B99" w:rsidRPr="003C0842">
        <w:t xml:space="preserve"> Zgromadzenia. Kandydat musiał jednak dać rzeczywiste rękojmie swych szczerych zamiarów przestrzegania zobowiązań międzynarodowych, w tym ustalonych przez Ligę norm dla swoich sił zbrojnych</w:t>
      </w:r>
      <w:r w:rsidR="00212B99" w:rsidRPr="003C0842">
        <w:rPr>
          <w:rStyle w:val="Odwoanieprzypisudolnego"/>
          <w:rFonts w:ascii="Times New Roman" w:hAnsi="Times New Roman"/>
          <w:sz w:val="24"/>
        </w:rPr>
        <w:footnoteReference w:id="40"/>
      </w:r>
      <w:r w:rsidR="00212B99" w:rsidRPr="003C0842">
        <w:t xml:space="preserve">. </w:t>
      </w:r>
    </w:p>
    <w:p w:rsidR="00212B99" w:rsidRPr="003C0842" w:rsidRDefault="00212B99" w:rsidP="00111348">
      <w:pPr>
        <w:spacing w:line="360" w:lineRule="auto"/>
      </w:pPr>
      <w:r w:rsidRPr="003C0842">
        <w:t xml:space="preserve">Realizacja tych wskazań była od </w:t>
      </w:r>
      <w:r w:rsidR="006229A1" w:rsidRPr="003C0842">
        <w:t>zarania powodem</w:t>
      </w:r>
      <w:r w:rsidRPr="003C0842">
        <w:t xml:space="preserve"> kontrowersji. Rozszerzającej interpretacji zakładającej utworzenie Ligi Narodów służącej pojednaniu i równościowej współpracy sprzeciwiała się Francja, wspierana zwłaszcza przez państwa powstałe na gruzach pokonanych imperiów. Liga miała być przede wszystkim związkiem zwycięzców, oferującym dodatkowe gwarancje, że </w:t>
      </w:r>
      <w:r w:rsidR="006229A1" w:rsidRPr="003C0842">
        <w:t>efekty</w:t>
      </w:r>
      <w:r w:rsidRPr="003C0842">
        <w:t xml:space="preserve"> wojny będą </w:t>
      </w:r>
      <w:r w:rsidR="006229A1" w:rsidRPr="003C0842">
        <w:t>trwałe</w:t>
      </w:r>
      <w:r w:rsidRPr="003C0842">
        <w:t xml:space="preserve">. Zanim wiec w Genewie, siedzibie Ligi Narodów, pojawią się przedstawiciele państw pokonanych jako partnerzy nowej Europy, muszą spełnić liczne warunki formułowane kategorycznie. Syntetyzuje je </w:t>
      </w:r>
      <w:r w:rsidR="004E503E" w:rsidRPr="003C0842">
        <w:t xml:space="preserve">oczekiwanie, że </w:t>
      </w:r>
      <w:r w:rsidR="002E56EE">
        <w:t>„</w:t>
      </w:r>
      <w:r w:rsidR="004E503E" w:rsidRPr="003C0842">
        <w:t>Szwab</w:t>
      </w:r>
      <w:r w:rsidR="002E56EE">
        <w:t>”</w:t>
      </w:r>
      <w:r w:rsidR="004E503E" w:rsidRPr="003C0842">
        <w:t xml:space="preserve"> będzie musiał za wszystko zapłacić(</w:t>
      </w:r>
      <w:r w:rsidRPr="003C0842">
        <w:rPr>
          <w:i/>
        </w:rPr>
        <w:t>Boche p</w:t>
      </w:r>
      <w:r w:rsidR="00212E8E" w:rsidRPr="003C0842">
        <w:rPr>
          <w:i/>
        </w:rPr>
        <w:t>a</w:t>
      </w:r>
      <w:r w:rsidRPr="003C0842">
        <w:rPr>
          <w:i/>
        </w:rPr>
        <w:t>ier</w:t>
      </w:r>
      <w:r w:rsidR="006229A1" w:rsidRPr="003C0842">
        <w:rPr>
          <w:i/>
        </w:rPr>
        <w:t>à</w:t>
      </w:r>
      <w:r w:rsidR="004E503E" w:rsidRPr="003C0842">
        <w:t xml:space="preserve">). Było to </w:t>
      </w:r>
      <w:r w:rsidRPr="003C0842">
        <w:t xml:space="preserve">żądanie, ale też hasło </w:t>
      </w:r>
      <w:r w:rsidR="00A8551A" w:rsidRPr="003C0842">
        <w:t>końc</w:t>
      </w:r>
      <w:r w:rsidR="004E503E" w:rsidRPr="003C0842">
        <w:t xml:space="preserve">zącej się </w:t>
      </w:r>
      <w:r w:rsidRPr="003C0842">
        <w:t xml:space="preserve">wojny i </w:t>
      </w:r>
      <w:r w:rsidR="006229A1" w:rsidRPr="003C0842">
        <w:t>wykuwanego</w:t>
      </w:r>
      <w:r w:rsidRPr="003C0842">
        <w:t xml:space="preserve"> pokoju. Dla wypowiadających te słowa Liga jawiła się jako instytucja wspomagająca egzekucję odszkodowań, pilnująca</w:t>
      </w:r>
      <w:r w:rsidR="00662F3A" w:rsidRPr="003C0842">
        <w:t>,</w:t>
      </w:r>
      <w:r w:rsidRPr="003C0842">
        <w:t xml:space="preserve"> aby rzeczywiście „Szwab zapłacił” i pokrył straty byłe i obecne, także za łzy wylane z powodu śmierci i kalectwa tysięcy młodych ludzi, pogłębiających wyrwę demograficzną. Reparacje miały ustrzec przed powtórką nie tylko lat 1914</w:t>
      </w:r>
      <w:r w:rsidR="005A5F3B">
        <w:t>-</w:t>
      </w:r>
      <w:r w:rsidRPr="003C0842">
        <w:t>1918, ale i Wersalu – celebrowanego przez sąsiadów jako narodzin II Rzeszy</w:t>
      </w:r>
      <w:r w:rsidR="004E503E" w:rsidRPr="003C0842">
        <w:t xml:space="preserve"> w wyniku zwycięskiej wojny nad Francją w</w:t>
      </w:r>
      <w:r w:rsidR="00A737C0" w:rsidRPr="003C0842">
        <w:t>1871</w:t>
      </w:r>
      <w:r w:rsidRPr="003C0842">
        <w:rPr>
          <w:rStyle w:val="Odwoanieprzypisudolnego"/>
          <w:rFonts w:ascii="Times New Roman" w:hAnsi="Times New Roman"/>
          <w:sz w:val="24"/>
        </w:rPr>
        <w:footnoteReference w:id="41"/>
      </w:r>
      <w:r w:rsidRPr="003C0842">
        <w:t>.</w:t>
      </w:r>
    </w:p>
    <w:p w:rsidR="00212B99" w:rsidRPr="003C0842" w:rsidRDefault="00212B99" w:rsidP="00900BE3">
      <w:pPr>
        <w:spacing w:line="360" w:lineRule="auto"/>
      </w:pPr>
      <w:r w:rsidRPr="003C0842">
        <w:t>Wymownym przykładem takiego właśnie podejścia do roli Ligi Narodów była próba powołania w ramach sekcji politycznej Sekretariatu osoby specjalnie zajmującej się sprawami niemieckimi. Paul Mantoux – dyrektor tej sekcji, będący jak wszystko</w:t>
      </w:r>
      <w:r w:rsidR="00662F3A" w:rsidRPr="003C0842">
        <w:t>,</w:t>
      </w:r>
      <w:r w:rsidRPr="003C0842">
        <w:t xml:space="preserve"> co dotyczyło</w:t>
      </w:r>
      <w:r w:rsidR="00773FCD" w:rsidRPr="003C0842">
        <w:t xml:space="preserve"> Ligi Narodów in </w:t>
      </w:r>
      <w:r w:rsidR="00A737C0" w:rsidRPr="003C0842">
        <w:t>statu</w:t>
      </w:r>
      <w:r w:rsidR="00773FCD" w:rsidRPr="003C0842">
        <w:t xml:space="preserve"> nascendi, </w:t>
      </w:r>
      <w:r w:rsidRPr="003C0842">
        <w:t>sondował we wrześniu 1919 r. przydatność kandydatury prof. Otfrieda Nippolda, pacyfisty urodzonego w Wiesbaden, ale od 1905 r. mieszkającego w Bernie. Po rozmowie z nim prosił o radę sekretarza generalnego Erica Drummonda, podkreślając swe „dobre wrażenie” wyniesione z rozmowy. Przypominał zarazem</w:t>
      </w:r>
      <w:r w:rsidR="00BA25B3" w:rsidRPr="003C0842">
        <w:t xml:space="preserve"> piśmie do sekretarza generalnego</w:t>
      </w:r>
      <w:r w:rsidRPr="003C0842">
        <w:t>, że energia</w:t>
      </w:r>
      <w:r w:rsidR="00BA25B3" w:rsidRPr="003C0842">
        <w:t>,</w:t>
      </w:r>
      <w:r w:rsidRPr="003C0842">
        <w:t xml:space="preserve"> z jaką prof. Nippold </w:t>
      </w:r>
      <w:r w:rsidR="00900BE3" w:rsidRPr="001E5F63">
        <w:t>„</w:t>
      </w:r>
      <w:r w:rsidRPr="001E5F63">
        <w:t>demaskował kryminalną politykę niemiecką przysporzyła mu wielu wrogów nie tylko w Niemczech, ale i niemieckojęzycznej Szwajcarii. Lecz podczas wojny upowszechniał on jedynie idee, z którymi był związany wcześniej, a mianowicie zachwalał międzynarodową koncyliację i mobilizował swoich niemieckojęzycznych przyjaciół przeciwko tendencjom dominacji polityki i opinii niemieckiej</w:t>
      </w:r>
      <w:r w:rsidR="00900BE3" w:rsidRPr="001E5F63">
        <w:t xml:space="preserve">”. </w:t>
      </w:r>
      <w:r w:rsidRPr="001E5F63">
        <w:t>List ten Paul Mantoux kończył zapewnieni</w:t>
      </w:r>
      <w:r w:rsidRPr="003C0842">
        <w:t xml:space="preserve">em, że wobec prof. Nippolda nie </w:t>
      </w:r>
      <w:r w:rsidRPr="003C0842">
        <w:lastRenderedPageBreak/>
        <w:t>sformułował żadnej definitywnej propozycji. W odpowiedzi Erica Drummonda z 14 października 1919 r. sugerowano spokojne rozważenie ewentualnej kandydatury rekrutującej się ze Szwajcarii. Wskazując na konieczny do uwzględnienia kontekst rosyjski</w:t>
      </w:r>
      <w:r w:rsidR="00BA25B3" w:rsidRPr="003C0842">
        <w:t>,</w:t>
      </w:r>
      <w:r w:rsidRPr="003C0842">
        <w:t xml:space="preserve"> zastanawiał się nad kandydaturami z odmiennych regionów i kręgów kulturowych, np. przedstawicieli z Ameryki Południowej, Hiszpanii może Rumunii</w:t>
      </w:r>
      <w:r w:rsidRPr="003C0842">
        <w:rPr>
          <w:rStyle w:val="Odwoanieprzypisudolnego"/>
          <w:rFonts w:ascii="Times New Roman" w:hAnsi="Times New Roman"/>
          <w:sz w:val="24"/>
        </w:rPr>
        <w:footnoteReference w:id="42"/>
      </w:r>
      <w:r w:rsidRPr="003C0842">
        <w:t>.</w:t>
      </w:r>
    </w:p>
    <w:p w:rsidR="00212B99" w:rsidRPr="003C0842" w:rsidRDefault="00212B99" w:rsidP="00111348">
      <w:pPr>
        <w:spacing w:line="360" w:lineRule="auto"/>
      </w:pPr>
      <w:r w:rsidRPr="003C0842">
        <w:t>Kandydatura prof. Nippolda jako pracownika sekcji politycznej Sekretariatu nie doszła do skutku</w:t>
      </w:r>
      <w:r w:rsidRPr="003C0842">
        <w:rPr>
          <w:rStyle w:val="Odwoanieprzypisudolnego"/>
          <w:rFonts w:ascii="Times New Roman" w:hAnsi="Times New Roman"/>
          <w:sz w:val="24"/>
        </w:rPr>
        <w:footnoteReference w:id="43"/>
      </w:r>
      <w:r w:rsidRPr="003C0842">
        <w:t xml:space="preserve"> z powodu niechęci brytyjskiego „lobby” w Sekretariacie, któremu mimo deklarowanej, a nawet manifestowanej bezstronności, przewodniczył </w:t>
      </w:r>
      <w:r w:rsidR="00773FCD" w:rsidRPr="003C0842">
        <w:t>S</w:t>
      </w:r>
      <w:r w:rsidRPr="003C0842">
        <w:t xml:space="preserve">ekretarz </w:t>
      </w:r>
      <w:r w:rsidR="00773FCD" w:rsidRPr="003C0842">
        <w:t>G</w:t>
      </w:r>
      <w:r w:rsidRPr="003C0842">
        <w:t>eneralny. O</w:t>
      </w:r>
      <w:r w:rsidR="00D336D7" w:rsidRPr="003C0842">
        <w:t>wo lobby</w:t>
      </w:r>
      <w:r w:rsidRPr="003C0842">
        <w:t xml:space="preserve"> by</w:t>
      </w:r>
      <w:r w:rsidR="00D336D7" w:rsidRPr="003C0842">
        <w:t>ło</w:t>
      </w:r>
      <w:r w:rsidRPr="003C0842">
        <w:t xml:space="preserve"> niechętn</w:t>
      </w:r>
      <w:r w:rsidR="00D336D7" w:rsidRPr="003C0842">
        <w:t>e</w:t>
      </w:r>
      <w:r w:rsidRPr="003C0842">
        <w:t xml:space="preserve"> francuskiej tendencji uczynienia z Ligi instytucji dla pilnowania państw pokonanych, szczególnie Niemiec. Nie mogli też popierać </w:t>
      </w:r>
      <w:r w:rsidR="00D336D7" w:rsidRPr="003C0842">
        <w:t xml:space="preserve">i nie wspierali </w:t>
      </w:r>
      <w:r w:rsidRPr="003C0842">
        <w:t>zabiegów Francji o gwarancje ze strony sojuszników anglosaskich, rychło ograniczon</w:t>
      </w:r>
      <w:r w:rsidR="00D336D7" w:rsidRPr="003C0842">
        <w:t>ych</w:t>
      </w:r>
      <w:r w:rsidRPr="003C0842">
        <w:t xml:space="preserve"> do Wielkiej Brytanii. Intensywność tych zabiegów, okupywanych różnymi ustępstwami i kompromisami, wprawiała w zakłopotanie wszystkich zwolenników powstającego stowarzyszenia. Oto bowiem dwa </w:t>
      </w:r>
      <w:r w:rsidR="00332576" w:rsidRPr="003C0842">
        <w:t xml:space="preserve">europejskie </w:t>
      </w:r>
      <w:r w:rsidRPr="003C0842">
        <w:t>filary rodzącej się Ligi, będącej w założeniu gwarantem powszechnego bezpieczeństwa i wzajemnej pomocy, już u narodzin sugerowały brak wiary w jej fundamentalne zadanie. Dostrzegali to zresztą także francuscy współtwórcy Ligi Narodów, jak np. Léon Bourgeois. Jego dorobek jako polityka (od 1888 r. deputowany, minister wielu resortów, w latach 1895</w:t>
      </w:r>
      <w:r w:rsidR="005A5F3B">
        <w:t>-</w:t>
      </w:r>
      <w:r w:rsidRPr="003C0842">
        <w:t>1896 premier, 1902</w:t>
      </w:r>
      <w:r w:rsidR="005A5F3B">
        <w:t>-</w:t>
      </w:r>
      <w:r w:rsidRPr="003C0842">
        <w:t>1906 przewodniczący Izby Deputowanych) i teoretyka (autor książek propagujących solidaryzm społeczny oraz środki prawne jako sposobu rozstrzygania sporów międzynarodowych) predestynował go do partnerskiej współpracy z tymi współtwórcami Ligi Narodów, którzy nieraz byli bliżsi poglądom prezydenta Wilsona niż własnego rządu</w:t>
      </w:r>
      <w:r w:rsidR="004C4E13" w:rsidRPr="003C0842">
        <w:rPr>
          <w:rStyle w:val="Odwoanieprzypisudolnego"/>
          <w:rFonts w:ascii="Times New Roman" w:hAnsi="Times New Roman"/>
          <w:sz w:val="24"/>
        </w:rPr>
        <w:footnoteReference w:id="44"/>
      </w:r>
      <w:r w:rsidRPr="003C0842">
        <w:t xml:space="preserve">. </w:t>
      </w:r>
    </w:p>
    <w:p w:rsidR="00212B99" w:rsidRPr="003C0842" w:rsidRDefault="00212B99" w:rsidP="00111348">
      <w:pPr>
        <w:spacing w:line="360" w:lineRule="auto"/>
      </w:pPr>
      <w:r w:rsidRPr="003C0842">
        <w:t xml:space="preserve">Sytuacja ta stworzyła sprzyjający klimat do budowy Sekretariatu Ligi jako emanacji zapatrywań twórców anglosaskich, których reprezentował Eric Drummond, wymieniony z nazwiska w Pakcie Ligi jako pierwszy </w:t>
      </w:r>
      <w:r w:rsidR="00413C94" w:rsidRPr="003C0842">
        <w:t>s</w:t>
      </w:r>
      <w:r w:rsidR="00773FCD" w:rsidRPr="003C0842">
        <w:t xml:space="preserve">ekretarz </w:t>
      </w:r>
      <w:r w:rsidR="00413C94" w:rsidRPr="003C0842">
        <w:t>g</w:t>
      </w:r>
      <w:r w:rsidR="00773FCD" w:rsidRPr="003C0842">
        <w:t>eneralny</w:t>
      </w:r>
      <w:r w:rsidRPr="003C0842">
        <w:t>. Głoszony przez niego program budowy sekretariatu o wyraźnie międzynarodowym charakterze popierał Jean Monnet jako podsekretarz generalny, któr</w:t>
      </w:r>
      <w:r w:rsidR="0020203A" w:rsidRPr="003C0842">
        <w:t>y funkcjonuje jako inspirator</w:t>
      </w:r>
      <w:r w:rsidRPr="003C0842">
        <w:t xml:space="preserve"> i rzecznik zjednoczonej Europy</w:t>
      </w:r>
      <w:r w:rsidRPr="003C0842">
        <w:rPr>
          <w:rStyle w:val="Odwoanieprzypisudolnego"/>
          <w:rFonts w:ascii="Times New Roman" w:hAnsi="Times New Roman"/>
          <w:sz w:val="24"/>
        </w:rPr>
        <w:footnoteReference w:id="45"/>
      </w:r>
      <w:r w:rsidRPr="003C0842">
        <w:t xml:space="preserve">. Takie stanowisko nie dogadzało liderom politycznym Francji, zwłaszcza zorientowanym prawicowo i nacjonalistycznie. Napisano już, że chcieli oni widzieć Ligę jako instytucję </w:t>
      </w:r>
      <w:r w:rsidRPr="003C0842">
        <w:lastRenderedPageBreak/>
        <w:t xml:space="preserve">filofrancuską, a funkcjonujących na jej forum swoich obywateli jako emisariuszy i obrońców francuskiego punktu widzenia. Zżymali się przeto na samodzielność francuskich przedstawicieli czy to w </w:t>
      </w:r>
      <w:r w:rsidR="00BA25B3" w:rsidRPr="003C0842">
        <w:t>S</w:t>
      </w:r>
      <w:r w:rsidRPr="003C0842">
        <w:t>ekretariacie Ligi czy też Międzynarodowym Biurze Pracy lub innych powstających gremiach. Dobitnie sytuację t</w:t>
      </w:r>
      <w:r w:rsidR="00BA25B3" w:rsidRPr="003C0842">
        <w:t>ę odmalował Philippe Berthelot –</w:t>
      </w:r>
      <w:r w:rsidRPr="003C0842">
        <w:t xml:space="preserve"> sekretarz generalny </w:t>
      </w:r>
      <w:r w:rsidR="00A737C0" w:rsidRPr="003C0842">
        <w:t xml:space="preserve">na </w:t>
      </w:r>
      <w:r w:rsidRPr="003C0842">
        <w:t>Quai d’Orsay, który z perspektywy pierwszego roku funkcjonowania Ligi twierdził, że „przedstawiciele nasi w Lidze Narodów pod względem moralnym odgrywają dużą rolę i gdyby chcieli stosować się do naszych instrukcji mogliby duże oddać usługi krajowi”</w:t>
      </w:r>
      <w:r w:rsidRPr="003C0842">
        <w:rPr>
          <w:rStyle w:val="Odwoanieprzypisudolnego"/>
          <w:rFonts w:ascii="Times New Roman" w:hAnsi="Times New Roman"/>
          <w:sz w:val="24"/>
        </w:rPr>
        <w:footnoteReference w:id="46"/>
      </w:r>
      <w:r w:rsidRPr="003C0842">
        <w:t>.</w:t>
      </w:r>
    </w:p>
    <w:p w:rsidR="00BD56B3" w:rsidRDefault="00212B99" w:rsidP="00111348">
      <w:pPr>
        <w:spacing w:line="360" w:lineRule="auto"/>
      </w:pPr>
      <w:r w:rsidRPr="003C0842">
        <w:t>W kręgach rządowych nie skrywano niechęci nawet irytacji wobec „Ligi profesorów”</w:t>
      </w:r>
      <w:r w:rsidR="00BA25B3" w:rsidRPr="003C0842">
        <w:t>,</w:t>
      </w:r>
      <w:r w:rsidRPr="003C0842">
        <w:t xml:space="preserve"> chociaż znajdowała ona międzynarodowy poklask</w:t>
      </w:r>
      <w:r w:rsidR="00BA25B3" w:rsidRPr="003C0842">
        <w:t xml:space="preserve"> czego jednym z przejawów była P</w:t>
      </w:r>
      <w:r w:rsidRPr="003C0842">
        <w:t xml:space="preserve">okojowa Nagroda Nobla w 1920 r. dla Bourgeois’a, francuskiego współtwórcy takiej właśnie Ligi. Można nawet mówić o swoistym zamieszaniu skoro wypominano Paulowi Mantoux, dyrektorowi sekcji politycznej Sekretariatu, że „kokietował” lorda Roberta Cecila, popularnego polityka brytyjskiego opowiadającego się za budową uniwersalnej Ligi i oklaskiwał jego przemówienie zawierające apel o przyjęcie Niemiec do Ligi. Jakkolwiek pretensje te odnosiły się do obrad I Zgromadzenia (15 listopada – 8 grudnia 1920 r.), to jednak kwestia przyjęcia do Ligi kolejnych państw, w tym pokonanych, była stale aktualizowana. Przekonujące były opinie, że budowano właśnie Ligę „zwycięzców”, a nie „narodów”. Coraz bardziej prawdopodobne zdystansowanie się Stanów Zjednoczonych od Ligi, i w ogóle spraw europejskich (poza gospodarczymi) umniejszały prestiż – jak to </w:t>
      </w:r>
      <w:r w:rsidR="0020203A" w:rsidRPr="003C0842">
        <w:t xml:space="preserve">wówczas </w:t>
      </w:r>
      <w:r w:rsidRPr="003C0842">
        <w:t>pisano – „zamierającej w swym zarodku Ligi Narodów”</w:t>
      </w:r>
      <w:r w:rsidRPr="003C0842">
        <w:rPr>
          <w:rStyle w:val="Odwoanieprzypisudolnego"/>
          <w:rFonts w:ascii="Times New Roman" w:hAnsi="Times New Roman"/>
          <w:sz w:val="24"/>
        </w:rPr>
        <w:footnoteReference w:id="47"/>
      </w:r>
      <w:r w:rsidRPr="003C0842">
        <w:t>.</w:t>
      </w:r>
    </w:p>
    <w:p w:rsidR="00212B99" w:rsidRPr="003C0842" w:rsidRDefault="00212B99" w:rsidP="00111348">
      <w:pPr>
        <w:spacing w:line="360" w:lineRule="auto"/>
      </w:pPr>
      <w:r w:rsidRPr="003C0842">
        <w:t xml:space="preserve">Pesymistyczny obraz dopełniały spory i </w:t>
      </w:r>
      <w:r w:rsidR="0020203A" w:rsidRPr="003C0842">
        <w:t>odmienne widzenie</w:t>
      </w:r>
      <w:r w:rsidRPr="003C0842">
        <w:t xml:space="preserve"> wielu spraw powojennego świata przez dwa </w:t>
      </w:r>
      <w:r w:rsidR="0020203A" w:rsidRPr="003C0842">
        <w:t xml:space="preserve">europejskie </w:t>
      </w:r>
      <w:r w:rsidRPr="003C0842">
        <w:t>filary systemu wersalskiego. Ujawnione w czasie obrad paryskich sprzeczności syntetyzowało pytanie o miejsce państw pokonanych i „wykluczonych” (jak Rosja i Meksyk) w budowanej strukturze międzynarodowej. Istotną, często najważniejszą osią sporu był problem niemiecki. Jeśli we Francji kontynuowano twardy kurs antyniemiecki, to w Wielkiej Brytanii rosła w siłę orientacja pojednawcza. Po wyeliminowaniu groźnego konkurenta politycznego i gospodarczego, zdobyciu dalszych i kolejnych rynków</w:t>
      </w:r>
      <w:r w:rsidR="0020203A" w:rsidRPr="003C0842">
        <w:t xml:space="preserve"> zbytu, </w:t>
      </w:r>
      <w:r w:rsidRPr="003C0842">
        <w:t>wśród Brytyjczyków zwyciężała chęć korzystania z dobrodziejstw wojennego sukcesu. Niechętni i przeciwni umacniania się Francji na kontynencie hamowali politykę antyniemiecką. Idąc we wspólnym froncie ze Stanami Zjednoczonymi</w:t>
      </w:r>
      <w:r w:rsidR="00BA25B3" w:rsidRPr="003C0842">
        <w:t>,</w:t>
      </w:r>
      <w:r w:rsidRPr="003C0842">
        <w:t xml:space="preserve"> starali się </w:t>
      </w:r>
      <w:r w:rsidRPr="003C0842">
        <w:lastRenderedPageBreak/>
        <w:t>zachować warunki do aktywności gospodarczej Niemiec, koniecznej dla wyegzekwowania reparacji. Miały one pokryć długi zaciągnięte przez Wielką Brytanię na prowadzenie wojny – 5,5 mld dolarów od Stanów Zjednoczonych. Wielkim problemem był dwunastokrotny wzrost długu wewnętrznego – z 650 mln funtów w 1914 r. do 8 mld funtów w 1918 r.</w:t>
      </w:r>
      <w:r w:rsidRPr="003C0842">
        <w:rPr>
          <w:rStyle w:val="Odwoanieprzypisudolnego"/>
          <w:rFonts w:ascii="Times New Roman" w:hAnsi="Times New Roman"/>
          <w:sz w:val="24"/>
        </w:rPr>
        <w:footnoteReference w:id="48"/>
      </w:r>
    </w:p>
    <w:p w:rsidR="00212B99" w:rsidRPr="003C0842" w:rsidRDefault="00212B99" w:rsidP="00111348">
      <w:pPr>
        <w:spacing w:line="360" w:lineRule="auto"/>
      </w:pPr>
      <w:r w:rsidRPr="003C0842">
        <w:t>Nadrzędne dla polityki brytyjskiej dążenie do stabilizacji międzynarodowej w Europie, osiągane poprzez tradycyjną dyplomację (kompromis, nacisk itd.), jak i nowoczesną (mechanizm Ligi Narodów) wiązało się z globalną pozycją imperium brytyjskiego. Europa była dla Wielkiej Brytanii – bardziej niż dla innych metropolii kolonialnych – najważniejszą, ale zarazem jedną z wielu aren aktywności międzynarodowej. Udział w wojnie żołnierzy z kolonii (ponad milion z Indii) przyczynił się do wzrostu ich świadomości państwowo-narodowych, widocznych m.in. w postępującej walce o zmianę statusu kolonii w dominia, a dominiów w państwa niezależne. W tym obszarze dużo brytyjskiej energii angażowało powstanie w Egipcie, zakończone proklamowaniem niepodległości w 1922 r. oraz rozruchy w Indii, gdzie od 1918 r. na czele Indyjskiego Kongresu Narodoweg</w:t>
      </w:r>
      <w:r w:rsidR="002406A9" w:rsidRPr="003C0842">
        <w:t>o stał prawnik Mahatma (</w:t>
      </w:r>
      <w:r w:rsidRPr="003C0842">
        <w:t>Wielki Duchem)</w:t>
      </w:r>
      <w:r w:rsidR="002406A9" w:rsidRPr="003C0842">
        <w:t xml:space="preserve"> Ghandi</w:t>
      </w:r>
      <w:r w:rsidRPr="003C0842">
        <w:t>. Tuż pod bokiem, w latach 1919</w:t>
      </w:r>
      <w:r w:rsidR="005A5F3B">
        <w:t>-</w:t>
      </w:r>
      <w:r w:rsidRPr="003C0842">
        <w:t>1921 toczyły się krwawe boje o przyszłość Irlandii, zakończone podziałem</w:t>
      </w:r>
      <w:r w:rsidR="00172848" w:rsidRPr="003C0842">
        <w:t>–</w:t>
      </w:r>
      <w:r w:rsidRPr="003C0842">
        <w:t>będącym zarzewiem konfliktów po dni nasze.</w:t>
      </w:r>
    </w:p>
    <w:p w:rsidR="00212B99" w:rsidRPr="003C0842" w:rsidRDefault="00212B99" w:rsidP="00111348">
      <w:pPr>
        <w:spacing w:line="360" w:lineRule="auto"/>
      </w:pPr>
      <w:r w:rsidRPr="003C0842">
        <w:t xml:space="preserve">Politycy brytyjscy pomni silnego wzburzenia własnych obywateli w duchu antyniemieckim nie mogli jednak i nie chcieli popierać daleko idących dezyderatów francuskich. Równie konsekwentnie co i Amerykanie uważali za konieczne położenie nacisku na wyrównanie przez Niemcy szkód wyrządzonych przez wojnę. Jeśli ten cel zostałby osiągnięty Lloyd George chciał zaproponować pokonanym pokój umiarkowany, możliwy do przyjęcia. Chodziło więc, jak to ujął w cytowanym już tzw. dokumencie z Fontainebleau </w:t>
      </w:r>
      <w:r w:rsidR="009E2EBA" w:rsidRPr="003C0842">
        <w:t xml:space="preserve">datowanym </w:t>
      </w:r>
      <w:r w:rsidRPr="003C0842">
        <w:t>25 marca 1919 r. – dać Niemcom dostęp do surowców i do rynków światowych na równych prawach z nami: „powinniśmy zrobić wszystko co możliwe, aby postawić naród niemiecki znów na nogi. Nie możemy okaleczać Niemiec i jednocześnie oczekiwać, że będą nam płacić”</w:t>
      </w:r>
      <w:r w:rsidRPr="003C0842">
        <w:rPr>
          <w:rStyle w:val="Odwoanieprzypisudolnego"/>
          <w:rFonts w:ascii="Times New Roman" w:hAnsi="Times New Roman"/>
          <w:sz w:val="24"/>
        </w:rPr>
        <w:footnoteReference w:id="49"/>
      </w:r>
      <w:r w:rsidRPr="003C0842">
        <w:t xml:space="preserve">. </w:t>
      </w:r>
    </w:p>
    <w:p w:rsidR="00212B99" w:rsidRPr="003C0842" w:rsidRDefault="00212B99" w:rsidP="00111348">
      <w:pPr>
        <w:spacing w:line="360" w:lineRule="auto"/>
      </w:pPr>
      <w:r w:rsidRPr="003C0842">
        <w:t xml:space="preserve">Równie rozbieżne były poglądy francusko-brytyjskie w sprawie udziału Niemiec (bo głównie o nie się spierano) w Lidze Narodów. Lloyd George uważał, że członkostwo w Lidze byłoby dla zdemokratyzowanych Niemiec bodźcem ułatwiającym akceptację warunków pokoju. Powtarzał, że bezpieczniej będzie mieć Niemcy w Lidze niż poza nią. Cały tenor brytyjskiego stanowiska sprowadzał się do przestrogi o możliwym, groźnym dla Europy i </w:t>
      </w:r>
      <w:r w:rsidRPr="003C0842">
        <w:lastRenderedPageBreak/>
        <w:t xml:space="preserve">świata współdziałaniu zrewoltowanych Niemiec z ogarniętą bolszewizmem Rosją. </w:t>
      </w:r>
      <w:r w:rsidR="00900BE3" w:rsidRPr="001E5F63">
        <w:t>„</w:t>
      </w:r>
      <w:r w:rsidRPr="001E5F63">
        <w:t>Imperium bolszewickie zagraża nie tylko państwom graniczącym z Rosją; zagraża całej Azji, a do Ameryki ma tak samo blisko jak do Francji [</w:t>
      </w:r>
      <w:r w:rsidR="00B21A46" w:rsidRPr="001E5F63">
        <w:t>…</w:t>
      </w:r>
      <w:r w:rsidRPr="001E5F63">
        <w:t>] Nie mam zamiaru komplikować sprawy pokoju z Niemcami wszczynaniem dyskusji nad sprawą rosyjską; zaznaczam tylko, że ta sprawa istnieje i że jest rzeczą ważną, abyśmy zajęli się nią możliwie jak najprędzej</w:t>
      </w:r>
      <w:r w:rsidR="00900BE3" w:rsidRPr="001E5F63">
        <w:t>”</w:t>
      </w:r>
      <w:r w:rsidRPr="001E5F63">
        <w:rPr>
          <w:rStyle w:val="Odwoanieprzypisudolnego"/>
          <w:rFonts w:ascii="Times New Roman" w:hAnsi="Times New Roman"/>
          <w:sz w:val="24"/>
        </w:rPr>
        <w:footnoteReference w:id="50"/>
      </w:r>
      <w:r w:rsidRPr="001E5F63">
        <w:t>.</w:t>
      </w:r>
    </w:p>
    <w:p w:rsidR="00212B99" w:rsidRPr="003C0842" w:rsidRDefault="00212B99" w:rsidP="00111348">
      <w:pPr>
        <w:spacing w:line="360" w:lineRule="auto"/>
      </w:pPr>
      <w:r w:rsidRPr="003C0842">
        <w:t>Mimo tych zastrzeżeń i pragnień kwestia rosyjska, jako kompleks spraw społeczno-politycznych i wojskowyc</w:t>
      </w:r>
      <w:r w:rsidR="00D55CDA" w:rsidRPr="003C0842">
        <w:t xml:space="preserve">h wynikłych z rewolucji 1917r., </w:t>
      </w:r>
      <w:r w:rsidRPr="003C0842">
        <w:t>silnie ciążył nad ówczesną sytuacją, zarówno pokonanych, jak i zwycięzców. Dla wielu była nadzieją, dla innych obawą i strachem, dla kolejnych straszakiem, szantażem, metodą walki o narodowe (klasowe) interesy. Z Pi</w:t>
      </w:r>
      <w:r w:rsidR="00D55CDA" w:rsidRPr="003C0842">
        <w:t>o</w:t>
      </w:r>
      <w:r w:rsidRPr="003C0842">
        <w:t>trogrodu i Moskwy dochodziły groźne prognozy dla powojennego świata</w:t>
      </w:r>
      <w:r w:rsidR="00172848" w:rsidRPr="003C0842">
        <w:t>,</w:t>
      </w:r>
      <w:r w:rsidRPr="003C0842">
        <w:t xml:space="preserve"> bo według analizy Włodzimierza Lenina z 1918 r. „Rosjanin zaczął – Niemiec, Francuz, Anglik dokończy i socjalizm zwycięży”. Rozlewająca się od listopada 1918 r. rewolucja po dwóch ważnych państwach, z grupy pokonanych</w:t>
      </w:r>
      <w:r w:rsidR="00172848" w:rsidRPr="003C0842">
        <w:t>,</w:t>
      </w:r>
      <w:r w:rsidRPr="003C0842">
        <w:t xml:space="preserve"> czyli Niemiec i Węgier, przestrogom o rodzącym się </w:t>
      </w:r>
      <w:r w:rsidR="00D55CDA" w:rsidRPr="003C0842">
        <w:t>internacjonalizmie</w:t>
      </w:r>
      <w:r w:rsidRPr="003C0842">
        <w:t xml:space="preserve"> bolszewickim przydawała realizmu. Opadająca fala rewolucyjna nie zlikwidowała jednak strachu przed programem przeniesienia bolszewizmu na bagnetach czerwonoarmistów. Prognoza Lloyda George’a o zlaniu się rosyjskich mas żołnierskich z niemieckimi dowódcami zdawała się urzeczywistniać latem 1920 r., kiedy „cud nad Wisłą” uratował sytuację</w:t>
      </w:r>
      <w:r w:rsidR="00736A46" w:rsidRPr="003C0842">
        <w:rPr>
          <w:rStyle w:val="Odwoanieprzypisudolnego"/>
          <w:rFonts w:ascii="Times New Roman" w:hAnsi="Times New Roman"/>
          <w:sz w:val="24"/>
        </w:rPr>
        <w:footnoteReference w:id="51"/>
      </w:r>
      <w:r w:rsidRPr="003C0842">
        <w:t>.</w:t>
      </w:r>
    </w:p>
    <w:p w:rsidR="00675D9E" w:rsidRPr="003C0842" w:rsidRDefault="00212B99" w:rsidP="00111348">
      <w:pPr>
        <w:spacing w:line="360" w:lineRule="auto"/>
      </w:pPr>
      <w:r w:rsidRPr="003C0842">
        <w:t>Nadzieje</w:t>
      </w:r>
      <w:r w:rsidR="00172848" w:rsidRPr="003C0842">
        <w:t>,</w:t>
      </w:r>
      <w:r w:rsidRPr="003C0842">
        <w:t xml:space="preserve"> jakie łączono w Rosji z niemieckimi „spartakusowcami” powodowały, że tworzony front komunistyczny pod postacią III Międzynarodówki krytykował zwycięzców, którzy dobywają ostatnich sił dla „zlepienia rozpadającej się żywiołowo części systemu kapitalistycznego i skierowania wszystkich sił przeciw niepowstrzymanie rozpalającej się rewolucji proletariatu”</w:t>
      </w:r>
      <w:r w:rsidRPr="003C0842">
        <w:rPr>
          <w:rStyle w:val="Odwoanieprzypisudolnego"/>
          <w:rFonts w:ascii="Times New Roman" w:hAnsi="Times New Roman"/>
          <w:sz w:val="24"/>
        </w:rPr>
        <w:footnoteReference w:id="52"/>
      </w:r>
      <w:r w:rsidRPr="003C0842">
        <w:t>. Sekcje III Międzynarodówki</w:t>
      </w:r>
      <w:r w:rsidR="00172848" w:rsidRPr="003C0842">
        <w:t>,</w:t>
      </w:r>
      <w:r w:rsidRPr="003C0842">
        <w:t xml:space="preserve"> upowszechniając krytykę imperializmu zwycięzców</w:t>
      </w:r>
      <w:r w:rsidR="00172848" w:rsidRPr="003C0842">
        <w:t>,</w:t>
      </w:r>
      <w:r w:rsidRPr="003C0842">
        <w:t xml:space="preserve"> odrzucały zarazem pogląd o wyłącznej odpowiedzialności Niemiec za wybuch wojny, a także inne ich zdaniem niesprawiedliwe decyzje włączone do warunków pokoju, w tym zwłaszcza grabieżcze ciężary ekonomiczne. </w:t>
      </w:r>
    </w:p>
    <w:p w:rsidR="00BD56B3" w:rsidRDefault="00212B99" w:rsidP="00675D9E">
      <w:pPr>
        <w:spacing w:line="360" w:lineRule="auto"/>
      </w:pPr>
      <w:r w:rsidRPr="003C0842">
        <w:t>Zasadnicza, nie przebierająca w słowach krytyka systemu powstałego po I wojnie światowej ze strony państw wyeliminowanych z jego tworzenia była jedną z ważnych przesłanek swoistego aliansu</w:t>
      </w:r>
      <w:r w:rsidR="002E56EE">
        <w:t>,</w:t>
      </w:r>
      <w:r w:rsidRPr="003C0842">
        <w:t xml:space="preserve"> jaki złączył Rosję i Niemcy. Jeśli jednak Rosja zatopiona w wojnie domowej i obcej interwencji – realizowanej przez zwycięskie mocarstwa – </w:t>
      </w:r>
      <w:r w:rsidRPr="003C0842">
        <w:lastRenderedPageBreak/>
        <w:t>zdecydowanie odrzucała Ligę Narodów, uznając ją za organizacyjny oręż antyradziecki, to Niemcy podkreślali swoje prawa do udziału w jej pracach. Ewentualna decyzja o wejściu Niemiec do Ligi na analogicznej podstawie jak wszystkie inne państwa stawiałoby pokonanych w lepszej sytuacji negocjacyjnej. Formalnie wnioski złożył rząd niemiecki dwukrotnie – 9 i 29 maja 1919 r. Z</w:t>
      </w:r>
      <w:r w:rsidR="00D55CDA" w:rsidRPr="003C0842">
        <w:t xml:space="preserve"> inicjatywy </w:t>
      </w:r>
      <w:r w:rsidRPr="003C0842">
        <w:t xml:space="preserve">Francji w nocie z 19 czerwca 1919 r. </w:t>
      </w:r>
      <w:r w:rsidR="00D55CDA" w:rsidRPr="003C0842">
        <w:t xml:space="preserve">napisano, że </w:t>
      </w:r>
      <w:r w:rsidRPr="003C0842">
        <w:t>zwycięzcy uzależni</w:t>
      </w:r>
      <w:r w:rsidR="00D55CDA" w:rsidRPr="003C0842">
        <w:t>ają</w:t>
      </w:r>
      <w:r w:rsidRPr="003C0842">
        <w:t xml:space="preserve"> wstąpienie Niemiec od wykonania postanowień traktatu pokojowego, z podkreśleniem sprawy rozbrojenia. Stanowisko takie</w:t>
      </w:r>
      <w:r w:rsidR="00675D9E" w:rsidRPr="003C0842">
        <w:t xml:space="preserve"> tylko</w:t>
      </w:r>
      <w:r w:rsidRPr="003C0842">
        <w:t xml:space="preserve"> wzm</w:t>
      </w:r>
      <w:r w:rsidR="00675D9E" w:rsidRPr="003C0842">
        <w:t>ogło</w:t>
      </w:r>
      <w:r w:rsidRPr="003C0842">
        <w:t xml:space="preserve"> powszechną wrogość </w:t>
      </w:r>
      <w:r w:rsidR="00675D9E" w:rsidRPr="003C0842">
        <w:t xml:space="preserve">Niemców </w:t>
      </w:r>
      <w:r w:rsidRPr="003C0842">
        <w:t>do niesprawiedliwego dyktatu, który przedstawiciele rządu musieli podpisać w Wersalu 28 czerwca 1919 r.</w:t>
      </w:r>
      <w:r w:rsidRPr="003C0842">
        <w:rPr>
          <w:rStyle w:val="Odwoanieprzypisudolnego"/>
          <w:rFonts w:ascii="Times New Roman" w:hAnsi="Times New Roman"/>
          <w:sz w:val="24"/>
        </w:rPr>
        <w:footnoteReference w:id="53"/>
      </w:r>
      <w:r w:rsidR="00910721" w:rsidRPr="003C0842">
        <w:t xml:space="preserve">Pisano i krzyczano, że </w:t>
      </w:r>
      <w:r w:rsidR="00675D9E" w:rsidRPr="003C0842">
        <w:t xml:space="preserve">Pakt Ligi, będący integralną częścią tego dokumentu, </w:t>
      </w:r>
      <w:r w:rsidR="00910721" w:rsidRPr="003C0842">
        <w:t xml:space="preserve">tworzył </w:t>
      </w:r>
      <w:r w:rsidRPr="003C0842">
        <w:t>struktur</w:t>
      </w:r>
      <w:r w:rsidR="00910721" w:rsidRPr="003C0842">
        <w:t>ę</w:t>
      </w:r>
      <w:r w:rsidRPr="003C0842">
        <w:t xml:space="preserve"> wrog</w:t>
      </w:r>
      <w:r w:rsidR="00910721" w:rsidRPr="003C0842">
        <w:t>ą</w:t>
      </w:r>
      <w:r w:rsidR="00172848" w:rsidRPr="003C0842">
        <w:t>,</w:t>
      </w:r>
      <w:r w:rsidR="00910721" w:rsidRPr="003C0842">
        <w:t xml:space="preserve"> mającą </w:t>
      </w:r>
      <w:r w:rsidRPr="003C0842">
        <w:t>utwierdz</w:t>
      </w:r>
      <w:r w:rsidR="00910721" w:rsidRPr="003C0842">
        <w:t>ić</w:t>
      </w:r>
      <w:r w:rsidRPr="003C0842">
        <w:t xml:space="preserve"> degradując</w:t>
      </w:r>
      <w:r w:rsidR="00910721" w:rsidRPr="003C0842">
        <w:t xml:space="preserve">y </w:t>
      </w:r>
      <w:r w:rsidRPr="003C0842">
        <w:t xml:space="preserve">podziału na zwyciężonych i zwycięzców. </w:t>
      </w:r>
    </w:p>
    <w:p w:rsidR="00910721" w:rsidRPr="003C0842" w:rsidRDefault="00212B99" w:rsidP="00111348">
      <w:pPr>
        <w:spacing w:line="360" w:lineRule="auto"/>
      </w:pPr>
      <w:r w:rsidRPr="003C0842">
        <w:t>Inauguracja prac Rady 16 stycznia 1920 r. odbyła się w Paryżu pod przewodnictwem przewodniczącego francuskiego senatu – Léona Bourgeois’a.</w:t>
      </w:r>
      <w:r w:rsidR="00910721" w:rsidRPr="003C0842">
        <w:t xml:space="preserve"> D</w:t>
      </w:r>
      <w:r w:rsidRPr="003C0842">
        <w:t xml:space="preserve">la ogółu Niemców </w:t>
      </w:r>
      <w:r w:rsidR="00910721" w:rsidRPr="003C0842">
        <w:t xml:space="preserve">była to wyrazista </w:t>
      </w:r>
      <w:r w:rsidRPr="003C0842">
        <w:t>wskazówk</w:t>
      </w:r>
      <w:r w:rsidR="00910721" w:rsidRPr="003C0842">
        <w:t>a</w:t>
      </w:r>
      <w:r w:rsidRPr="003C0842">
        <w:t>, że po Lidze zdominowanej przez Francję</w:t>
      </w:r>
      <w:r w:rsidR="00910721" w:rsidRPr="003C0842">
        <w:t xml:space="preserve">, nie można </w:t>
      </w:r>
      <w:r w:rsidRPr="003C0842">
        <w:t xml:space="preserve">niczego </w:t>
      </w:r>
      <w:r w:rsidR="006D4A7D" w:rsidRPr="003C0842">
        <w:t xml:space="preserve">dobrego </w:t>
      </w:r>
      <w:r w:rsidR="00910721" w:rsidRPr="003C0842">
        <w:t>oczekiwać. Przy okazji posiedzeń Rady LN</w:t>
      </w:r>
      <w:r w:rsidR="00DA754E" w:rsidRPr="003C0842">
        <w:t>(</w:t>
      </w:r>
      <w:r w:rsidRPr="003C0842">
        <w:t>w 1920 r. było</w:t>
      </w:r>
      <w:r w:rsidR="00DA754E" w:rsidRPr="003C0842">
        <w:t xml:space="preserve"> ich</w:t>
      </w:r>
      <w:r w:rsidRPr="003C0842">
        <w:t xml:space="preserve"> jedenaście</w:t>
      </w:r>
      <w:r w:rsidR="00DA754E" w:rsidRPr="003C0842">
        <w:t>,</w:t>
      </w:r>
      <w:r w:rsidRPr="003C0842">
        <w:t xml:space="preserve"> głównie w Paryżu i Londynie), jak również innych wydarzeń dotyczących aktywności Ligi (w tym przenosin z Londynu do Genewy,</w:t>
      </w:r>
      <w:r w:rsidR="00910721" w:rsidRPr="003C0842">
        <w:t xml:space="preserve"> uskutecznionych dopiero </w:t>
      </w:r>
      <w:r w:rsidRPr="003C0842">
        <w:t xml:space="preserve">w drugiej połowie 1920 r.) we wszystkich państwach pokonanych i pominiętych irytowano się z powodu </w:t>
      </w:r>
      <w:r w:rsidR="00910721" w:rsidRPr="003C0842">
        <w:t xml:space="preserve">zaocznego zajmowania się </w:t>
      </w:r>
      <w:r w:rsidR="00DA754E" w:rsidRPr="003C0842">
        <w:t>ich spraw</w:t>
      </w:r>
      <w:r w:rsidR="00910721" w:rsidRPr="003C0842">
        <w:t>ami.W wysokim stopniu drażliwe były z</w:t>
      </w:r>
      <w:r w:rsidRPr="003C0842">
        <w:t>właszcza Niemcy (dotknięte stratą 1</w:t>
      </w:r>
      <w:r w:rsidR="00172848" w:rsidRPr="003C0842">
        <w:t>3,5% terytorium i 10% ludności)</w:t>
      </w:r>
      <w:r w:rsidRPr="003C0842">
        <w:t xml:space="preserve"> czy Węgry (zredukowane terytorialnie z 325 do 93 tys. km</w:t>
      </w:r>
      <w:r w:rsidRPr="003C0842">
        <w:rPr>
          <w:vertAlign w:val="superscript"/>
        </w:rPr>
        <w:t>2</w:t>
      </w:r>
      <w:r w:rsidRPr="003C0842">
        <w:t xml:space="preserve"> i do 8 mln ludności z 21 mln</w:t>
      </w:r>
      <w:r w:rsidR="00910721" w:rsidRPr="003C0842">
        <w:t>).</w:t>
      </w:r>
      <w:r w:rsidRPr="003C0842">
        <w:t xml:space="preserve"> Także rewolucje i dotykające ogół trudności gospodarcze, choroby oraz wszechobecny powojenny chaos były składane na barki zwycięzców,</w:t>
      </w:r>
      <w:r w:rsidR="006D4A7D" w:rsidRPr="003C0842">
        <w:t xml:space="preserve"> głównie Francji, wspierającej się</w:t>
      </w:r>
      <w:r w:rsidRPr="003C0842">
        <w:t xml:space="preserve"> sztucznie wykreowanymi sojusznikami</w:t>
      </w:r>
      <w:r w:rsidR="00172848" w:rsidRPr="003C0842">
        <w:t>,</w:t>
      </w:r>
      <w:r w:rsidRPr="003C0842">
        <w:t xml:space="preserve"> jak Czechosłowacja, Jugosławia, Polska i Rumunia. </w:t>
      </w:r>
    </w:p>
    <w:p w:rsidR="00212B99" w:rsidRPr="003C0842" w:rsidRDefault="00212B99" w:rsidP="00900BE3">
      <w:pPr>
        <w:spacing w:line="360" w:lineRule="auto"/>
        <w:rPr>
          <w:rStyle w:val="longtext"/>
        </w:rPr>
      </w:pPr>
      <w:r w:rsidRPr="003C0842">
        <w:t xml:space="preserve">W tym duchu uprawiana, na ogół jednorodna propaganda znajdowała masowy posłuch i solidarność z każdym, kto lokował odpowiedzialność za przeszłość oraz trudności dnia codziennego w zaborczej polityce sąsiadów. Jakkolwiek ten nurt był obecny w polityce, publicystyce później też w historiografii wszystkich państw uczestniczących w wojnie, to jednak najsilniej i najdłużej pisano na ten temat po niemiecku. </w:t>
      </w:r>
      <w:r w:rsidR="00172848" w:rsidRPr="003C0842">
        <w:t>H</w:t>
      </w:r>
      <w:r w:rsidR="00172848" w:rsidRPr="003C0842">
        <w:rPr>
          <w:rStyle w:val="longtext"/>
          <w:color w:val="333333"/>
        </w:rPr>
        <w:t>istoryk Otto Becker w 1922 r. przekonywał</w:t>
      </w:r>
      <w:r w:rsidR="00900BE3" w:rsidRPr="003C0842">
        <w:t>: „</w:t>
      </w:r>
      <w:r w:rsidRPr="003C0842">
        <w:rPr>
          <w:rStyle w:val="longtext"/>
          <w:color w:val="333333"/>
        </w:rPr>
        <w:t>Obecna Liga Narodów nie realizuje idei pojednania narodów, ale jest tego kpiną; nie jest instrumentem ustanowienia prawa i sprawiedliwości w stosunkach mi</w:t>
      </w:r>
      <w:r w:rsidR="00172848" w:rsidRPr="003C0842">
        <w:rPr>
          <w:rStyle w:val="longtext"/>
          <w:color w:val="333333"/>
        </w:rPr>
        <w:t>ę</w:t>
      </w:r>
      <w:r w:rsidRPr="003C0842">
        <w:rPr>
          <w:rStyle w:val="longtext"/>
          <w:color w:val="333333"/>
        </w:rPr>
        <w:t xml:space="preserve">dzy narodami, a jedynie obrońcą niesprawiedliwości pokoju wersalskiego; nie jest narzędziem </w:t>
      </w:r>
      <w:r w:rsidRPr="003C0842">
        <w:rPr>
          <w:rStyle w:val="longtext"/>
          <w:color w:val="333333"/>
        </w:rPr>
        <w:lastRenderedPageBreak/>
        <w:t>zgody między narodami, ale tłamszącym niektóre, a nasz wielki naród przede wszystkim. Będzie ona zatem tworem krótkotrwałym</w:t>
      </w:r>
      <w:r w:rsidR="00900BE3" w:rsidRPr="003C0842">
        <w:rPr>
          <w:rStyle w:val="longtext"/>
          <w:color w:val="333333"/>
        </w:rPr>
        <w:t>”</w:t>
      </w:r>
      <w:r w:rsidRPr="003C0842">
        <w:rPr>
          <w:rStyle w:val="Odwoanieprzypisudolnego"/>
          <w:rFonts w:ascii="Times New Roman" w:hAnsi="Times New Roman"/>
          <w:color w:val="333333"/>
          <w:sz w:val="24"/>
          <w:lang w:val="de-DE"/>
        </w:rPr>
        <w:footnoteReference w:id="54"/>
      </w:r>
      <w:r w:rsidRPr="003C0842">
        <w:rPr>
          <w:rStyle w:val="longtext"/>
          <w:color w:val="333333"/>
        </w:rPr>
        <w:t>.</w:t>
      </w:r>
    </w:p>
    <w:p w:rsidR="00212B99" w:rsidRPr="003C0842" w:rsidRDefault="00212B99" w:rsidP="00111348">
      <w:pPr>
        <w:spacing w:line="360" w:lineRule="auto"/>
      </w:pPr>
      <w:r w:rsidRPr="003C0842">
        <w:t xml:space="preserve">Stale obecny problem uniwersalności Ligi Narodów, dotkniętej u poczęcia zdystansowaniem się Stanów Zjednoczonych, nieobecnością Rosji </w:t>
      </w:r>
      <w:r w:rsidR="00164234" w:rsidRPr="003C0842">
        <w:t>–</w:t>
      </w:r>
      <w:r w:rsidRPr="003C0842">
        <w:t xml:space="preserve">uznającą ją </w:t>
      </w:r>
      <w:r w:rsidR="006D4A7D" w:rsidRPr="003C0842">
        <w:t xml:space="preserve">za zaczyn </w:t>
      </w:r>
      <w:r w:rsidRPr="003C0842">
        <w:t>krucjaty antybolszewickiej</w:t>
      </w:r>
      <w:r w:rsidR="006D4A7D" w:rsidRPr="003C0842">
        <w:t xml:space="preserve">, </w:t>
      </w:r>
      <w:r w:rsidR="00B00196" w:rsidRPr="003C0842">
        <w:t xml:space="preserve">a </w:t>
      </w:r>
      <w:r w:rsidR="006D4A7D" w:rsidRPr="003C0842">
        <w:t>za</w:t>
      </w:r>
      <w:r w:rsidRPr="003C0842">
        <w:t xml:space="preserve">słaniającą </w:t>
      </w:r>
      <w:r w:rsidR="006D4A7D" w:rsidRPr="003C0842">
        <w:t xml:space="preserve">się </w:t>
      </w:r>
      <w:r w:rsidRPr="003C0842">
        <w:t>„gadaninę pacyfistyczną”</w:t>
      </w:r>
      <w:r w:rsidRPr="003C0842">
        <w:rPr>
          <w:rStyle w:val="Odwoanieprzypisudolnego"/>
          <w:rFonts w:ascii="Times New Roman" w:hAnsi="Times New Roman"/>
          <w:sz w:val="24"/>
        </w:rPr>
        <w:footnoteReference w:id="55"/>
      </w:r>
      <w:r w:rsidRPr="003C0842">
        <w:t xml:space="preserve">, brakiem Meksyku, a zwłaszcza całej grupy państw byłego trójprzymierza, </w:t>
      </w:r>
      <w:r w:rsidR="006D4A7D" w:rsidRPr="003C0842">
        <w:t xml:space="preserve">wymuszał zdwojenie </w:t>
      </w:r>
      <w:r w:rsidRPr="003C0842">
        <w:t xml:space="preserve">aktywności polityków </w:t>
      </w:r>
      <w:r w:rsidR="006D4A7D" w:rsidRPr="003C0842">
        <w:t>głoszących</w:t>
      </w:r>
      <w:r w:rsidRPr="003C0842">
        <w:t xml:space="preserve">, że wraz z Ligą nastała nowa era w dziejach ludzkości. Pokój, rozbrojenie, współpraca międzynarodowa itp. określenia, odmieniane we wszelkich możliwych przypadkach i przywoływane w licznych sytuacjach, były nie tylko wyrazem osobistych przekonań licznie wokół Ligi zgromadzonych osób, ale także miały przekonać wątpiących, że stare podziały, zwłaszcza na zwycięzców i pokonanych muszą zniknąć. Siedziba LN miała wszystkich jednać, jeśli tylko dadzą „rzeczywiste rękojmie swych szczerych zamiarów przestrzegania zobowiązań międzynarodowych”oraz przyjmą ustalone normy dla swych sił zbrojnych. Państwa pokonane, zwłaszcza silnie kontestujące zobowiązania wynikające z traktatów pokojowych z istoty przywołanego wyżej art. 1 Paktu LN nie mogły liczyć na poparcie </w:t>
      </w:r>
      <w:r w:rsidR="00172848" w:rsidRPr="003C0842">
        <w:t>2/3</w:t>
      </w:r>
      <w:r w:rsidRPr="003C0842">
        <w:t xml:space="preserve"> członków Zgromadzenia, wymienianych w Pakcie jako pierwotni członkowie Ligi (2</w:t>
      </w:r>
      <w:r w:rsidRPr="002E56EE">
        <w:rPr>
          <w:spacing w:val="20"/>
        </w:rPr>
        <w:t>7+</w:t>
      </w:r>
      <w:r w:rsidRPr="003C0842">
        <w:t xml:space="preserve">5 dominiów brytyjskich) lub </w:t>
      </w:r>
      <w:r w:rsidR="006D4A7D" w:rsidRPr="003C0842">
        <w:t xml:space="preserve">13 </w:t>
      </w:r>
      <w:r w:rsidRPr="003C0842">
        <w:t>państw do niej zaproszon</w:t>
      </w:r>
      <w:r w:rsidR="006D4A7D" w:rsidRPr="003C0842">
        <w:t>ych</w:t>
      </w:r>
      <w:r w:rsidRPr="003C0842">
        <w:t>.</w:t>
      </w:r>
    </w:p>
    <w:p w:rsidR="00212B99" w:rsidRPr="003C0842" w:rsidRDefault="00212B99" w:rsidP="00111348">
      <w:pPr>
        <w:spacing w:line="360" w:lineRule="auto"/>
      </w:pPr>
      <w:r w:rsidRPr="003C0842">
        <w:t>Spośród kilkunastu państw branych pod uwagę jako kandydaci na członków Ligi, najwięcej kontrowersyjnych emocji budzili byli wrogowie Ententy – Austria, Bułgaria, Niemcy, Turcja i Węgry. Pierwsze wnioski o akces zgłosiła Bułgaria (4 listopada 1920 r.) oraz Austria (9 listopada 1920 r.). Zastosowana podczas I Zgromadzenia Ligi (Genewa, 15 listopada – 18 grudnia 1920 r.) procedura zdominowana została tendencją uniwersalizacji. Nie było też przypadkiem, że wyłonionej przez Zgromadzenie komisji rozpatrującej powyższe wnioski przewodniczył lord Robert Cecil, rzecznik powszechnej Ligi i likwidacji wojennych podziałów, polityk o dużym autorytecie, którego cechował – jak mawiano – specyficzny pryncypializm. Skutkiem jego zabiegów oraz łagodnego dla kandydatów interpretowania warunków koniecznych d</w:t>
      </w:r>
      <w:r w:rsidR="00172848" w:rsidRPr="003C0842">
        <w:t>o</w:t>
      </w:r>
      <w:r w:rsidRPr="003C0842">
        <w:t xml:space="preserve"> akcesu, nie tylko Bułgaria i Austria, ale nawet Albania o nieokreślonych nadal granicach, niestabilnej sytuacji wewnętrznej i zewnętrznej, zostały do Ligi przyjęte. Pozytywnie Zgromadzenie przegłosowało też wnioski Finlandii, Luksemburga i </w:t>
      </w:r>
      <w:r w:rsidRPr="003C0842">
        <w:lastRenderedPageBreak/>
        <w:t>Kostaryki, ale odmówiło przyjęcia ośmiu państwom: Estonii, Litwie, Łotwie, Gruzji, Armenii, Azerbejdżanowi, Ukrainie i Li</w:t>
      </w:r>
      <w:r w:rsidR="00EC43D1" w:rsidRPr="003C0842">
        <w:t>e</w:t>
      </w:r>
      <w:r w:rsidRPr="003C0842">
        <w:t>chtensteinowi</w:t>
      </w:r>
      <w:r w:rsidRPr="003C0842">
        <w:rPr>
          <w:rStyle w:val="Odwoanieprzypisudolnego"/>
          <w:rFonts w:ascii="Times New Roman" w:hAnsi="Times New Roman"/>
          <w:sz w:val="24"/>
        </w:rPr>
        <w:footnoteReference w:id="56"/>
      </w:r>
      <w:r w:rsidRPr="003C0842">
        <w:t>.</w:t>
      </w:r>
    </w:p>
    <w:p w:rsidR="00212B99" w:rsidRPr="003C0842" w:rsidRDefault="00212B99" w:rsidP="00111348">
      <w:pPr>
        <w:spacing w:line="360" w:lineRule="auto"/>
      </w:pPr>
      <w:r w:rsidRPr="003C0842">
        <w:t>Decyzje te nie zyskały powszechnej aprobaty czemu mocny wyraz dała delegacja Argentyny</w:t>
      </w:r>
      <w:r w:rsidR="00172848" w:rsidRPr="003C0842">
        <w:t>,</w:t>
      </w:r>
      <w:r w:rsidRPr="003C0842">
        <w:t xml:space="preserve"> opuszczając Genewę. Jej </w:t>
      </w:r>
      <w:r w:rsidR="00172848" w:rsidRPr="003C0842">
        <w:t>przewodniczący, minister Honorio</w:t>
      </w:r>
      <w:r w:rsidRPr="003C0842">
        <w:t xml:space="preserve"> Pueyrredan żądał bowiem dopuszczenia do obrad genewskich wszystk</w:t>
      </w:r>
      <w:r w:rsidR="00353970" w:rsidRPr="003C0842">
        <w:t>ich</w:t>
      </w:r>
      <w:r w:rsidRPr="003C0842">
        <w:t xml:space="preserve"> państw uznawan</w:t>
      </w:r>
      <w:r w:rsidR="00353970" w:rsidRPr="003C0842">
        <w:t>ych</w:t>
      </w:r>
      <w:r w:rsidRPr="003C0842">
        <w:t xml:space="preserve"> przez społeczność międzynarodową, nawet najmniejsze, jeśli z takim wnioskiem wystąpią. Ewentualna absencja w pracach Ligi miała być jedynie „rezultatem wolnej decyzji” z ich strony. Prezentowane stanowisko uzasadniał powszechnie zresztą akceptowanym przekonaniem, że siła Ligi leży w skupieniu w niej możliwie największej liczby państw. Zamykanie bram przed jakimikolwiek państwami </w:t>
      </w:r>
      <w:r w:rsidR="00172848" w:rsidRPr="003C0842">
        <w:t>wedle</w:t>
      </w:r>
      <w:r w:rsidRPr="003C0842">
        <w:t xml:space="preserve"> motyw</w:t>
      </w:r>
      <w:r w:rsidR="00172848" w:rsidRPr="003C0842">
        <w:t>ów</w:t>
      </w:r>
      <w:r w:rsidRPr="003C0842">
        <w:t xml:space="preserve"> „sentymentaln</w:t>
      </w:r>
      <w:r w:rsidR="00172848" w:rsidRPr="003C0842">
        <w:t>ych</w:t>
      </w:r>
      <w:r w:rsidRPr="003C0842">
        <w:t>” odrzucał i optował za wyłącznie prawnym punktem widzenia. Postulat automatycznego przyjmowania do Ligi, nie uzyskał wsparcia oficjalnego ze strony żadnej delegacji. Podobny los spotkał apele o demokratyzację struktury i organów Ligi, w której np. członkowie Rady Ligi mieli być wyłaniani w drodze wyborów przez Zgromadzenie, wyposażone w funkcje kontrolne wobec wszystkich pozostałych organów, włącznie z Radą. Fundamentalna zmiana miała dotyczyć Stałego Trybunału Sprawiedliwości Międzynarodowej (STSM), który miał mieć prawo do narzucania swoich decyzji wynikających z postępowania arbitrażowego</w:t>
      </w:r>
      <w:r w:rsidRPr="003C0842">
        <w:rPr>
          <w:rStyle w:val="Odwoanieprzypisudolnego"/>
          <w:rFonts w:ascii="Times New Roman" w:hAnsi="Times New Roman"/>
          <w:sz w:val="24"/>
        </w:rPr>
        <w:footnoteReference w:id="57"/>
      </w:r>
      <w:r w:rsidRPr="003C0842">
        <w:t>.</w:t>
      </w:r>
    </w:p>
    <w:p w:rsidR="00212B99" w:rsidRPr="003C0842" w:rsidRDefault="00212B99" w:rsidP="00111348">
      <w:pPr>
        <w:spacing w:line="360" w:lineRule="auto"/>
      </w:pPr>
      <w:r w:rsidRPr="003C0842">
        <w:t>Projekty Argentyny, chociaż sprzeczne z Paktem Ligi wywołały jednak spore poruszenie. Z jednej strony wchodziła w grę groźba opuszczenia organizacji – i to u progu jej powstania – przez ważne państwo z Ameryki Łacińskiej, mające nadto pewną grupę sympatyków wśród innych republik. Przypisywane Argentynie aspiracje przywódcze względem pań</w:t>
      </w:r>
      <w:r w:rsidR="00A82177" w:rsidRPr="003C0842">
        <w:t xml:space="preserve">stw </w:t>
      </w:r>
      <w:r w:rsidRPr="003C0842">
        <w:t>łacińskich kontynentu nasilały dyskusje o prestiżowym charakterze. Niechętnie, nawet wrogo wobec zmian proponowanych przez ministra Pueyrredona występowała delegacja Brazylii – państwa desygnowanego do składu Rady przez Pakt Ligi. Zdecydowane stanowisko zajął też José Francisco Urrutia z Kolumbii, co miało dodatkowe znaczenie z racji jego wysokiej pozycji w świecie prawniczym i dyplomatycznym. Wnioski i propozycje argentyńskie nie zostały przyjęte. Formalnie sprawy tej nie rozstrzygnięto</w:t>
      </w:r>
      <w:r w:rsidR="00263C46" w:rsidRPr="003C0842">
        <w:t>,</w:t>
      </w:r>
      <w:r w:rsidRPr="003C0842">
        <w:t xml:space="preserve"> odraczając decyzję z powodu absencji delegacji Argentyny. Precedens nieobecności na dorocznych Zgromadzeniach Ligi </w:t>
      </w:r>
      <w:r w:rsidRPr="003C0842">
        <w:lastRenderedPageBreak/>
        <w:t>towarzyszył najczęściej (przez wiele lat wyłącznie) przedstawicielom z Ameryki Południowej</w:t>
      </w:r>
      <w:r w:rsidRPr="003C0842">
        <w:rPr>
          <w:rStyle w:val="Odwoanieprzypisudolnego"/>
          <w:rFonts w:ascii="Times New Roman" w:hAnsi="Times New Roman"/>
          <w:sz w:val="24"/>
        </w:rPr>
        <w:footnoteReference w:id="58"/>
      </w:r>
      <w:r w:rsidRPr="003C0842">
        <w:t xml:space="preserve">. </w:t>
      </w:r>
    </w:p>
    <w:p w:rsidR="00212B99" w:rsidRPr="003C0842" w:rsidRDefault="00212B99" w:rsidP="00111348">
      <w:pPr>
        <w:spacing w:line="360" w:lineRule="auto"/>
      </w:pPr>
      <w:r w:rsidRPr="003C0842">
        <w:t xml:space="preserve">Zamieszanie wywołane sugestiami </w:t>
      </w:r>
      <w:r w:rsidR="00353970" w:rsidRPr="003C0842">
        <w:t>Argentyny</w:t>
      </w:r>
      <w:r w:rsidRPr="003C0842">
        <w:t xml:space="preserve"> wzmogło trwające od zarania spory </w:t>
      </w:r>
      <w:r w:rsidR="00353970" w:rsidRPr="003C0842">
        <w:t>dotyczące tak zasad jak i celów. Uporanie się z odpowiedziami o</w:t>
      </w:r>
      <w:r w:rsidRPr="003C0842">
        <w:t>fundamentalnym znaczeniu</w:t>
      </w:r>
      <w:r w:rsidR="00353970" w:rsidRPr="003C0842">
        <w:t xml:space="preserve"> nie przychodziło łatwo.</w:t>
      </w:r>
      <w:r w:rsidRPr="003C0842">
        <w:t xml:space="preserve"> Część państw zmierzało do uznania Ligi </w:t>
      </w:r>
      <w:r w:rsidR="002E56EE">
        <w:t>za</w:t>
      </w:r>
      <w:r w:rsidRPr="003C0842">
        <w:t xml:space="preserve"> forum dla polubownego załatwiania sporów międzynarodowych, zgodnie z tendencją wytyczoną przez konferencje haskie. Grupa ta, znajdująca oparcie w stanowisku Francji, sprzeciwiała się koncepcji kojarzonej z Wielką Brytanią preferującej objęcie przez Ligę coraz większej liczby spraw – także tradycyjnie zarezerwowanych dla organizmów suwerennych. Krytyczni Francuzi uważali, że taka koncepcja przybliża Ligę do debat parlamentarnych, z tendencją do rosnących uprawnień organów Ligi, kosztem państw członków. W sporach tych skrywało się także jedno z głównych problemów, mianowicie obawy przed rewanżem niemieckim. To one, a także realizm spowodowały, że </w:t>
      </w:r>
      <w:r w:rsidR="002E56EE">
        <w:t>również</w:t>
      </w:r>
      <w:r w:rsidRPr="003C0842">
        <w:t xml:space="preserve"> we Francji do głosu doszło przekonanie o możliwości wykorzystania Ligi do własnej polityki. </w:t>
      </w:r>
      <w:r w:rsidR="00263C46" w:rsidRPr="003C0842">
        <w:t>Skoro bowiem dla Francji główną gwarancją o charakterze politycznym w stosunku do Niemiec jest traktat wersalski</w:t>
      </w:r>
      <w:r w:rsidRPr="003C0842">
        <w:t>, w który wplecione zostały różne kompetencje organów Ligi (zwłaszcza Rady), to w grę może wchodzić tylko jej aktywna postawa i dążenie do wykorzystania instytucji genewskiej dla narodowych celów. Nie mogła więc Francja lekceważyć, bojkotować, tym mniej zwalczać Ligi</w:t>
      </w:r>
      <w:r w:rsidR="00D50ADC" w:rsidRPr="003C0842">
        <w:t>,</w:t>
      </w:r>
      <w:r w:rsidRPr="003C0842">
        <w:t xml:space="preserve"> gdyż byłoby to podkopywanie traktatu wersalskiego z ryzykiem jego zmiany, zawsze na wersję mniej korzystną z francuskiego punktu widzenia. </w:t>
      </w:r>
    </w:p>
    <w:p w:rsidR="00212B99" w:rsidRPr="003C0842" w:rsidRDefault="00212B99" w:rsidP="00111348">
      <w:pPr>
        <w:spacing w:line="360" w:lineRule="auto"/>
      </w:pPr>
      <w:r w:rsidRPr="003C0842">
        <w:t>W rozdartym politycznie i moralnie społeczeństwie, trapionym powojennymi trudnościami gospodarczymi i stałym oczekiwani</w:t>
      </w:r>
      <w:r w:rsidR="00D50ADC" w:rsidRPr="003C0842">
        <w:t>em</w:t>
      </w:r>
      <w:r w:rsidRPr="003C0842">
        <w:t xml:space="preserve"> deszczu „niemieckiego złota reparacyjnego”, rosło napięcie wywoływane strachem przed rewanżem ze strony pokonanego, ale nie rozbitego militarnie wroga. Za przekreśloną już nadzieją uzyskania gwarancji od Stanów Zjednoczonych podążała niewiara w sukces rokowań z Wielką Brytanią</w:t>
      </w:r>
      <w:r w:rsidR="00353970" w:rsidRPr="003C0842">
        <w:rPr>
          <w:rStyle w:val="Odwoanieprzypisudolnego"/>
          <w:rFonts w:ascii="Times New Roman" w:hAnsi="Times New Roman"/>
          <w:sz w:val="24"/>
        </w:rPr>
        <w:footnoteReference w:id="59"/>
      </w:r>
      <w:r w:rsidRPr="003C0842">
        <w:t>. Towarzyszyło temu rosnące rozprzężenie w antyniemieckim froncie, w którym nie tylko Stany Zjednoczone, ale i Wielka Brytania coraz większą wagę przywiązywały do gospodarczych skutków wojny. W ten społeczno-polityczny pejzaż wpisywała się krytyczna i wstrzemięźliwa opinia na temat efektów działalności Ligi. Na Quai d’Orsay mnożyły się pretensje do sir Erica Drummonda</w:t>
      </w:r>
      <w:r w:rsidRPr="003C0842">
        <w:rPr>
          <w:rStyle w:val="Odwoanieprzypisudolnego"/>
          <w:rFonts w:ascii="Times New Roman" w:hAnsi="Times New Roman"/>
          <w:sz w:val="24"/>
        </w:rPr>
        <w:footnoteReference w:id="60"/>
      </w:r>
      <w:r w:rsidRPr="003C0842">
        <w:t xml:space="preserve"> i zdominowanego anglosaskim punktem widzenia </w:t>
      </w:r>
      <w:r w:rsidRPr="003C0842">
        <w:lastRenderedPageBreak/>
        <w:t xml:space="preserve">Sekretariatu, który – na dodatek </w:t>
      </w:r>
      <w:r w:rsidR="00263C46" w:rsidRPr="003C0842">
        <w:t>–</w:t>
      </w:r>
      <w:r w:rsidRPr="003C0842">
        <w:t xml:space="preserve"> przez ponad rok funkcjonował w Londynie. Dochodzące stamtąd sygnały wskazywały, że Liga nie waha się okazywać sympatii wrogom Francji, którzy wywierają naciski w sprawie po</w:t>
      </w:r>
      <w:r w:rsidR="00353970" w:rsidRPr="003C0842">
        <w:t>s</w:t>
      </w:r>
      <w:r w:rsidRPr="003C0842">
        <w:t>piesznego rozbrojenia. Tymczasem dla Francji właśnie rozbrojenie było szczególn</w:t>
      </w:r>
      <w:r w:rsidR="00263C46" w:rsidRPr="003C0842">
        <w:t>ym</w:t>
      </w:r>
      <w:r w:rsidR="00D50ADC" w:rsidRPr="003C0842">
        <w:t xml:space="preserve"> orężem</w:t>
      </w:r>
      <w:r w:rsidRPr="003C0842">
        <w:t xml:space="preserve"> w jej polityce antyniemieckiej, a armia miała pozostać najważniejszą gwarancją bezpieczeństwa i pozycji międzynarodowej. Od samego początku debaty na ten temat Francuzi konsekwentnie </w:t>
      </w:r>
      <w:r w:rsidR="00D50ADC" w:rsidRPr="003C0842">
        <w:t xml:space="preserve">forsowali </w:t>
      </w:r>
      <w:r w:rsidRPr="003C0842">
        <w:t>jedynie możliwą</w:t>
      </w:r>
      <w:r w:rsidR="00CD16A3">
        <w:t xml:space="preserve"> </w:t>
      </w:r>
      <w:r w:rsidRPr="003C0842">
        <w:t>kolejność głównych elementów tego procesu: najpierw bezpieczeństwo, później rozbrojenie</w:t>
      </w:r>
      <w:r w:rsidRPr="003C0842">
        <w:rPr>
          <w:rStyle w:val="Odwoanieprzypisudolnego"/>
          <w:rFonts w:ascii="Times New Roman" w:hAnsi="Times New Roman"/>
          <w:sz w:val="24"/>
        </w:rPr>
        <w:footnoteReference w:id="61"/>
      </w:r>
      <w:r w:rsidRPr="003C0842">
        <w:t>.</w:t>
      </w:r>
    </w:p>
    <w:p w:rsidR="00212B99" w:rsidRPr="003C0842" w:rsidRDefault="00212B99" w:rsidP="00111348">
      <w:pPr>
        <w:spacing w:line="360" w:lineRule="auto"/>
      </w:pPr>
      <w:r w:rsidRPr="003C0842">
        <w:t>Brytyjskie zachęty o istotne umniejszenie liczby żołnierzy pozostaj</w:t>
      </w:r>
      <w:r w:rsidR="00D50ADC" w:rsidRPr="003C0842">
        <w:t>ących w służbie czynnej drażniły</w:t>
      </w:r>
      <w:r w:rsidRPr="003C0842">
        <w:t xml:space="preserve"> Paryż tym mocniej, że towarzyszyły temu akcenty filoniemieckie. Od czerwca 1920 r., kiedy wznowione zostały pełne stosunki dyplomatyczne między Wielką Brytanią a Niemcami, rosło przeświadczenie o postępującym rozbracie byłych sojuszników w kwestiach dotyczących Niemiec. Wielką w tym zasługę miał Edgar Vincent D’Abernon, który jako pierwszy powojenny ambasador brytyjski w Berlinie, zaskarbił sobie opinię „lorda protektora Niemiec”. Zachęcał swoich rozmówców do pozytywnego ustosunkowania się do Ligi oferującej Niemcom różnorakie korzyści w tak ważnych sprawach jak reparacje, kontrola wojskowa czy problem sankcji. Wdzięcznym interlokutorem był m.in. Ago von Maltz</w:t>
      </w:r>
      <w:r w:rsidR="00B559CF" w:rsidRPr="003C0842">
        <w:t>a</w:t>
      </w:r>
      <w:r w:rsidRPr="003C0842">
        <w:t>n, uznawany za utalentowanego i kompetentnego urzędnika AA, z którym zasadniczo godzono się, że podstawą ewentualnych negocjacji będą dwa f</w:t>
      </w:r>
      <w:r w:rsidR="00353970" w:rsidRPr="003C0842">
        <w:t>ilary</w:t>
      </w:r>
      <w:r w:rsidRPr="003C0842">
        <w:t>: 1) nie będzie wymagane ponowne potwierdzenie traktatu wersalskiego; 2) stałe miejsce w Radzie Ligi zostanie przyznane bez żadnych warunków</w:t>
      </w:r>
      <w:r w:rsidRPr="003C0842">
        <w:rPr>
          <w:rStyle w:val="Odwoanieprzypisudolnego"/>
          <w:rFonts w:ascii="Times New Roman" w:hAnsi="Times New Roman"/>
          <w:sz w:val="24"/>
        </w:rPr>
        <w:footnoteReference w:id="62"/>
      </w:r>
      <w:r w:rsidRPr="003C0842">
        <w:t>.</w:t>
      </w:r>
    </w:p>
    <w:p w:rsidR="00212B99" w:rsidRPr="003C0842" w:rsidRDefault="00212B99" w:rsidP="00111348">
      <w:pPr>
        <w:spacing w:line="360" w:lineRule="auto"/>
      </w:pPr>
      <w:r w:rsidRPr="003C0842">
        <w:t>Lord D’Abernon należał do tej, większej części polityków brytyjskich, którzy byli przekonani, że traktat wersalski i cały na nim budowany system nie jest rozwiązaniem trwałym. Była to wiedza funkcjonująca ponadczasowo w różnych środowiskach. Płk Pierre Chardigny, reprezentujący Francję w Międzysojuszniczej Komisji Kontroli nadzorującej niemieckie rozbrojenie pisał w połowie 1922 r. z Ems do Paula Mantoux (dyrektora sekcji politycznej Sekretariatu Ligi), że jego angielscy koledzy całkowicie sprzyjają Niemcom, gdyż „dla rządu angielskiego traktat wersalski stał się dziś świstkiem papieru”</w:t>
      </w:r>
      <w:r w:rsidRPr="003C0842">
        <w:rPr>
          <w:rStyle w:val="Odwoanieprzypisudolnego"/>
          <w:rFonts w:ascii="Times New Roman" w:hAnsi="Times New Roman"/>
          <w:sz w:val="24"/>
        </w:rPr>
        <w:footnoteReference w:id="63"/>
      </w:r>
      <w:r w:rsidRPr="003C0842">
        <w:t>.</w:t>
      </w:r>
    </w:p>
    <w:p w:rsidR="00212B99" w:rsidRPr="003C0842" w:rsidRDefault="00212B99" w:rsidP="00111348">
      <w:pPr>
        <w:spacing w:line="360" w:lineRule="auto"/>
      </w:pPr>
      <w:r w:rsidRPr="003C0842">
        <w:lastRenderedPageBreak/>
        <w:t>Brytyjczycy kontynuujący prowadzoną wcześniej politykę poszukiwali sposobów swoistego dowartościowania Niemców pogrążonych w politycznej i społecznej depresji z powodu klęski wojennej, utraty pozycji mocarstwowej, cesarstwa, armii, kolonii</w:t>
      </w:r>
      <w:r w:rsidR="00B21A46">
        <w:t>…</w:t>
      </w:r>
      <w:r w:rsidRPr="003C0842">
        <w:t xml:space="preserve"> O t</w:t>
      </w:r>
      <w:r w:rsidR="00730E18" w:rsidRPr="003C0842">
        <w:t xml:space="preserve">endencji tej napisano już wyżej, jednak trudno się oprzeć </w:t>
      </w:r>
      <w:r w:rsidR="00263C46" w:rsidRPr="003C0842">
        <w:t xml:space="preserve">chęci </w:t>
      </w:r>
      <w:r w:rsidR="00730E18" w:rsidRPr="003C0842">
        <w:t>przywołania przykładu</w:t>
      </w:r>
      <w:r w:rsidRPr="003C0842">
        <w:t xml:space="preserve"> związan</w:t>
      </w:r>
      <w:r w:rsidR="00730E18" w:rsidRPr="003C0842">
        <w:t>ego</w:t>
      </w:r>
      <w:r w:rsidRPr="003C0842">
        <w:t xml:space="preserve"> z odradzającą się Polską. Złowieszczym probierzem wsparcia dla niemieckiego rewizjonizmu było ustanowienie Wolnego Miasta Gdańska. Brytyjczycy zawarowali sobie w nim uprzywilejowaną pozycję. Rychło też „sprawa gdańska”, traktowana w Londynie jako rozwiązanie tymczasowe, stała się popularnym w Europie elementem podsycania niepokoju. Anna M. Cienciała konstatuje: „Sprawa Gdańska była w ówczesnej polityce brytyjskiej zawsze nieodłączna od jej polityki wobec Niemiec, a więc wobec rewizjonizmu niemieckiego”</w:t>
      </w:r>
      <w:r w:rsidRPr="003C0842">
        <w:rPr>
          <w:rStyle w:val="Odwoanieprzypisudolnego"/>
          <w:rFonts w:ascii="Times New Roman" w:hAnsi="Times New Roman"/>
          <w:sz w:val="24"/>
        </w:rPr>
        <w:footnoteReference w:id="64"/>
      </w:r>
      <w:r w:rsidRPr="003C0842">
        <w:t xml:space="preserve">. </w:t>
      </w:r>
    </w:p>
    <w:p w:rsidR="00212B99" w:rsidRPr="003C0842" w:rsidRDefault="00212B99" w:rsidP="00111348">
      <w:pPr>
        <w:spacing w:line="360" w:lineRule="auto"/>
      </w:pPr>
      <w:r w:rsidRPr="003C0842">
        <w:t>Pochodną polityki brytyjskiej na wschodzie Europy w sensie protekcyjnym dla oczekiwań niemieckich była wyrozumiałość wobec ich awansów względem bolszewickiej Rosji. Znaczyło to, że dla Londynu nie było straszne zbliżenie się dwóch najpoważniejszych i najostrzejszych krytyków traktatów pokojowych i całego budującego się systemu. Wymowna była odmowa Niemiec uczestniczenia w blokadzie Rosji zarządzonej przez Radę Najwyższą Sprzymierzonych 29 września 1919 r. Znamienną decyzję podjął prezydent Niemiec 20 lipca 1920 r. o neutralności wobec konfliktu polsko-rosyjskiego. Skutkowało to bojkotem gospodarczym zapoczątkowanym zakazem wywozu i przywozu materiałów wojennych do Polski. Proklamacja prezydencka wyprzedzała o dwa dni propozycję złożoną rządowi Lenina w sprawie nawiązania stosunków dyplomatycznych, co oznaczało spektakularny wyłom w jednolitym stanowisku mocarstw wobec Rosji</w:t>
      </w:r>
      <w:r w:rsidRPr="003C0842">
        <w:rPr>
          <w:rStyle w:val="Odwoanieprzypisudolnego"/>
          <w:rFonts w:ascii="Times New Roman" w:hAnsi="Times New Roman"/>
          <w:sz w:val="24"/>
        </w:rPr>
        <w:footnoteReference w:id="65"/>
      </w:r>
      <w:r w:rsidRPr="003C0842">
        <w:t xml:space="preserve">. </w:t>
      </w:r>
    </w:p>
    <w:p w:rsidR="00212B99" w:rsidRPr="003C0842" w:rsidRDefault="00212B99" w:rsidP="00111348">
      <w:pPr>
        <w:spacing w:line="360" w:lineRule="auto"/>
      </w:pPr>
      <w:r w:rsidRPr="003C0842">
        <w:t xml:space="preserve">Temat ten w związku z trwającą interwencją zbrojną w Rosji był bardzo nagłaśniany i kolportowany w duchu wrogim wobec Ligi, którą oskarżano w Moskwie o montowanie spisku kapitalistów przeciwko pierwszemu </w:t>
      </w:r>
      <w:r w:rsidR="00027CA1" w:rsidRPr="003C0842">
        <w:t>„</w:t>
      </w:r>
      <w:r w:rsidRPr="003C0842">
        <w:t>państwu robotników i chłopów</w:t>
      </w:r>
      <w:r w:rsidR="00027CA1" w:rsidRPr="003C0842">
        <w:t>”</w:t>
      </w:r>
      <w:r w:rsidRPr="003C0842">
        <w:rPr>
          <w:rStyle w:val="Odwoanieprzypisudolnego"/>
          <w:rFonts w:ascii="Times New Roman" w:hAnsi="Times New Roman"/>
          <w:sz w:val="24"/>
        </w:rPr>
        <w:footnoteReference w:id="66"/>
      </w:r>
      <w:r w:rsidRPr="003C0842">
        <w:t>. Dementi ze strony Sekretariatu Ligi nie odnosiły skutku</w:t>
      </w:r>
      <w:r w:rsidR="00380B08" w:rsidRPr="003C0842">
        <w:t>,</w:t>
      </w:r>
      <w:r w:rsidRPr="003C0842">
        <w:t xml:space="preserve"> chociaż zawierały jednoznaczne sformułowania. </w:t>
      </w:r>
      <w:r w:rsidRPr="003C0842">
        <w:lastRenderedPageBreak/>
        <w:t xml:space="preserve">W komunikacie </w:t>
      </w:r>
      <w:r w:rsidR="0022600B" w:rsidRPr="003C0842">
        <w:t>Sekretarza Generalnego</w:t>
      </w:r>
      <w:r w:rsidRPr="003C0842">
        <w:t xml:space="preserve"> rozpowszechnionym przez prasę londyńską 22 lipca 1920 r. informowano, że sugestia jakoby jakiś członek Sekretariatu „jest lub był zaangażowany w to</w:t>
      </w:r>
      <w:r w:rsidR="00380B08" w:rsidRPr="003C0842">
        <w:t>,</w:t>
      </w:r>
      <w:r w:rsidRPr="003C0842">
        <w:t xml:space="preserve"> aby pozyskać Rumunię lub jakieś inne państwo do podjęcia wrogich działań przeciwko władzom sowieckim jest z gruntu fałszywa”. Ponadto, żaden członek Sekretariatu nie może się wypowiadać w imieniu Ligi. Nie mogła też wchodzić w grę żadna mediacja Ligi pomiędzy Polską a władzami radzieckimi, </w:t>
      </w:r>
      <w:r w:rsidR="00380B08" w:rsidRPr="003C0842">
        <w:t>gdyż</w:t>
      </w:r>
      <w:r w:rsidRPr="003C0842">
        <w:t xml:space="preserve"> Rada nigdy nie zajmowała się tą sprawą. „Ewentualna mediacja mogłaby mieć miejsce – głosił komunikat </w:t>
      </w:r>
      <w:r w:rsidR="00C24030" w:rsidRPr="003C0842">
        <w:t>Sekretarza Generalnego</w:t>
      </w:r>
      <w:r w:rsidRPr="003C0842">
        <w:t xml:space="preserve"> – gdyby problem ten został przedstawiony przez jedną z zainteresowanych stron lub jakiegoś członka Ligi Narodów”</w:t>
      </w:r>
      <w:r w:rsidRPr="003C0842">
        <w:rPr>
          <w:rStyle w:val="Odwoanieprzypisudolnego"/>
          <w:rFonts w:ascii="Times New Roman" w:hAnsi="Times New Roman"/>
          <w:sz w:val="24"/>
        </w:rPr>
        <w:footnoteReference w:id="67"/>
      </w:r>
      <w:r w:rsidRPr="003C0842">
        <w:t>.</w:t>
      </w:r>
    </w:p>
    <w:p w:rsidR="00212B99" w:rsidRPr="003C0842" w:rsidRDefault="00212B99" w:rsidP="00111348">
      <w:pPr>
        <w:spacing w:line="360" w:lineRule="auto"/>
      </w:pPr>
      <w:r w:rsidRPr="003C0842">
        <w:t>Powyższe nie oznacza braku żywego zainteresowania Ligi jako instytucji skupiającej czynnych polityków i dyplomatów wydarzeniami niosącymi ryzyko nieobliczalnych konsekwencji dla Zachodu, jeśliby przestroga Lloyda George’a o zlaniu się niemieckich oficerów z masami żołnierskimi Rosji</w:t>
      </w:r>
      <w:r w:rsidR="00C24030" w:rsidRPr="003C0842">
        <w:t>,</w:t>
      </w:r>
      <w:r w:rsidRPr="003C0842">
        <w:t xml:space="preserve"> stał</w:t>
      </w:r>
      <w:r w:rsidR="00C24030" w:rsidRPr="003C0842">
        <w:t>a</w:t>
      </w:r>
      <w:r w:rsidRPr="003C0842">
        <w:t xml:space="preserve"> się realna. Wcale nie odosobniona była opinia lorda Roberta Cecila, że wśród najpilniejszych spraw wymagających aktywnego zaangażowania Ligi był właśnie węzeł rosyjski oraz kwestia Europy Centralnej. Zagrożeniem dla koniecznej stabilizacji – mówił w połowie 1920 r. do Paula Mantoux – był konflikt zbrojny wywołany przez Polskę i jej sąsiadów oraz Bułgarię. Zachęcał przeto do podjęcia przez Ligę „wyprzedzających wybuch dyskusji, gdyż wolałby przerwanie ciszy w taki sposób, a nie przez armaty; zawsze bowiem lepiej zapobiegać niż likwidować skutki konfliktu”</w:t>
      </w:r>
      <w:r w:rsidRPr="003C0842">
        <w:rPr>
          <w:rStyle w:val="Odwoanieprzypisudolnego"/>
          <w:rFonts w:ascii="Times New Roman" w:hAnsi="Times New Roman"/>
          <w:sz w:val="24"/>
        </w:rPr>
        <w:footnoteReference w:id="68"/>
      </w:r>
      <w:r w:rsidRPr="003C0842">
        <w:t xml:space="preserve">. </w:t>
      </w:r>
    </w:p>
    <w:p w:rsidR="00212B99" w:rsidRPr="003C0842" w:rsidRDefault="00212B99" w:rsidP="00111348">
      <w:pPr>
        <w:spacing w:line="360" w:lineRule="auto"/>
      </w:pPr>
      <w:r w:rsidRPr="003C0842">
        <w:t>Z różnych stron płynące utyskiwania na bezczynność Ligi Narodów wobec toczącej się wojny polsko-radzieckiej skłonił</w:t>
      </w:r>
      <w:r w:rsidR="00413C94" w:rsidRPr="003C0842">
        <w:t>y Paula Mantoux do sugerowania sekretarzowi g</w:t>
      </w:r>
      <w:r w:rsidRPr="003C0842">
        <w:t xml:space="preserve">eneralnemu większej aktywności. Oczywiście warunkiem takiej akcji musiała być pewność, że rząd polski jest gotów do negocjacji, których wynik będzie miał olbrzymie znaczenie dla wszystkich nowych państw w Europie Centralnej. Także po stronie bolszewickiej </w:t>
      </w:r>
      <w:r w:rsidR="00C24030" w:rsidRPr="003C0842">
        <w:t xml:space="preserve">spodziewano się </w:t>
      </w:r>
      <w:r w:rsidRPr="003C0842">
        <w:t>większ</w:t>
      </w:r>
      <w:r w:rsidR="00C24030" w:rsidRPr="003C0842">
        <w:t>ej</w:t>
      </w:r>
      <w:r w:rsidRPr="003C0842">
        <w:t xml:space="preserve"> gotowoś</w:t>
      </w:r>
      <w:r w:rsidR="00C24030" w:rsidRPr="003C0842">
        <w:t>ci</w:t>
      </w:r>
      <w:r w:rsidRPr="003C0842">
        <w:t xml:space="preserve"> do negocjacji przy pośredniczącym udziale Ligi, w każdym razie większ</w:t>
      </w:r>
      <w:r w:rsidR="00C24030" w:rsidRPr="003C0842">
        <w:t>ej</w:t>
      </w:r>
      <w:r w:rsidRPr="003C0842">
        <w:t xml:space="preserve"> niżby inicjatywę taką powziął jakiś rząd aliancki. Ewentualna inicjatywa w tym zakresie </w:t>
      </w:r>
      <w:r w:rsidR="00380B08" w:rsidRPr="003C0842">
        <w:t>–</w:t>
      </w:r>
      <w:r w:rsidRPr="003C0842">
        <w:t xml:space="preserve"> pisał Mantoux </w:t>
      </w:r>
      <w:r w:rsidR="00380B08" w:rsidRPr="003C0842">
        <w:t>–</w:t>
      </w:r>
      <w:r w:rsidRPr="003C0842">
        <w:t xml:space="preserve"> musiałaby zostać poprzedzona apelem do narodów będących w konflikcie; „bezczynność Ligi Narodów, która była konieczna w poprzednich warunkach może okazać się groźna dla niej samej oraz dla przyszłego pokoju w Europie</w:t>
      </w:r>
      <w:r w:rsidR="00380B08" w:rsidRPr="003C0842">
        <w:t>”</w:t>
      </w:r>
      <w:r w:rsidRPr="003C0842">
        <w:rPr>
          <w:rStyle w:val="Odwoanieprzypisudolnego"/>
          <w:rFonts w:ascii="Times New Roman" w:hAnsi="Times New Roman"/>
          <w:sz w:val="24"/>
        </w:rPr>
        <w:footnoteReference w:id="69"/>
      </w:r>
      <w:r w:rsidRPr="003C0842">
        <w:t>.</w:t>
      </w:r>
    </w:p>
    <w:p w:rsidR="00212B99" w:rsidRPr="003C0842" w:rsidRDefault="00C24030" w:rsidP="00111348">
      <w:pPr>
        <w:spacing w:line="360" w:lineRule="auto"/>
      </w:pPr>
      <w:r w:rsidRPr="003C0842">
        <w:lastRenderedPageBreak/>
        <w:t>Uwagi</w:t>
      </w:r>
      <w:r w:rsidR="00212B99" w:rsidRPr="003C0842">
        <w:t xml:space="preserve"> o podobnym </w:t>
      </w:r>
      <w:r w:rsidRPr="003C0842">
        <w:t>charakterzewypowiadane</w:t>
      </w:r>
      <w:r w:rsidR="00212B99" w:rsidRPr="003C0842">
        <w:t xml:space="preserve"> w dniach pochodu Armii Czerwonej na zachód miały szczególn</w:t>
      </w:r>
      <w:r w:rsidRPr="003C0842">
        <w:t>ą</w:t>
      </w:r>
      <w:r w:rsidR="00212B99" w:rsidRPr="003C0842">
        <w:t xml:space="preserve"> wymowę. Czas kształtującego się państwa polskiego wydawał się </w:t>
      </w:r>
      <w:r w:rsidR="00380B08" w:rsidRPr="003C0842">
        <w:t>policzony, a sąsiedzi –</w:t>
      </w:r>
      <w:r w:rsidR="00212B99" w:rsidRPr="003C0842">
        <w:t xml:space="preserve"> małej Czechosłowacji i jeszcze mniejszej Litwy nie wyłączając, skutecznie sięgali po ziemie sporne – pierwsi Zaolzie, drudzy – </w:t>
      </w:r>
      <w:r w:rsidR="00380B08" w:rsidRPr="003C0842">
        <w:t>z</w:t>
      </w:r>
      <w:r w:rsidR="00212B99" w:rsidRPr="003C0842">
        <w:t xml:space="preserve">iemię </w:t>
      </w:r>
      <w:r w:rsidR="00380B08" w:rsidRPr="003C0842">
        <w:t>w</w:t>
      </w:r>
      <w:r w:rsidR="00212B99" w:rsidRPr="003C0842">
        <w:t>ileńską. Marną perspektywę dla Polski widzieli też uczestnicy przeprowadzonego w tym czasie plebiscytu na Warmii i Mazurach, w którym przygniatająca większość opowiedziała się za pokonaną, ale nadal potężną Rzeszą</w:t>
      </w:r>
      <w:r w:rsidR="00212B99" w:rsidRPr="003C0842">
        <w:rPr>
          <w:rStyle w:val="Odwoanieprzypisudolnego"/>
          <w:rFonts w:ascii="Times New Roman" w:hAnsi="Times New Roman"/>
          <w:sz w:val="24"/>
        </w:rPr>
        <w:footnoteReference w:id="70"/>
      </w:r>
      <w:r w:rsidR="00212B99" w:rsidRPr="003C0842">
        <w:t>. Świadomość poważnego zagrożenia dla bytu Polski zademonstrowali też wielcy ówczesnego świata zebrani na konferencji w Spa (5-16</w:t>
      </w:r>
      <w:r w:rsidR="00380B08" w:rsidRPr="003C0842">
        <w:t xml:space="preserve"> lipca </w:t>
      </w:r>
      <w:r w:rsidR="00212B99" w:rsidRPr="003C0842">
        <w:t xml:space="preserve">1920 r.). Błagalne prośby premiera </w:t>
      </w:r>
      <w:r w:rsidR="00304981" w:rsidRPr="003C0842">
        <w:t xml:space="preserve">Władysława </w:t>
      </w:r>
      <w:r w:rsidR="00212B99" w:rsidRPr="003C0842">
        <w:t>Grabskiego o pomoc wojskową</w:t>
      </w:r>
      <w:r w:rsidR="00304981" w:rsidRPr="003C0842">
        <w:t xml:space="preserve">szef rządu brytyjskiego </w:t>
      </w:r>
      <w:r w:rsidR="00212B99" w:rsidRPr="003C0842">
        <w:t>skwitował uwagą, że pomóc mieli Francuzi, a jeśli się z tego nie wywiązali, to już nie jego sprawa</w:t>
      </w:r>
      <w:r w:rsidR="00212B99" w:rsidRPr="003C0842">
        <w:rPr>
          <w:rStyle w:val="Odwoanieprzypisudolnego"/>
          <w:rFonts w:ascii="Times New Roman" w:hAnsi="Times New Roman"/>
          <w:sz w:val="24"/>
        </w:rPr>
        <w:footnoteReference w:id="71"/>
      </w:r>
      <w:r w:rsidR="00212B99" w:rsidRPr="003C0842">
        <w:t>.</w:t>
      </w:r>
    </w:p>
    <w:p w:rsidR="00B951CC" w:rsidRPr="003C0842" w:rsidRDefault="00212B99" w:rsidP="00111348">
      <w:pPr>
        <w:spacing w:line="360" w:lineRule="auto"/>
      </w:pPr>
      <w:r w:rsidRPr="003C0842">
        <w:t xml:space="preserve">Wśród przedsięwzięć brytyjskich </w:t>
      </w:r>
      <w:r w:rsidR="00304981" w:rsidRPr="003C0842">
        <w:t xml:space="preserve">mających wydźwięk proniemiecki </w:t>
      </w:r>
      <w:r w:rsidRPr="003C0842">
        <w:t>poczesne, zgoła dziejowe znaczenie przypisać należy inicjatywie zwołania konferencji gospodarczej z udziałem państw zwycięskich i pokonanych. Teza wyjściowa mówiąca o niemożności odbudowy zniszczonych więzi ekonomicznych bez udziału Niemiec i Rosji wywołała szokujące wrażenie</w:t>
      </w:r>
      <w:r w:rsidR="00380B08" w:rsidRPr="003C0842">
        <w:t>,</w:t>
      </w:r>
      <w:r w:rsidRPr="003C0842">
        <w:t xml:space="preserve"> zwłaszcza we Francji i państwach z nią związanych. Widziano w niej bowiem pretekst do kontestowania wielkości reparacji, które w styczniu 1921 r. zostały określone na 269 mld marek w złocie. Wskutek oporu niemieckiego już w maju umniejszono tę sumę do 136 mld marek. Redukcji tej dokonano podczas konferencji w Londynie, uwzględniając ograniczone efekty represyjnej okupacji Düsseldorfu, Duisburga i Ruhrortu, dokonanej zresztą wbrew stanowisku gospodarzy konferencji. Remedium na bierny opór i postępujące trudności gospodarki niemieckiej miała być groźba okupacji obszaru Ruhry, co zdaniem Brytyjczyków nie mogło przybliżyć do spłaty rocznych rat w wysokości 2 mld marek w złocie i 26% wartości niemieckiego eksportu. </w:t>
      </w:r>
    </w:p>
    <w:p w:rsidR="00212B99" w:rsidRPr="003C0842" w:rsidRDefault="00212B99" w:rsidP="00111348">
      <w:pPr>
        <w:spacing w:line="360" w:lineRule="auto"/>
      </w:pPr>
      <w:r w:rsidRPr="003C0842">
        <w:t xml:space="preserve">Podobnego zdania byli także przedstawiciele Włoch, gdzie francuska zaborczość reparacyjna wywoływała rosnące sympatie dla Niemiec. Był to jeden z powodów, że to włoska Genua była miejscem konferencji mającej uregulować stosunki gospodarcze w powojennym świecie. Konferencji tej obradującej od 10 kwietnia do 19 maja 1922 r. towarzyszyło wiele wydarzeń o sensacyjnej i dziejowej wymowie. Wśród prominentnych </w:t>
      </w:r>
      <w:r w:rsidRPr="003C0842">
        <w:lastRenderedPageBreak/>
        <w:t>uczestników reprezentujących 34 państwa miał być Włodzimierz Lenin, którego ostatecznie zastąpił Gieorgij Cziczerin. On też oraz kanclerz Joseph Wirth i jego minister spraw zagranicznych Walther Rathenau znaleźli się w centrum światowego zainteresowania z powodu porozumienia podpisanego w Rapallo 16 kwietnia 1922 r. Strony normalizowały wzajemne stosunki dyplomatyczne na zasadzie wzajemności i zrzekały się roszczeń finansowych za straty i szkody</w:t>
      </w:r>
      <w:r w:rsidR="00380B08" w:rsidRPr="003C0842">
        <w:t>,</w:t>
      </w:r>
      <w:r w:rsidRPr="003C0842">
        <w:t xml:space="preserve"> zapowiadając rozwój współpracy gospodarczej.</w:t>
      </w:r>
    </w:p>
    <w:p w:rsidR="00212B99" w:rsidRPr="003C0842" w:rsidRDefault="00212B99" w:rsidP="00111348">
      <w:pPr>
        <w:spacing w:line="360" w:lineRule="auto"/>
      </w:pPr>
      <w:r w:rsidRPr="003C0842">
        <w:t>Porozumienie to, osiągnięte już w pierwszym tygodniu konferencji genueńskiej</w:t>
      </w:r>
      <w:r w:rsidR="00B951CC" w:rsidRPr="003C0842">
        <w:t>,</w:t>
      </w:r>
      <w:r w:rsidRPr="003C0842">
        <w:t xml:space="preserve"> położyło się cieniem na jej obradach trwających jeszcze miesiąc. Osiągnięto niewiele</w:t>
      </w:r>
      <w:r w:rsidR="0022600B" w:rsidRPr="003C0842">
        <w:t xml:space="preserve"> poza</w:t>
      </w:r>
      <w:r w:rsidRPr="003C0842">
        <w:t xml:space="preserve"> narodzin</w:t>
      </w:r>
      <w:r w:rsidR="0022600B" w:rsidRPr="003C0842">
        <w:t>ami</w:t>
      </w:r>
      <w:r w:rsidRPr="003C0842">
        <w:t xml:space="preserve"> tzw. polityki rapallskiej. Do trwającej już wówczas i prowadzonej przez wiele lat „gry o Niemcy” doszedł czynnik o wielkim znaczeniu politycznym i psychologicznym. Korzystny dla obu stron był jednak bardziej przydatny dla Niemiec jako państwa bardziej aktywnego na arenie międzynarodowej, uwikłanego w liczne obwarowania z tytułu traktatu wersalskiego i aktów z niego wynikających</w:t>
      </w:r>
      <w:r w:rsidRPr="003C0842">
        <w:rPr>
          <w:rStyle w:val="Odwoanieprzypisudolnego"/>
          <w:rFonts w:ascii="Times New Roman" w:hAnsi="Times New Roman"/>
          <w:sz w:val="24"/>
        </w:rPr>
        <w:footnoteReference w:id="72"/>
      </w:r>
      <w:r w:rsidRPr="003C0842">
        <w:t>.</w:t>
      </w:r>
    </w:p>
    <w:p w:rsidR="0042397A" w:rsidRPr="003C0842" w:rsidRDefault="00212B99" w:rsidP="0042397A">
      <w:pPr>
        <w:spacing w:line="360" w:lineRule="auto"/>
      </w:pPr>
      <w:r w:rsidRPr="003C0842">
        <w:t>Zarazem jednak zawarcie układu na równościowych podstawach z państwem przedstawianym w najczarniejszych barwach w sensie społecznym i nieobliczalnym w sensie polityczno-gospodarczym pogorszyło koniunkturę niemiecką w stolicach większości państw. Dotyczyło to także mocarstw negocjujących z Rosją warunki nawiązania stosunków dyplomatycznych, które ściśle były związane z różnego rodzaju oczekiwaniami (koncesjami) gospodarczymi. Otwarcie furtki przez Niemcy utrudniało te negocjacje. Utworzone w Berlinie konsorcjum Rusgertorg, którego udziałowcami byli rząd federacji rosyjskiej oraz grupa firm niemieckich</w:t>
      </w:r>
      <w:r w:rsidR="0022600B" w:rsidRPr="003C0842">
        <w:t>,</w:t>
      </w:r>
      <w:r w:rsidR="0042397A" w:rsidRPr="003C0842">
        <w:t>ułatwiało</w:t>
      </w:r>
      <w:r w:rsidRPr="003C0842">
        <w:t xml:space="preserve"> współpracę obu państw</w:t>
      </w:r>
      <w:r w:rsidR="00036923" w:rsidRPr="003C0842">
        <w:t>om</w:t>
      </w:r>
      <w:r w:rsidRPr="003C0842">
        <w:t xml:space="preserve">. Niemcy uzyskały 19 dużych koncesji w ZSRR, więcej niż Wielka Brytania i USA razem wzięte. Po ratyfikacji układu rapallskiego w styczniu 1923 r. została zawarta wstępna umowa handlowa. Kontrahenci nader skromne zasoby walutowe „zastąpili” wymianą bezgotówkową na zasadzie kompensacyjnej. Z jednej strony zboże, z drugiej maszyny. </w:t>
      </w:r>
      <w:r w:rsidR="0042397A" w:rsidRPr="003C0842">
        <w:t>Negocjowano uznanie</w:t>
      </w:r>
      <w:r w:rsidRPr="003C0842">
        <w:t xml:space="preserve"> monopolu państwa </w:t>
      </w:r>
      <w:r w:rsidR="0042397A" w:rsidRPr="003C0842">
        <w:t>radzickiego</w:t>
      </w:r>
      <w:r w:rsidRPr="003C0842">
        <w:t xml:space="preserve"> na prowadzenie handlu zagranicznego</w:t>
      </w:r>
      <w:r w:rsidR="0042397A" w:rsidRPr="003C0842">
        <w:t xml:space="preserve">, a nawet </w:t>
      </w:r>
      <w:r w:rsidRPr="003C0842">
        <w:t>rozciągnięci</w:t>
      </w:r>
      <w:r w:rsidR="0042397A" w:rsidRPr="003C0842">
        <w:t>e</w:t>
      </w:r>
      <w:r w:rsidRPr="003C0842">
        <w:t xml:space="preserve"> immunitetu dyplomatycznego na przedstawicielstwa handlowe, które by</w:t>
      </w:r>
      <w:r w:rsidR="0042397A" w:rsidRPr="003C0842">
        <w:t>wa</w:t>
      </w:r>
      <w:r w:rsidRPr="003C0842">
        <w:t xml:space="preserve">ły miejscem </w:t>
      </w:r>
      <w:r w:rsidR="0042397A" w:rsidRPr="003C0842">
        <w:t>transferu</w:t>
      </w:r>
      <w:r w:rsidRPr="003C0842">
        <w:t xml:space="preserve"> „złota i dolarów” na działalność wywrotową</w:t>
      </w:r>
      <w:r w:rsidR="0042397A" w:rsidRPr="003C0842">
        <w:rPr>
          <w:rStyle w:val="Odwoanieprzypisudolnego"/>
          <w:rFonts w:ascii="Times New Roman" w:hAnsi="Times New Roman"/>
          <w:sz w:val="24"/>
        </w:rPr>
        <w:footnoteReference w:id="73"/>
      </w:r>
      <w:r w:rsidR="0042397A" w:rsidRPr="003C0842">
        <w:t>.</w:t>
      </w:r>
    </w:p>
    <w:p w:rsidR="00BD56B3" w:rsidRDefault="0032089C" w:rsidP="00111348">
      <w:pPr>
        <w:spacing w:line="360" w:lineRule="auto"/>
      </w:pPr>
      <w:r w:rsidRPr="003C0842">
        <w:t>P</w:t>
      </w:r>
      <w:r w:rsidR="00212B99" w:rsidRPr="003C0842">
        <w:t>rowadzone bez pośpiechu</w:t>
      </w:r>
      <w:r w:rsidRPr="003C0842">
        <w:t xml:space="preserve"> rokowania </w:t>
      </w:r>
      <w:r w:rsidR="00212B99" w:rsidRPr="003C0842">
        <w:t>były propagandowo wykorzystywane przez obie strony</w:t>
      </w:r>
      <w:r w:rsidRPr="003C0842">
        <w:t>, aczkolwiek doraźnie miały większe znaczenie dla Niemiec. D</w:t>
      </w:r>
      <w:r w:rsidR="00212B99" w:rsidRPr="003C0842">
        <w:t xml:space="preserve">zięki umowie rapallskiej </w:t>
      </w:r>
      <w:r w:rsidRPr="003C0842">
        <w:lastRenderedPageBreak/>
        <w:t xml:space="preserve">wzmocnieniu uległa ich pozycja negocjacyjna nie tylko </w:t>
      </w:r>
      <w:r w:rsidR="00212B99" w:rsidRPr="003C0842">
        <w:t>w</w:t>
      </w:r>
      <w:r w:rsidRPr="003C0842">
        <w:t>obec</w:t>
      </w:r>
      <w:r w:rsidR="00212B99" w:rsidRPr="003C0842">
        <w:t xml:space="preserve"> zwycięzców, ale </w:t>
      </w:r>
      <w:r w:rsidRPr="003C0842">
        <w:t>i pozostałych państw. Ułatwiało to</w:t>
      </w:r>
      <w:r w:rsidR="00212B99" w:rsidRPr="003C0842">
        <w:t xml:space="preserve"> stopniow</w:t>
      </w:r>
      <w:r w:rsidRPr="003C0842">
        <w:t>y</w:t>
      </w:r>
      <w:r w:rsidR="0033172C" w:rsidRPr="003C0842">
        <w:t>powrót</w:t>
      </w:r>
      <w:r w:rsidR="00212B99" w:rsidRPr="003C0842">
        <w:t xml:space="preserve"> do </w:t>
      </w:r>
      <w:r w:rsidR="0033172C" w:rsidRPr="003C0842">
        <w:t>aktywnej</w:t>
      </w:r>
      <w:r w:rsidR="00212B99" w:rsidRPr="003C0842">
        <w:t xml:space="preserve"> polityki międzynarodowej na </w:t>
      </w:r>
      <w:r w:rsidR="0033172C" w:rsidRPr="003C0842">
        <w:t xml:space="preserve">równościowych </w:t>
      </w:r>
      <w:r w:rsidR="00212B99" w:rsidRPr="003C0842">
        <w:t>zasadach. Jednym z obszarów tak</w:t>
      </w:r>
      <w:r w:rsidR="0033172C" w:rsidRPr="003C0842">
        <w:t>iej</w:t>
      </w:r>
      <w:r w:rsidR="00212B99" w:rsidRPr="003C0842">
        <w:t xml:space="preserve"> aktywności była Liga Narodów</w:t>
      </w:r>
      <w:r w:rsidR="0033172C" w:rsidRPr="003C0842">
        <w:t>, która była wyrazistą alternatywą dla polityki rapallskiej. Poza wszystkim</w:t>
      </w:r>
      <w:r w:rsidR="00212B99" w:rsidRPr="003C0842">
        <w:t xml:space="preserve"> – co należy podkreślić – </w:t>
      </w:r>
      <w:r w:rsidR="0033172C" w:rsidRPr="003C0842">
        <w:t xml:space="preserve">Rapallo złączyło </w:t>
      </w:r>
      <w:r w:rsidR="00212B99" w:rsidRPr="003C0842">
        <w:t xml:space="preserve">dwa </w:t>
      </w:r>
      <w:r w:rsidR="0033172C" w:rsidRPr="003C0842">
        <w:t xml:space="preserve">bardzo </w:t>
      </w:r>
      <w:r w:rsidR="00212B99" w:rsidRPr="003C0842">
        <w:t>ważne państwa</w:t>
      </w:r>
      <w:r w:rsidR="0033172C" w:rsidRPr="003C0842">
        <w:t xml:space="preserve"> europejskie</w:t>
      </w:r>
      <w:r w:rsidR="00212B99" w:rsidRPr="003C0842">
        <w:t xml:space="preserve">, </w:t>
      </w:r>
      <w:r w:rsidR="0033172C" w:rsidRPr="003C0842">
        <w:t>pryncypialnie</w:t>
      </w:r>
      <w:r w:rsidR="00212B99" w:rsidRPr="003C0842">
        <w:t xml:space="preserve"> wrogie traktatom pokojowym i budowanemu </w:t>
      </w:r>
      <w:r w:rsidR="0012469C" w:rsidRPr="003C0842">
        <w:t>na ich podstawie</w:t>
      </w:r>
      <w:r w:rsidR="00212B99" w:rsidRPr="003C0842">
        <w:t xml:space="preserve">porządkowi </w:t>
      </w:r>
      <w:r w:rsidR="0033172C" w:rsidRPr="003C0842">
        <w:t>międzynarodowemu.</w:t>
      </w:r>
    </w:p>
    <w:p w:rsidR="00BD29C2" w:rsidRPr="003C0842" w:rsidRDefault="00212B99" w:rsidP="00111348">
      <w:pPr>
        <w:spacing w:line="360" w:lineRule="auto"/>
      </w:pPr>
      <w:r w:rsidRPr="003C0842">
        <w:t xml:space="preserve">Stale przewijający się problem wstąpienia Niemiec do Ligi </w:t>
      </w:r>
      <w:r w:rsidR="0033172C" w:rsidRPr="003C0842">
        <w:t xml:space="preserve">był </w:t>
      </w:r>
      <w:r w:rsidRPr="003C0842">
        <w:t>p</w:t>
      </w:r>
      <w:r w:rsidR="0033172C" w:rsidRPr="003C0842">
        <w:t>rzypominany</w:t>
      </w:r>
      <w:r w:rsidRPr="003C0842">
        <w:t xml:space="preserve"> najczęściej przez polityków brytyjskich – niezależnie od opcji polityczno-partyjnej</w:t>
      </w:r>
      <w:r w:rsidR="0033172C" w:rsidRPr="003C0842">
        <w:t xml:space="preserve">. Chociaż z </w:t>
      </w:r>
      <w:r w:rsidRPr="003C0842">
        <w:t>reguły wspiera</w:t>
      </w:r>
      <w:r w:rsidR="0033172C" w:rsidRPr="003C0842">
        <w:t>ły go</w:t>
      </w:r>
      <w:r w:rsidRPr="003C0842">
        <w:t xml:space="preserve"> dominia, państwa skandynawskie, okresowo Włochy</w:t>
      </w:r>
      <w:r w:rsidR="0033172C" w:rsidRPr="003C0842">
        <w:t>, to jednak</w:t>
      </w:r>
      <w:r w:rsidRPr="003C0842">
        <w:t xml:space="preserve">nie znajdował </w:t>
      </w:r>
      <w:r w:rsidR="0033172C" w:rsidRPr="003C0842">
        <w:t xml:space="preserve">on </w:t>
      </w:r>
      <w:r w:rsidRPr="003C0842">
        <w:t xml:space="preserve">pozytywnego </w:t>
      </w:r>
      <w:r w:rsidR="0033172C" w:rsidRPr="003C0842">
        <w:t>odzewu</w:t>
      </w:r>
      <w:r w:rsidRPr="003C0842">
        <w:t xml:space="preserve"> w stolicach większości państw członków Ligi. </w:t>
      </w:r>
      <w:r w:rsidR="0033172C" w:rsidRPr="003C0842">
        <w:t>P</w:t>
      </w:r>
      <w:r w:rsidRPr="003C0842">
        <w:t>olitycy francuscy posuwali się nawet do gróźb opuszczenia Genewy</w:t>
      </w:r>
      <w:r w:rsidR="0022600B" w:rsidRPr="003C0842">
        <w:t>,</w:t>
      </w:r>
      <w:r w:rsidRPr="003C0842">
        <w:t xml:space="preserve"> jeśli wbrew ich woli akces Niemiec byłby forsowany</w:t>
      </w:r>
      <w:r w:rsidR="00BD29C2" w:rsidRPr="003C0842">
        <w:t>.W całym„</w:t>
      </w:r>
      <w:r w:rsidRPr="003C0842">
        <w:t>obozie francuskim</w:t>
      </w:r>
      <w:r w:rsidR="00BD29C2" w:rsidRPr="003C0842">
        <w:t xml:space="preserve">”dominowało </w:t>
      </w:r>
      <w:r w:rsidRPr="003C0842">
        <w:t>przekonanie, że Niemcy nie są wstanie sprostać wymag</w:t>
      </w:r>
      <w:r w:rsidR="0022600B" w:rsidRPr="003C0842">
        <w:t xml:space="preserve">aniom stawianym przez Pakt Ligi. Chodziło o </w:t>
      </w:r>
      <w:r w:rsidRPr="003C0842">
        <w:t>gwarancje szczerych intencji wykonania zobowiązań międzynarodowych. Tymczasem nie tylko traktat wersalski, ale także inne z niego wynikające zobowiązania</w:t>
      </w:r>
      <w:r w:rsidR="00BD29C2" w:rsidRPr="003C0842">
        <w:t>,</w:t>
      </w:r>
      <w:r w:rsidRPr="003C0842">
        <w:t xml:space="preserve"> były stale kontestowane. </w:t>
      </w:r>
      <w:r w:rsidR="00BD29C2" w:rsidRPr="003C0842">
        <w:t xml:space="preserve">Szczególnie rezonowały spory dotyczące </w:t>
      </w:r>
      <w:r w:rsidRPr="003C0842">
        <w:t>reparacji</w:t>
      </w:r>
      <w:r w:rsidR="00BD29C2" w:rsidRPr="003C0842">
        <w:t>, którymi</w:t>
      </w:r>
      <w:r w:rsidRPr="003C0842">
        <w:t xml:space="preserve"> byli żywotnie zainteresowani wszyscy zwycięzcy</w:t>
      </w:r>
      <w:r w:rsidR="00BD29C2" w:rsidRPr="003C0842">
        <w:t>. Dotyczyło to</w:t>
      </w:r>
      <w:r w:rsidRPr="003C0842">
        <w:t>także „izolacjonistyczn</w:t>
      </w:r>
      <w:r w:rsidR="00BD29C2" w:rsidRPr="003C0842">
        <w:t>ych” Stanów</w:t>
      </w:r>
      <w:r w:rsidRPr="003C0842">
        <w:t xml:space="preserve"> Zjednoczon</w:t>
      </w:r>
      <w:r w:rsidR="00BD29C2" w:rsidRPr="003C0842">
        <w:t>ych</w:t>
      </w:r>
      <w:r w:rsidRPr="003C0842">
        <w:t>, które stały na szczycie dłużniczej drabiny</w:t>
      </w:r>
      <w:r w:rsidRPr="003C0842">
        <w:rPr>
          <w:rStyle w:val="Odwoanieprzypisudolnego"/>
          <w:rFonts w:ascii="Times New Roman" w:hAnsi="Times New Roman"/>
          <w:sz w:val="24"/>
        </w:rPr>
        <w:footnoteReference w:id="74"/>
      </w:r>
      <w:r w:rsidRPr="003C0842">
        <w:t xml:space="preserve">. </w:t>
      </w:r>
    </w:p>
    <w:p w:rsidR="00212B99" w:rsidRPr="003C0842" w:rsidRDefault="00212B99" w:rsidP="00111348">
      <w:pPr>
        <w:spacing w:line="360" w:lineRule="auto"/>
      </w:pPr>
      <w:r w:rsidRPr="003C0842">
        <w:t>Protesty przeciwko łupieżczym odszkodowaniom stanowiły istotny element antysystemowej propagandy, która święciła w Republice Weimarskiej triumfy. Była ona obecna w ż</w:t>
      </w:r>
      <w:r w:rsidR="0012469C" w:rsidRPr="003C0842">
        <w:t>yciu codziennym, w prasie, radiu</w:t>
      </w:r>
      <w:r w:rsidRPr="003C0842">
        <w:t xml:space="preserve">, na wieczornicach, dniach ojczyźnianych, </w:t>
      </w:r>
      <w:r w:rsidR="0022600B" w:rsidRPr="003C0842">
        <w:t>przy</w:t>
      </w:r>
      <w:r w:rsidRPr="003C0842">
        <w:t>śpiew</w:t>
      </w:r>
      <w:r w:rsidR="0022600B" w:rsidRPr="003C0842">
        <w:t>k</w:t>
      </w:r>
      <w:r w:rsidRPr="003C0842">
        <w:t xml:space="preserve">ach </w:t>
      </w:r>
      <w:r w:rsidR="0022600B" w:rsidRPr="003C0842">
        <w:t>lokalnych</w:t>
      </w:r>
      <w:r w:rsidRPr="003C0842">
        <w:t xml:space="preserve"> i świętach sportowych, podczas zjazdów nadgranicznych i wycieczek nad „krwawiącą granicę”, w wystawach stałych i objazdowych. </w:t>
      </w:r>
      <w:r w:rsidR="00BD29C2" w:rsidRPr="003C0842">
        <w:t>Nie mniej aktywne</w:t>
      </w:r>
      <w:r w:rsidR="00E354C6" w:rsidRPr="003C0842">
        <w:t xml:space="preserve"> i głośne</w:t>
      </w:r>
      <w:r w:rsidR="00BD29C2" w:rsidRPr="003C0842">
        <w:t xml:space="preserve"> było kontestowanie </w:t>
      </w:r>
      <w:r w:rsidR="00E354C6" w:rsidRPr="003C0842">
        <w:t>nowych granic, co godziło w integralność terytorialną innych państw. Nagminne były odwetowe apele i projekty. Ruch ten dotyczył nie tylko prawicy, a jedność</w:t>
      </w:r>
      <w:r w:rsidR="00883871" w:rsidRPr="003C0842">
        <w:t xml:space="preserve"> wszechniemiecka</w:t>
      </w:r>
      <w:r w:rsidR="00E354C6" w:rsidRPr="003C0842">
        <w:t xml:space="preserve"> w tym sprzeciwie była powszechnie znana. P</w:t>
      </w:r>
      <w:r w:rsidRPr="003C0842">
        <w:t>r</w:t>
      </w:r>
      <w:r w:rsidR="00E354C6" w:rsidRPr="003C0842">
        <w:t>opaganda</w:t>
      </w:r>
      <w:r w:rsidRPr="003C0842">
        <w:t xml:space="preserve"> niemiecka „jak nigdy dotąd” uczyniła z żywego słowa zdominowanego patosem, gestem i stereotypem ważny instrument oddziaływania na społeczeństwo</w:t>
      </w:r>
      <w:r w:rsidRPr="003C0842">
        <w:rPr>
          <w:rStyle w:val="Odwoanieprzypisudolnego"/>
          <w:rFonts w:ascii="Times New Roman" w:hAnsi="Times New Roman"/>
          <w:sz w:val="24"/>
        </w:rPr>
        <w:footnoteReference w:id="75"/>
      </w:r>
      <w:r w:rsidRPr="003C0842">
        <w:t xml:space="preserve">. </w:t>
      </w:r>
    </w:p>
    <w:p w:rsidR="008451EE" w:rsidRPr="003C0842" w:rsidRDefault="00E354C6" w:rsidP="00111348">
      <w:pPr>
        <w:shd w:val="clear" w:color="auto" w:fill="FFFFFF"/>
        <w:suppressAutoHyphens/>
        <w:spacing w:line="360" w:lineRule="auto"/>
        <w:ind w:right="40" w:firstLine="720"/>
      </w:pPr>
      <w:r w:rsidRPr="003C0842">
        <w:t xml:space="preserve">W rzędzie wielkich wrogów państwa i narodu niemieckiego znalazła się </w:t>
      </w:r>
      <w:r w:rsidR="00212B99" w:rsidRPr="003C0842">
        <w:t>teżLig</w:t>
      </w:r>
      <w:r w:rsidRPr="003C0842">
        <w:t>a</w:t>
      </w:r>
      <w:r w:rsidR="00212B99" w:rsidRPr="003C0842">
        <w:t xml:space="preserve"> Narodów</w:t>
      </w:r>
      <w:r w:rsidRPr="003C0842">
        <w:t xml:space="preserve">.Rozbudzone zrazu nadzieje, że będzie ona </w:t>
      </w:r>
      <w:r w:rsidR="006C3C9D" w:rsidRPr="003C0842">
        <w:t xml:space="preserve">zaczynem </w:t>
      </w:r>
      <w:r w:rsidR="00212B99" w:rsidRPr="003C0842">
        <w:t>now</w:t>
      </w:r>
      <w:r w:rsidR="006C3C9D" w:rsidRPr="003C0842">
        <w:t>ej</w:t>
      </w:r>
      <w:r w:rsidR="00212B99" w:rsidRPr="003C0842">
        <w:t xml:space="preserve"> er</w:t>
      </w:r>
      <w:r w:rsidR="006C3C9D" w:rsidRPr="003C0842">
        <w:t>y</w:t>
      </w:r>
      <w:r w:rsidR="00212B99" w:rsidRPr="003C0842">
        <w:t xml:space="preserve"> w stosunkach międzynarodowych</w:t>
      </w:r>
      <w:r w:rsidR="006C3C9D" w:rsidRPr="003C0842">
        <w:t>,</w:t>
      </w:r>
      <w:r w:rsidR="00212B99" w:rsidRPr="003C0842">
        <w:t xml:space="preserve"> budowanych na zasadzie równości</w:t>
      </w:r>
      <w:r w:rsidR="006C3C9D" w:rsidRPr="003C0842">
        <w:t xml:space="preserve">, bez podziału na zwycięzców i </w:t>
      </w:r>
      <w:r w:rsidR="006C3C9D" w:rsidRPr="003C0842">
        <w:lastRenderedPageBreak/>
        <w:t>zwyciężonych, okazały się mrzonką. Rozczarowania nie krył także</w:t>
      </w:r>
      <w:r w:rsidR="00212B99" w:rsidRPr="003C0842">
        <w:t>Johann von Bernstorff</w:t>
      </w:r>
      <w:r w:rsidR="006C3C9D" w:rsidRPr="003C0842">
        <w:t>,</w:t>
      </w:r>
      <w:r w:rsidR="00212B99" w:rsidRPr="003C0842">
        <w:t xml:space="preserve"> wspominan</w:t>
      </w:r>
      <w:r w:rsidR="006C3C9D" w:rsidRPr="003C0842">
        <w:t>y</w:t>
      </w:r>
      <w:r w:rsidR="00212B99" w:rsidRPr="003C0842">
        <w:t xml:space="preserve"> już przewodnicząc</w:t>
      </w:r>
      <w:r w:rsidR="006C3C9D" w:rsidRPr="003C0842">
        <w:t>y</w:t>
      </w:r>
      <w:r w:rsidR="00212B99" w:rsidRPr="003C0842">
        <w:t xml:space="preserve"> społecznego ruchu </w:t>
      </w:r>
      <w:r w:rsidR="00883871" w:rsidRPr="003C0842">
        <w:t>proligowego Deutsche Liga für Vö</w:t>
      </w:r>
      <w:r w:rsidR="00212B99" w:rsidRPr="003C0842">
        <w:t>lkerbund (DLfV)</w:t>
      </w:r>
      <w:r w:rsidR="006C3C9D" w:rsidRPr="003C0842">
        <w:t>.</w:t>
      </w:r>
      <w:r w:rsidR="008451EE" w:rsidRPr="003C0842">
        <w:t>Przywódcy s</w:t>
      </w:r>
      <w:r w:rsidR="006C3C9D" w:rsidRPr="003C0842">
        <w:t>towarzyszeni</w:t>
      </w:r>
      <w:r w:rsidR="008451EE" w:rsidRPr="003C0842">
        <w:t>a</w:t>
      </w:r>
      <w:r w:rsidR="006C3C9D" w:rsidRPr="003C0842">
        <w:t xml:space="preserve"> mające</w:t>
      </w:r>
      <w:r w:rsidR="008451EE" w:rsidRPr="003C0842">
        <w:t>go</w:t>
      </w:r>
      <w:r w:rsidR="006C3C9D" w:rsidRPr="003C0842">
        <w:t xml:space="preserve"> wspierać ideę oraz Ligę jako taką </w:t>
      </w:r>
      <w:r w:rsidR="00CB5B97" w:rsidRPr="003C0842">
        <w:t>podkreśla</w:t>
      </w:r>
      <w:r w:rsidR="008451EE" w:rsidRPr="003C0842">
        <w:t>li</w:t>
      </w:r>
      <w:r w:rsidR="00CB5B97" w:rsidRPr="003C0842">
        <w:t>, że sto</w:t>
      </w:r>
      <w:r w:rsidR="008451EE" w:rsidRPr="003C0842">
        <w:t>ją</w:t>
      </w:r>
      <w:r w:rsidR="00CB5B97" w:rsidRPr="003C0842">
        <w:t xml:space="preserve"> na gruncie zasad zawartych w Pakcie, ale nie </w:t>
      </w:r>
      <w:r w:rsidR="008451EE" w:rsidRPr="003C0842">
        <w:t>kierują</w:t>
      </w:r>
      <w:r w:rsidR="00CB5B97" w:rsidRPr="003C0842">
        <w:t xml:space="preserve"> organizacją pacyfistyczną. Jej </w:t>
      </w:r>
      <w:r w:rsidR="006C3C9D" w:rsidRPr="003C0842">
        <w:t xml:space="preserve">aktywność </w:t>
      </w:r>
      <w:r w:rsidR="00CB5B97" w:rsidRPr="003C0842">
        <w:t>była zsynchronizowana</w:t>
      </w:r>
      <w:r w:rsidR="0012469C" w:rsidRPr="003C0842">
        <w:t>, najczęściej ściśle powiąz</w:t>
      </w:r>
      <w:r w:rsidR="008451EE" w:rsidRPr="003C0842">
        <w:t>ana</w:t>
      </w:r>
      <w:r w:rsidR="00CB5B97" w:rsidRPr="003C0842">
        <w:t xml:space="preserve"> z polityką realizowaną przez państwo</w:t>
      </w:r>
      <w:r w:rsidR="0033521D" w:rsidRPr="003C0842">
        <w:rPr>
          <w:rStyle w:val="Odwoanieprzypisudolnego"/>
          <w:rFonts w:ascii="Times New Roman" w:hAnsi="Times New Roman"/>
          <w:sz w:val="24"/>
        </w:rPr>
        <w:footnoteReference w:id="76"/>
      </w:r>
      <w:r w:rsidR="006C3C9D" w:rsidRPr="003C0842">
        <w:t xml:space="preserve">. </w:t>
      </w:r>
    </w:p>
    <w:p w:rsidR="00515CC1" w:rsidRPr="003C0842" w:rsidRDefault="008451EE" w:rsidP="00111348">
      <w:pPr>
        <w:shd w:val="clear" w:color="auto" w:fill="FFFFFF"/>
        <w:suppressAutoHyphens/>
        <w:spacing w:line="360" w:lineRule="auto"/>
        <w:ind w:right="40" w:firstLine="720"/>
        <w:rPr>
          <w:color w:val="000000"/>
        </w:rPr>
      </w:pPr>
      <w:r w:rsidRPr="003C0842">
        <w:rPr>
          <w:color w:val="000000"/>
        </w:rPr>
        <w:t>Z</w:t>
      </w:r>
      <w:r w:rsidR="00515CC1" w:rsidRPr="003C0842">
        <w:rPr>
          <w:color w:val="000000"/>
        </w:rPr>
        <w:t xml:space="preserve">biorowy charakter członkostwa powodował, że </w:t>
      </w:r>
      <w:r w:rsidRPr="003C0842">
        <w:rPr>
          <w:color w:val="000000"/>
        </w:rPr>
        <w:t>DLfV była</w:t>
      </w:r>
      <w:r w:rsidR="00515CC1" w:rsidRPr="003C0842">
        <w:rPr>
          <w:color w:val="000000"/>
        </w:rPr>
        <w:t xml:space="preserve"> formalnie najliczniejszą narodową grupą </w:t>
      </w:r>
      <w:r w:rsidR="005B6502" w:rsidRPr="003C0842">
        <w:rPr>
          <w:color w:val="000000"/>
        </w:rPr>
        <w:t>wśród podobnych organizacji na świecie</w:t>
      </w:r>
      <w:r w:rsidRPr="003C0842">
        <w:rPr>
          <w:color w:val="000000"/>
        </w:rPr>
        <w:t xml:space="preserve">. </w:t>
      </w:r>
      <w:r w:rsidR="00515CC1" w:rsidRPr="003C0842">
        <w:rPr>
          <w:color w:val="000000"/>
        </w:rPr>
        <w:t xml:space="preserve">Mówiono o kilku, nawet kilkunastu milionach obywateli Republiki Weimarskiej, </w:t>
      </w:r>
      <w:r w:rsidR="00134DE5" w:rsidRPr="003C0842">
        <w:rPr>
          <w:color w:val="000000"/>
        </w:rPr>
        <w:t>przypisanych do 17 sekcji</w:t>
      </w:r>
      <w:r w:rsidR="00515CC1" w:rsidRPr="003C0842">
        <w:rPr>
          <w:color w:val="000000"/>
        </w:rPr>
        <w:t xml:space="preserve">. </w:t>
      </w:r>
      <w:r w:rsidRPr="003C0842">
        <w:rPr>
          <w:color w:val="000000"/>
        </w:rPr>
        <w:t xml:space="preserve">De facto </w:t>
      </w:r>
      <w:r w:rsidRPr="003C0842">
        <w:t xml:space="preserve">w żadnym czasie nie była to organizacja masowa. </w:t>
      </w:r>
      <w:r w:rsidR="00515CC1" w:rsidRPr="003C0842">
        <w:rPr>
          <w:color w:val="000000"/>
        </w:rPr>
        <w:t xml:space="preserve">Gabriela Radziwiłł, zatrudniona w Sekcji Informacyjnej Sekretariatu, </w:t>
      </w:r>
      <w:r w:rsidRPr="003C0842">
        <w:rPr>
          <w:color w:val="000000"/>
        </w:rPr>
        <w:t>gdzie odpowiadała za</w:t>
      </w:r>
      <w:r w:rsidR="00515CC1" w:rsidRPr="003C0842">
        <w:rPr>
          <w:color w:val="000000"/>
        </w:rPr>
        <w:t xml:space="preserve"> kontakt z</w:t>
      </w:r>
      <w:r w:rsidRPr="003C0842">
        <w:t>Union Internationale des Associations pour la Société des Nations</w:t>
      </w:r>
      <w:r w:rsidRPr="003C0842">
        <w:rPr>
          <w:color w:val="000000"/>
        </w:rPr>
        <w:t xml:space="preserve"> (UIA)</w:t>
      </w:r>
      <w:r w:rsidR="00515CC1" w:rsidRPr="003C0842">
        <w:rPr>
          <w:color w:val="000000"/>
        </w:rPr>
        <w:t xml:space="preserve"> i </w:t>
      </w:r>
      <w:r w:rsidRPr="003C0842">
        <w:rPr>
          <w:color w:val="000000"/>
        </w:rPr>
        <w:t>innymi</w:t>
      </w:r>
      <w:r w:rsidR="00515CC1" w:rsidRPr="003C0842">
        <w:rPr>
          <w:color w:val="000000"/>
        </w:rPr>
        <w:t xml:space="preserve"> organizacjami filoligowymi, w połowie 1925 r. oceniała liczbę członków DLfV na około 2 tys</w:t>
      </w:r>
      <w:r w:rsidR="00E30B41">
        <w:rPr>
          <w:color w:val="000000"/>
        </w:rPr>
        <w:t>iące</w:t>
      </w:r>
      <w:r w:rsidR="00515CC1" w:rsidRPr="003C0842">
        <w:rPr>
          <w:color w:val="000000"/>
        </w:rPr>
        <w:t xml:space="preserve">. </w:t>
      </w:r>
      <w:r w:rsidR="00643090" w:rsidRPr="003C0842">
        <w:rPr>
          <w:color w:val="000000"/>
        </w:rPr>
        <w:t>Ich działalność ograniczała się do</w:t>
      </w:r>
      <w:r w:rsidR="00515CC1" w:rsidRPr="003C0842">
        <w:rPr>
          <w:color w:val="000000"/>
        </w:rPr>
        <w:t xml:space="preserve"> okazjonalnych inicjatyw popularyzujących instytucję genewską, współdziałając zazwyczaj z innymi podobnymi co do charakteru organizacjami, zwłaszcza Deutsche Liga f</w:t>
      </w:r>
      <w:r w:rsidRPr="003C0842">
        <w:rPr>
          <w:color w:val="000000"/>
        </w:rPr>
        <w:t>ü</w:t>
      </w:r>
      <w:r w:rsidR="00515CC1" w:rsidRPr="003C0842">
        <w:rPr>
          <w:color w:val="000000"/>
        </w:rPr>
        <w:t xml:space="preserve">r Menschenrechte. </w:t>
      </w:r>
      <w:r w:rsidR="00643090" w:rsidRPr="003C0842">
        <w:rPr>
          <w:color w:val="000000"/>
        </w:rPr>
        <w:t xml:space="preserve">W sumie był </w:t>
      </w:r>
      <w:r w:rsidR="00134DE5" w:rsidRPr="003C0842">
        <w:rPr>
          <w:color w:val="000000"/>
        </w:rPr>
        <w:t xml:space="preserve">to </w:t>
      </w:r>
      <w:r w:rsidR="00515CC1" w:rsidRPr="003C0842">
        <w:rPr>
          <w:color w:val="000000"/>
        </w:rPr>
        <w:t>twór o charakterze politycznym „poszukujący kontaktów z ludźmi ze świata polityki oraz wielkimi stowarzyszeniami politycznymi i ekonomicznymi, których pewna liczba jest afiliowana przy Lidze Narodów</w:t>
      </w:r>
      <w:r w:rsidR="0012469C" w:rsidRPr="003C0842">
        <w:rPr>
          <w:color w:val="000000"/>
        </w:rPr>
        <w:t>”</w:t>
      </w:r>
      <w:r w:rsidR="00515CC1" w:rsidRPr="003C0842">
        <w:rPr>
          <w:rStyle w:val="Odwoanieprzypisudolnego"/>
          <w:rFonts w:ascii="Times New Roman" w:hAnsi="Times New Roman"/>
          <w:color w:val="000000"/>
          <w:sz w:val="24"/>
        </w:rPr>
        <w:footnoteReference w:id="77"/>
      </w:r>
      <w:r w:rsidR="00515CC1" w:rsidRPr="003C0842">
        <w:rPr>
          <w:color w:val="000000"/>
        </w:rPr>
        <w:t>.</w:t>
      </w:r>
    </w:p>
    <w:p w:rsidR="008D4BF2" w:rsidRPr="003C0842" w:rsidRDefault="008D4BF2" w:rsidP="00111348">
      <w:pPr>
        <w:shd w:val="clear" w:color="auto" w:fill="FFFFFF"/>
        <w:suppressAutoHyphens/>
        <w:spacing w:line="360" w:lineRule="auto"/>
        <w:ind w:right="40" w:firstLine="720"/>
      </w:pPr>
      <w:r w:rsidRPr="003C0842">
        <w:t>A</w:t>
      </w:r>
      <w:r w:rsidR="0012469C" w:rsidRPr="003C0842">
        <w:t xml:space="preserve">uswärtige </w:t>
      </w:r>
      <w:r w:rsidRPr="003C0842">
        <w:t>A</w:t>
      </w:r>
      <w:r w:rsidR="0012469C" w:rsidRPr="003C0842">
        <w:t>mt</w:t>
      </w:r>
      <w:r w:rsidRPr="003C0842">
        <w:t xml:space="preserve"> nie był</w:t>
      </w:r>
      <w:r w:rsidR="0012469C" w:rsidRPr="003C0842">
        <w:t xml:space="preserve"> zadowolony</w:t>
      </w:r>
      <w:r w:rsidRPr="003C0842">
        <w:t xml:space="preserve"> z działalności DLfV</w:t>
      </w:r>
      <w:r w:rsidR="0012469C" w:rsidRPr="003C0842">
        <w:t>,</w:t>
      </w:r>
      <w:r w:rsidRPr="003C0842">
        <w:t xml:space="preserve"> czemu dało wyraz wpiśmie do kanclerza Rzeszy w listopadzie 1926 r.</w:t>
      </w:r>
      <w:r w:rsidR="00134DE5" w:rsidRPr="003C0842">
        <w:t>, a więc już</w:t>
      </w:r>
      <w:r w:rsidR="001C0601" w:rsidRPr="003C0842">
        <w:t xml:space="preserve"> po wejściu Niemiec do Ligi.</w:t>
      </w:r>
      <w:r w:rsidRPr="003C0842">
        <w:t xml:space="preserve"> Wprawdzie od kilku miesięcy w zarządzie zasiadali także członkowie Niemiec</w:t>
      </w:r>
      <w:r w:rsidR="00883871" w:rsidRPr="003C0842">
        <w:t>k</w:t>
      </w:r>
      <w:r w:rsidRPr="003C0842">
        <w:t>o-Narodowej Partii Ludowej, jednak oczekiwan</w:t>
      </w:r>
      <w:r w:rsidR="00134DE5" w:rsidRPr="003C0842">
        <w:t>o</w:t>
      </w:r>
      <w:r w:rsidRPr="003C0842">
        <w:t xml:space="preserve"> wzrost</w:t>
      </w:r>
      <w:r w:rsidR="00134DE5" w:rsidRPr="003C0842">
        <w:t>u</w:t>
      </w:r>
      <w:r w:rsidRPr="003C0842">
        <w:t xml:space="preserve"> aktywności, zwłaszcza wśród organizacji studenckich i w ogóleśrodowisk</w:t>
      </w:r>
      <w:r w:rsidR="001C0601" w:rsidRPr="003C0842">
        <w:t>a</w:t>
      </w:r>
      <w:r w:rsidRPr="003C0842">
        <w:t xml:space="preserve"> akademicki</w:t>
      </w:r>
      <w:r w:rsidR="001C0601" w:rsidRPr="003C0842">
        <w:t>ego</w:t>
      </w:r>
      <w:r w:rsidR="00134DE5" w:rsidRPr="003C0842">
        <w:t>. Chodziło o</w:t>
      </w:r>
      <w:r w:rsidRPr="003C0842">
        <w:t xml:space="preserve"> przezwyciężenie elitarności (</w:t>
      </w:r>
      <w:r w:rsidR="00134DE5" w:rsidRPr="003C0842">
        <w:t xml:space="preserve">de facto było </w:t>
      </w:r>
      <w:r w:rsidRPr="003C0842">
        <w:t>tylko 600 członków</w:t>
      </w:r>
      <w:r w:rsidR="00134DE5" w:rsidRPr="003C0842">
        <w:t>, co nie było wcale ewenementem w skali UIA</w:t>
      </w:r>
      <w:r w:rsidRPr="003C0842">
        <w:t>)</w:t>
      </w:r>
      <w:r w:rsidR="00134DE5" w:rsidRPr="003C0842">
        <w:t>oraz</w:t>
      </w:r>
      <w:r w:rsidRPr="003C0842">
        <w:t xml:space="preserve"> silniejsze związanie działalności ze służbą „sprawie narodowej”. Ministerstwo brało pod uwagę możliwość zwiększenia subwencji do 120 tys. </w:t>
      </w:r>
      <w:r w:rsidR="0012469C" w:rsidRPr="003C0842">
        <w:t>M</w:t>
      </w:r>
      <w:r w:rsidRPr="003C0842">
        <w:t>arek</w:t>
      </w:r>
      <w:r w:rsidR="0012469C" w:rsidRPr="003C0842">
        <w:t>,</w:t>
      </w:r>
      <w:r w:rsidRPr="003C0842">
        <w:t xml:space="preserve"> mając nadzieję na wspieranie organizacji prężnej, realizując</w:t>
      </w:r>
      <w:r w:rsidR="001C0601" w:rsidRPr="003C0842">
        <w:t>ej</w:t>
      </w:r>
      <w:r w:rsidRPr="003C0842">
        <w:t xml:space="preserve"> n</w:t>
      </w:r>
      <w:r w:rsidR="0033521D" w:rsidRPr="003C0842">
        <w:t>a forum LN „odpowiedni</w:t>
      </w:r>
      <w:r w:rsidR="001C0601" w:rsidRPr="003C0842">
        <w:t>”program propagandowo-polityczny</w:t>
      </w:r>
      <w:r w:rsidR="0033521D" w:rsidRPr="003C0842">
        <w:t xml:space="preserve">, który będzie </w:t>
      </w:r>
      <w:r w:rsidR="00134DE5" w:rsidRPr="003C0842">
        <w:t xml:space="preserve">zgodny z założeniami </w:t>
      </w:r>
      <w:r w:rsidR="0033521D" w:rsidRPr="003C0842">
        <w:t>polityki niemieckiej, a nie</w:t>
      </w:r>
      <w:r w:rsidR="00134DE5" w:rsidRPr="003C0842">
        <w:t xml:space="preserve"> podporządkowany</w:t>
      </w:r>
      <w:r w:rsidR="0033521D" w:rsidRPr="003C0842">
        <w:t xml:space="preserve"> spraw</w:t>
      </w:r>
      <w:r w:rsidR="001C0601" w:rsidRPr="003C0842">
        <w:t>om</w:t>
      </w:r>
      <w:r w:rsidR="0033521D" w:rsidRPr="003C0842">
        <w:t xml:space="preserve"> ogólnoświatowym</w:t>
      </w:r>
      <w:r w:rsidR="0033521D" w:rsidRPr="003C0842">
        <w:rPr>
          <w:rStyle w:val="Odwoanieprzypisudolnego"/>
          <w:rFonts w:ascii="Times New Roman" w:hAnsi="Times New Roman"/>
          <w:sz w:val="24"/>
        </w:rPr>
        <w:footnoteReference w:id="78"/>
      </w:r>
      <w:r w:rsidR="0033521D" w:rsidRPr="003C0842">
        <w:t>.</w:t>
      </w:r>
    </w:p>
    <w:p w:rsidR="00212B99" w:rsidRPr="003C0842" w:rsidRDefault="001C0601" w:rsidP="00111348">
      <w:pPr>
        <w:spacing w:line="360" w:lineRule="auto"/>
      </w:pPr>
      <w:r w:rsidRPr="003C0842">
        <w:lastRenderedPageBreak/>
        <w:t>Odnotowane pretensje miały obiektywne umocowanie</w:t>
      </w:r>
      <w:r w:rsidR="009A6086" w:rsidRPr="003C0842">
        <w:t>. C</w:t>
      </w:r>
      <w:r w:rsidR="00212B99" w:rsidRPr="003C0842">
        <w:t>ele ruchu prol</w:t>
      </w:r>
      <w:r w:rsidRPr="003C0842">
        <w:t>i</w:t>
      </w:r>
      <w:r w:rsidR="00212B99" w:rsidRPr="003C0842">
        <w:t xml:space="preserve">gowego w Niemczech były </w:t>
      </w:r>
      <w:r w:rsidR="009A6086" w:rsidRPr="003C0842">
        <w:t>bowiem</w:t>
      </w:r>
      <w:r w:rsidR="00212B99" w:rsidRPr="003C0842">
        <w:t xml:space="preserve">trudne do synchronizacji z </w:t>
      </w:r>
      <w:r w:rsidR="009A6086" w:rsidRPr="003C0842">
        <w:t>podobnymi stowarzyszeniami w krajach, które</w:t>
      </w:r>
      <w:r w:rsidRPr="003C0842">
        <w:t>b</w:t>
      </w:r>
      <w:r w:rsidR="009A6086" w:rsidRPr="003C0842">
        <w:t xml:space="preserve">rały </w:t>
      </w:r>
      <w:r w:rsidRPr="003C0842">
        <w:t xml:space="preserve">pod uwagę, </w:t>
      </w:r>
      <w:r w:rsidR="009A6086" w:rsidRPr="003C0842">
        <w:t xml:space="preserve">często zakładały i </w:t>
      </w:r>
      <w:r w:rsidR="008451EE" w:rsidRPr="003C0842">
        <w:t>głosiły</w:t>
      </w:r>
      <w:r w:rsidR="00212B99" w:rsidRPr="003C0842">
        <w:t xml:space="preserve"> dominację interesu ogólnego. Jakkolwiek we wszystkich państwowych stowarzyszeniach tego typu istniała </w:t>
      </w:r>
      <w:r w:rsidR="00D6668F" w:rsidRPr="003C0842">
        <w:t xml:space="preserve">na ogół </w:t>
      </w:r>
      <w:r w:rsidR="00212B99" w:rsidRPr="003C0842">
        <w:t>ścisła współpraca ze swoimi rządami (może najmniej w brytyjskim League of Nation Union)</w:t>
      </w:r>
      <w:r w:rsidR="0012469C" w:rsidRPr="003C0842">
        <w:t>,</w:t>
      </w:r>
      <w:r w:rsidR="00212B99" w:rsidRPr="003C0842">
        <w:t xml:space="preserve"> to jednak związki DLfV z niemieckim ministerstwem spraw zagranicznych </w:t>
      </w:r>
      <w:r w:rsidR="0033521D" w:rsidRPr="003C0842">
        <w:t xml:space="preserve">były zaliczane do </w:t>
      </w:r>
      <w:r w:rsidR="009A6086" w:rsidRPr="003C0842">
        <w:t>szczególnie</w:t>
      </w:r>
      <w:r w:rsidR="00212B99" w:rsidRPr="003C0842">
        <w:t>bliski</w:t>
      </w:r>
      <w:r w:rsidR="0033521D" w:rsidRPr="003C0842">
        <w:t>ch</w:t>
      </w:r>
      <w:r w:rsidR="00212B99" w:rsidRPr="003C0842">
        <w:t>. Praktykę tę zapoczątkowali Walter Simons i Fri</w:t>
      </w:r>
      <w:r w:rsidR="0012469C" w:rsidRPr="003C0842">
        <w:t>e</w:t>
      </w:r>
      <w:r w:rsidR="00212B99" w:rsidRPr="003C0842">
        <w:t>drich Rosen, kolejni ministrowie spraw zagranicznych (1920</w:t>
      </w:r>
      <w:r w:rsidR="005A5F3B">
        <w:t>-</w:t>
      </w:r>
      <w:r w:rsidR="00212B99" w:rsidRPr="003C0842">
        <w:t xml:space="preserve">1921), aktywni także w DLfV. Simons obok </w:t>
      </w:r>
      <w:r w:rsidR="008D4BF2" w:rsidRPr="003C0842">
        <w:t>profesora</w:t>
      </w:r>
      <w:r w:rsidR="00212B99" w:rsidRPr="003C0842">
        <w:t xml:space="preserve">Ernsta Jäckha był </w:t>
      </w:r>
      <w:r w:rsidR="0033521D" w:rsidRPr="003C0842">
        <w:t xml:space="preserve">uważany za </w:t>
      </w:r>
      <w:r w:rsidR="00212B99" w:rsidRPr="003C0842">
        <w:t>faktyczn</w:t>
      </w:r>
      <w:r w:rsidR="0033521D" w:rsidRPr="003C0842">
        <w:t>ego</w:t>
      </w:r>
      <w:r w:rsidR="00212B99" w:rsidRPr="003C0842">
        <w:t xml:space="preserve"> kierownik</w:t>
      </w:r>
      <w:r w:rsidR="0033521D" w:rsidRPr="003C0842">
        <w:t xml:space="preserve">a </w:t>
      </w:r>
      <w:r w:rsidR="00212B99" w:rsidRPr="003C0842">
        <w:t>stowarzyszenia</w:t>
      </w:r>
      <w:r w:rsidR="00212B99" w:rsidRPr="003C0842">
        <w:rPr>
          <w:rStyle w:val="Odwoanieprzypisudolnego"/>
          <w:rFonts w:ascii="Times New Roman" w:hAnsi="Times New Roman"/>
          <w:sz w:val="24"/>
        </w:rPr>
        <w:footnoteReference w:id="79"/>
      </w:r>
      <w:r w:rsidR="00212B99" w:rsidRPr="003C0842">
        <w:t>.</w:t>
      </w:r>
    </w:p>
    <w:p w:rsidR="00212B99" w:rsidRPr="003C0842" w:rsidRDefault="00212B99" w:rsidP="00111348">
      <w:pPr>
        <w:spacing w:line="360" w:lineRule="auto"/>
      </w:pPr>
      <w:r w:rsidRPr="003C0842">
        <w:t xml:space="preserve">Wątpliwości co do zgodności celów DLfV z ruchem proligowym </w:t>
      </w:r>
      <w:r w:rsidR="00D6668F" w:rsidRPr="003C0842">
        <w:t>mieli członkowie ogólnoświatowego związku (</w:t>
      </w:r>
      <w:r w:rsidRPr="003C0842">
        <w:t>UIA</w:t>
      </w:r>
      <w:r w:rsidR="00D6668F" w:rsidRPr="003C0842">
        <w:t>), którzy</w:t>
      </w:r>
      <w:r w:rsidRPr="003C0842">
        <w:t xml:space="preserve">dwukrotnie </w:t>
      </w:r>
      <w:r w:rsidR="00D6668F" w:rsidRPr="003C0842">
        <w:t xml:space="preserve">odmówili </w:t>
      </w:r>
      <w:r w:rsidRPr="003C0842">
        <w:t>przyjęcia organizacji niemieckiej w swoje szeregi. Zabiegi Brytyjczyków i Włochów oraz rekomendacje działaczy z Austrii, Bułgarii i Węgier spowodowało zmianę stanowiska podczas spotkania UIA w Genewie w dniach 6</w:t>
      </w:r>
      <w:r w:rsidR="005A5F3B">
        <w:t>-</w:t>
      </w:r>
      <w:r w:rsidRPr="003C0842">
        <w:t xml:space="preserve">10 czerwca 1921 r. Jej elementem było przekonanie „grupy francuskiej”, że mimo wszystko ruch DLfV może pozytywnie </w:t>
      </w:r>
      <w:r w:rsidR="009A6086" w:rsidRPr="003C0842">
        <w:t>wp</w:t>
      </w:r>
      <w:r w:rsidRPr="003C0842">
        <w:t xml:space="preserve">ływać na </w:t>
      </w:r>
      <w:r w:rsidR="009A6086" w:rsidRPr="003C0842">
        <w:t xml:space="preserve">zmianę całkowicie negatywnego </w:t>
      </w:r>
      <w:r w:rsidRPr="003C0842">
        <w:t>nastawieni</w:t>
      </w:r>
      <w:r w:rsidR="009A6086" w:rsidRPr="003C0842">
        <w:t>a</w:t>
      </w:r>
      <w:r w:rsidRPr="003C0842">
        <w:t xml:space="preserve"> Niemców do</w:t>
      </w:r>
      <w:r w:rsidR="009A6086" w:rsidRPr="003C0842">
        <w:t xml:space="preserve"> powojennego systemu</w:t>
      </w:r>
      <w:r w:rsidRPr="003C0842">
        <w:t>,</w:t>
      </w:r>
      <w:r w:rsidR="009A6086" w:rsidRPr="003C0842">
        <w:t xml:space="preserve"> a więc </w:t>
      </w:r>
      <w:r w:rsidR="00D6668F" w:rsidRPr="003C0842">
        <w:t>zarówno</w:t>
      </w:r>
      <w:r w:rsidRPr="003C0842">
        <w:t xml:space="preserve"> Francji</w:t>
      </w:r>
      <w:r w:rsidR="0012469C" w:rsidRPr="003C0842">
        <w:t>,</w:t>
      </w:r>
      <w:r w:rsidR="009A6086" w:rsidRPr="003C0842">
        <w:t xml:space="preserve"> jak</w:t>
      </w:r>
      <w:r w:rsidRPr="003C0842">
        <w:t xml:space="preserve"> i</w:t>
      </w:r>
      <w:r w:rsidR="00D6668F" w:rsidRPr="003C0842">
        <w:t xml:space="preserve"> samej </w:t>
      </w:r>
      <w:r w:rsidRPr="003C0842">
        <w:t>Ligi. W tym kierunku działali również wysocy urzędnicy Sekretariatu, w tym również Pierre Comert, wywodzący się z Francji dyrektor sekcji informacyjnej. Podczas spotkania kierownictwa Sekretariatu 27 października 1921 r. mówił, że „robią wszystko co możliwe”</w:t>
      </w:r>
      <w:r w:rsidR="0012469C" w:rsidRPr="003C0842">
        <w:t>,</w:t>
      </w:r>
      <w:r w:rsidRPr="003C0842">
        <w:t xml:space="preserve"> aby dotrzeć do prasy </w:t>
      </w:r>
      <w:r w:rsidR="009A6086" w:rsidRPr="003C0842">
        <w:t xml:space="preserve">niemieckiej, m.in. poprzez </w:t>
      </w:r>
      <w:r w:rsidRPr="003C0842">
        <w:t>wykorzyst</w:t>
      </w:r>
      <w:r w:rsidR="009A6086" w:rsidRPr="003C0842">
        <w:t>ywanie bliskich k</w:t>
      </w:r>
      <w:r w:rsidRPr="003C0842">
        <w:t>ontakt</w:t>
      </w:r>
      <w:r w:rsidR="009A6086" w:rsidRPr="003C0842">
        <w:t>ów</w:t>
      </w:r>
      <w:r w:rsidRPr="003C0842">
        <w:t xml:space="preserve"> z grupą niemiecką U</w:t>
      </w:r>
      <w:r w:rsidR="009A6086" w:rsidRPr="003C0842">
        <w:t>IA</w:t>
      </w:r>
      <w:r w:rsidRPr="003C0842">
        <w:rPr>
          <w:rStyle w:val="Odwoanieprzypisudolnego"/>
          <w:rFonts w:ascii="Times New Roman" w:hAnsi="Times New Roman"/>
          <w:sz w:val="24"/>
        </w:rPr>
        <w:footnoteReference w:id="80"/>
      </w:r>
      <w:r w:rsidRPr="003C0842">
        <w:t xml:space="preserve">. </w:t>
      </w:r>
    </w:p>
    <w:p w:rsidR="00212B99" w:rsidRPr="003C0842" w:rsidRDefault="00D6668F" w:rsidP="00111348">
      <w:pPr>
        <w:spacing w:line="360" w:lineRule="auto"/>
      </w:pPr>
      <w:r w:rsidRPr="003C0842">
        <w:t>Plany</w:t>
      </w:r>
      <w:r w:rsidR="00212B99" w:rsidRPr="003C0842">
        <w:t xml:space="preserve"> wykorzystani</w:t>
      </w:r>
      <w:r w:rsidRPr="003C0842">
        <w:t>a</w:t>
      </w:r>
      <w:r w:rsidR="00212B99" w:rsidRPr="003C0842">
        <w:t xml:space="preserve">DLfV jako sojusznika w </w:t>
      </w:r>
      <w:r w:rsidR="009A6086" w:rsidRPr="003C0842">
        <w:t>budowie</w:t>
      </w:r>
      <w:r w:rsidR="00212B99" w:rsidRPr="003C0842">
        <w:t xml:space="preserve"> życzliwości Niemców do instytucji genewskiej były hołubione przez </w:t>
      </w:r>
      <w:r w:rsidR="009A6086" w:rsidRPr="003C0842">
        <w:t xml:space="preserve">kolejne </w:t>
      </w:r>
      <w:r w:rsidR="00212B99" w:rsidRPr="003C0842">
        <w:t>lata zdominowane sporami o warunki przystąpienia do Ligi państw pokonanych. Napisano wyżej, że I Zgromadzenie w grudniu 1920 r. rozpoczęło ten proces włączaniem Austrii i Bułgarii. Rozmow</w:t>
      </w:r>
      <w:r w:rsidRPr="003C0842">
        <w:t>y</w:t>
      </w:r>
      <w:r w:rsidR="00212B99" w:rsidRPr="003C0842">
        <w:t xml:space="preserve"> w sprawie </w:t>
      </w:r>
      <w:r w:rsidR="00954C34" w:rsidRPr="003C0842">
        <w:t xml:space="preserve">wstąpienia </w:t>
      </w:r>
      <w:r w:rsidR="00212B99" w:rsidRPr="003C0842">
        <w:t>Węgier</w:t>
      </w:r>
      <w:r w:rsidRPr="003C0842">
        <w:t xml:space="preserve"> były znacznie trudniejsze. T</w:t>
      </w:r>
      <w:r w:rsidR="00212B99" w:rsidRPr="003C0842">
        <w:t>owarzyszyła</w:t>
      </w:r>
      <w:r w:rsidRPr="003C0842">
        <w:t xml:space="preserve"> im</w:t>
      </w:r>
      <w:r w:rsidR="00212B99" w:rsidRPr="003C0842">
        <w:t xml:space="preserve"> świadomość, że procedura zastosowana wobec bardzo </w:t>
      </w:r>
      <w:r w:rsidRPr="003C0842">
        <w:t>„</w:t>
      </w:r>
      <w:r w:rsidR="00212B99" w:rsidRPr="003C0842">
        <w:t>antytrianońsko</w:t>
      </w:r>
      <w:r w:rsidRPr="003C0842">
        <w:t>”</w:t>
      </w:r>
      <w:r w:rsidR="00212B99" w:rsidRPr="003C0842">
        <w:t xml:space="preserve"> usposobionego państwa będzie </w:t>
      </w:r>
      <w:r w:rsidRPr="003C0842">
        <w:t>treningiem</w:t>
      </w:r>
      <w:r w:rsidR="00212B99" w:rsidRPr="003C0842">
        <w:t xml:space="preserve"> przed akcesją Niemiec. Także bowiem na Węgrzech traktat pokojowy wywołał ogólnonarodową rozpacz. Hrabia Albert Apponyi, który przewodniczył delegacji mającej podpisać układ, toczył</w:t>
      </w:r>
      <w:r w:rsidRPr="003C0842">
        <w:t xml:space="preserve"> owiany legendą</w:t>
      </w:r>
      <w:r w:rsidR="00212B99" w:rsidRPr="003C0842">
        <w:t xml:space="preserve"> bój</w:t>
      </w:r>
      <w:r w:rsidR="00846BB3" w:rsidRPr="003C0842">
        <w:t xml:space="preserve"> z </w:t>
      </w:r>
      <w:r w:rsidR="00212B99" w:rsidRPr="003C0842">
        <w:t>Radą Najwyższą</w:t>
      </w:r>
      <w:r w:rsidR="00846BB3" w:rsidRPr="003C0842">
        <w:t xml:space="preserve">,którą starał się </w:t>
      </w:r>
      <w:r w:rsidR="00212B99" w:rsidRPr="003C0842">
        <w:t>p</w:t>
      </w:r>
      <w:r w:rsidR="00846BB3" w:rsidRPr="003C0842">
        <w:t>rzekonać</w:t>
      </w:r>
      <w:r w:rsidR="0012469C" w:rsidRPr="003C0842">
        <w:t>,</w:t>
      </w:r>
      <w:r w:rsidR="00846BB3" w:rsidRPr="003C0842">
        <w:t xml:space="preserve"> przemawiając po</w:t>
      </w:r>
      <w:r w:rsidR="00212B99" w:rsidRPr="003C0842">
        <w:t xml:space="preserve"> angielsku, francusku i włosku. Pokonany ustąpił ze stanowiska. W roli sygnatariusza zastąpili go minister zdrowia i ambasador węgierski w Paryżu, którzy zaraz po tym usunęli się z życia </w:t>
      </w:r>
      <w:r w:rsidR="00212B99" w:rsidRPr="003C0842">
        <w:lastRenderedPageBreak/>
        <w:t xml:space="preserve">publicznego. W kraju zapanowała powszechna żałoba – opuszczono flagi do połowy masztu, bito w dzwony, zamknięto szkoły, urzędy, a nawet sklepy, opłakiwano los 3,5 mln Węgrów oddanych </w:t>
      </w:r>
      <w:r w:rsidR="00883871" w:rsidRPr="003C0842">
        <w:t xml:space="preserve">w traktacie z Trianon </w:t>
      </w:r>
      <w:r w:rsidR="00212B99" w:rsidRPr="003C0842">
        <w:t>pod obce panowanie. Żal i złość przybierały różny wyraz i przetrwały do naszych czasów</w:t>
      </w:r>
      <w:r w:rsidR="00212B99" w:rsidRPr="003C0842">
        <w:rPr>
          <w:rStyle w:val="Odwoanieprzypisudolnego"/>
          <w:rFonts w:ascii="Times New Roman" w:hAnsi="Times New Roman"/>
          <w:sz w:val="24"/>
        </w:rPr>
        <w:footnoteReference w:id="81"/>
      </w:r>
      <w:r w:rsidR="00212B99" w:rsidRPr="003C0842">
        <w:t>.</w:t>
      </w:r>
    </w:p>
    <w:p w:rsidR="00212B99" w:rsidRPr="003C0842" w:rsidRDefault="00212B99" w:rsidP="00111348">
      <w:pPr>
        <w:spacing w:line="360" w:lineRule="auto"/>
      </w:pPr>
    </w:p>
    <w:p w:rsidR="00930F1A" w:rsidRPr="003C0842" w:rsidRDefault="00930F1A" w:rsidP="00111348">
      <w:pPr>
        <w:spacing w:line="360" w:lineRule="auto"/>
      </w:pPr>
    </w:p>
    <w:p w:rsidR="00212B99" w:rsidRPr="003C0842" w:rsidRDefault="00212B99" w:rsidP="00111348">
      <w:pPr>
        <w:spacing w:line="360" w:lineRule="auto"/>
        <w:rPr>
          <w:b/>
        </w:rPr>
      </w:pPr>
      <w:r w:rsidRPr="003C0842">
        <w:rPr>
          <w:b/>
        </w:rPr>
        <w:t>3. Przyjęcie Węgier</w:t>
      </w:r>
    </w:p>
    <w:p w:rsidR="00212B99" w:rsidRPr="003C0842" w:rsidRDefault="00212B99" w:rsidP="00111348">
      <w:pPr>
        <w:spacing w:line="360" w:lineRule="auto"/>
      </w:pPr>
    </w:p>
    <w:p w:rsidR="00212B99" w:rsidRPr="003C0842" w:rsidRDefault="00212B99" w:rsidP="00111348">
      <w:pPr>
        <w:spacing w:line="360" w:lineRule="auto"/>
      </w:pPr>
      <w:r w:rsidRPr="003C0842">
        <w:t>Wskazywanie na Ligę Narodów jako najważniejsz</w:t>
      </w:r>
      <w:r w:rsidR="00954C34" w:rsidRPr="003C0842">
        <w:t>e miejsce do</w:t>
      </w:r>
      <w:r w:rsidRPr="003C0842">
        <w:t xml:space="preserve"> zasypywania podziałów z wielkiej wojny było powszechne. Nadzieje z tym związane wzmogło </w:t>
      </w:r>
      <w:r w:rsidR="00954C34" w:rsidRPr="003C0842">
        <w:t xml:space="preserve">bezkonfliktowe </w:t>
      </w:r>
      <w:r w:rsidRPr="003C0842">
        <w:t xml:space="preserve">przyjęcie Austrii i Bułgarii. Popularny w Genewie minister </w:t>
      </w:r>
      <w:r w:rsidR="00883871" w:rsidRPr="003C0842">
        <w:t xml:space="preserve">spraw zagranicznych </w:t>
      </w:r>
      <w:r w:rsidRPr="003C0842">
        <w:t xml:space="preserve">Edward Benesz, mimo wcześniejszych nieżyczliwych wobec Austrii uwag, nie robił trudności. Ponadregionalne aspiracje ujawnił natomiast wobec Węgier, które formalny wniosek w sprawie przyjęcia do Ligi złożyły 23 maja 1921 r. </w:t>
      </w:r>
      <w:r w:rsidR="006438CC" w:rsidRPr="003C0842">
        <w:t>Jednak s</w:t>
      </w:r>
      <w:r w:rsidR="00954C34" w:rsidRPr="003C0842">
        <w:t>prawa stała się nieaktualna</w:t>
      </w:r>
      <w:r w:rsidR="0012469C" w:rsidRPr="003C0842">
        <w:t xml:space="preserve"> z</w:t>
      </w:r>
      <w:r w:rsidR="00954C34" w:rsidRPr="003C0842">
        <w:t xml:space="preserve"> powodu zamieszania</w:t>
      </w:r>
      <w:r w:rsidRPr="003C0842">
        <w:t xml:space="preserve"> wywołane</w:t>
      </w:r>
      <w:r w:rsidR="00954C34" w:rsidRPr="003C0842">
        <w:t>go</w:t>
      </w:r>
      <w:r w:rsidRPr="003C0842">
        <w:t xml:space="preserve"> przez próbę powrotu na tron Karola I Habsburga, bratanka Franciszka Józefa</w:t>
      </w:r>
      <w:r w:rsidR="00954C34" w:rsidRPr="003C0842">
        <w:t>.</w:t>
      </w:r>
      <w:r w:rsidR="006438CC" w:rsidRPr="003C0842">
        <w:t xml:space="preserve"> Chociaż</w:t>
      </w:r>
      <w:r w:rsidRPr="003C0842">
        <w:t xml:space="preserve"> Francja aprobowała, a Wielka Brytania tolerowała zamiar Karola</w:t>
      </w:r>
      <w:r w:rsidR="006438CC" w:rsidRPr="003C0842">
        <w:t>, to jednak</w:t>
      </w:r>
      <w:r w:rsidRPr="003C0842">
        <w:t xml:space="preserve"> antywęgiers</w:t>
      </w:r>
      <w:r w:rsidR="009F3A11" w:rsidRPr="003C0842">
        <w:t>cy</w:t>
      </w:r>
      <w:r w:rsidRPr="003C0842">
        <w:t xml:space="preserve"> sąsiedzi </w:t>
      </w:r>
      <w:r w:rsidR="009F3A11" w:rsidRPr="003C0842">
        <w:t xml:space="preserve">zwarli szeregi, </w:t>
      </w:r>
      <w:r w:rsidRPr="003C0842">
        <w:t>kładąc podwaliny pod przymierze znane jako Mała Ententa</w:t>
      </w:r>
      <w:r w:rsidRPr="003C0842">
        <w:rPr>
          <w:rStyle w:val="Odwoanieprzypisudolnego"/>
          <w:rFonts w:ascii="Times New Roman" w:hAnsi="Times New Roman"/>
          <w:sz w:val="24"/>
        </w:rPr>
        <w:footnoteReference w:id="82"/>
      </w:r>
      <w:r w:rsidRPr="003C0842">
        <w:t xml:space="preserve">. </w:t>
      </w:r>
    </w:p>
    <w:p w:rsidR="00212B99" w:rsidRPr="003C0842" w:rsidRDefault="00212B99" w:rsidP="00111348">
      <w:pPr>
        <w:spacing w:line="360" w:lineRule="auto"/>
      </w:pPr>
      <w:r w:rsidRPr="003C0842">
        <w:t>Międzynarodową pozycję Węgier pogarszał spór graniczny o Burgenland (zachodnie Węgry), który traktaty pokojowe przyznały Austrii. Z ewakuacją tego obszaru, około 4 tys. km</w:t>
      </w:r>
      <w:r w:rsidRPr="003C0842">
        <w:rPr>
          <w:vertAlign w:val="superscript"/>
        </w:rPr>
        <w:t>2</w:t>
      </w:r>
      <w:r w:rsidRPr="003C0842">
        <w:t xml:space="preserve"> zamieszkałego przez 300 tys. osób, Węgrzy zwlekali. Liczyli na wytargowanie </w:t>
      </w:r>
      <w:r w:rsidR="009F3A11" w:rsidRPr="003C0842">
        <w:t>zmian,</w:t>
      </w:r>
      <w:r w:rsidRPr="003C0842">
        <w:t xml:space="preserve"> nieoczekiwanie </w:t>
      </w:r>
      <w:r w:rsidR="009F3A11" w:rsidRPr="003C0842">
        <w:t>ws</w:t>
      </w:r>
      <w:r w:rsidRPr="003C0842">
        <w:t>par</w:t>
      </w:r>
      <w:r w:rsidR="009F3A11" w:rsidRPr="003C0842">
        <w:t xml:space="preserve">tych przez </w:t>
      </w:r>
      <w:r w:rsidRPr="003C0842">
        <w:t>ministra Benesza</w:t>
      </w:r>
      <w:r w:rsidR="009F3A11" w:rsidRPr="003C0842">
        <w:t>.</w:t>
      </w:r>
      <w:r w:rsidRPr="003C0842">
        <w:t xml:space="preserve"> Uzgadniany z przedstawicielami Węgier i Austrii plan zakładał wprawdzie ewakuację wojsk węgierskich z Burgenlandu, ale rychłe „oddanie” Węgrom części tego terytorium, mianowicie okolic Sopronu (</w:t>
      </w:r>
      <w:r w:rsidR="00954C34" w:rsidRPr="003C0842">
        <w:t xml:space="preserve">niem. </w:t>
      </w:r>
      <w:r w:rsidRPr="003C0842">
        <w:t>Ödenburg). Gwarantem wykonania tej umowy miała być właśnie Czechosłowacja</w:t>
      </w:r>
      <w:r w:rsidR="00954C34" w:rsidRPr="003C0842">
        <w:rPr>
          <w:rStyle w:val="Odwoanieprzypisudolnego"/>
          <w:rFonts w:ascii="Times New Roman" w:hAnsi="Times New Roman"/>
          <w:sz w:val="24"/>
        </w:rPr>
        <w:footnoteReference w:id="83"/>
      </w:r>
      <w:r w:rsidRPr="003C0842">
        <w:t>.</w:t>
      </w:r>
    </w:p>
    <w:p w:rsidR="00212B99" w:rsidRPr="003C0842" w:rsidRDefault="009F3A11" w:rsidP="00111348">
      <w:pPr>
        <w:spacing w:line="360" w:lineRule="auto"/>
      </w:pPr>
      <w:r w:rsidRPr="003C0842">
        <w:t>To promadziarskie stanowisko</w:t>
      </w:r>
      <w:r w:rsidR="00212B99" w:rsidRPr="003C0842">
        <w:t xml:space="preserve"> b</w:t>
      </w:r>
      <w:r w:rsidRPr="003C0842">
        <w:t>yło</w:t>
      </w:r>
      <w:r w:rsidR="00212B99" w:rsidRPr="003C0842">
        <w:t xml:space="preserve"> wsparciem tezy o możliwości zmian terytorialnych ustanowionych przez traktaty pokojowe</w:t>
      </w:r>
      <w:r w:rsidRPr="003C0842">
        <w:t>,</w:t>
      </w:r>
      <w:r w:rsidR="00212B99" w:rsidRPr="003C0842">
        <w:t xml:space="preserve"> o ile są przeprowadzone w drodze porozumienia stron</w:t>
      </w:r>
      <w:r w:rsidRPr="003C0842">
        <w:t xml:space="preserve">. </w:t>
      </w:r>
      <w:r w:rsidR="009A0CB1" w:rsidRPr="003C0842">
        <w:t>Samozwańcze pośrednictwo Benesza wywołało</w:t>
      </w:r>
      <w:r w:rsidR="00212B99" w:rsidRPr="003C0842">
        <w:t xml:space="preserve"> sprzeciw Konferencji Ambasadorów</w:t>
      </w:r>
      <w:r w:rsidR="009A0CB1" w:rsidRPr="003C0842">
        <w:t>, która z</w:t>
      </w:r>
      <w:r w:rsidR="00212B99" w:rsidRPr="003C0842">
        <w:t>ażądała 4 października 1921 r. wycofania wojsk węgierskich ze spornego terytorium</w:t>
      </w:r>
      <w:r w:rsidR="009A0CB1" w:rsidRPr="003C0842">
        <w:t xml:space="preserve">. </w:t>
      </w:r>
      <w:r w:rsidR="009A0CB1" w:rsidRPr="003C0842">
        <w:lastRenderedPageBreak/>
        <w:t>R</w:t>
      </w:r>
      <w:r w:rsidR="00212B99" w:rsidRPr="003C0842">
        <w:t xml:space="preserve">olę mediatora </w:t>
      </w:r>
      <w:r w:rsidR="009A0CB1" w:rsidRPr="003C0842">
        <w:t xml:space="preserve">przekazano </w:t>
      </w:r>
      <w:r w:rsidR="00212B99" w:rsidRPr="003C0842">
        <w:t>Włochom, którzy aspirowali do zajęcia miejsca Austro-Węgier na Bałkanach. W ugodzie zawartej w Wenecji 13 października 1921 r. strony potwierdziły wolę przeprowadzen</w:t>
      </w:r>
      <w:r w:rsidR="00E30B41">
        <w:t>ia plebiscytu w rejonie Sopronu</w:t>
      </w:r>
      <w:r w:rsidR="00212B99" w:rsidRPr="003C0842">
        <w:t>. Ponad 65% uczestników głosowania opowiedziało się za przynależnością do Węgier. Opór zbrojny węgierskich ochotników, którzy wcześniej uniemożliwili przejęcie tego obszaru przez Austriaków okazał się skuteczny i efektywny. Konferencja Ambasadorów oraz Rada Ligi potwierdziły przynależność Sopronu do Węgier. Od 1 grudnia 1922 r. region Sopronu znalazł się formalnie w granicach Węgier. Fakt, że dokonało się to w czasie</w:t>
      </w:r>
      <w:r w:rsidR="0012469C" w:rsidRPr="003C0842">
        <w:t>,</w:t>
      </w:r>
      <w:r w:rsidR="00212B99" w:rsidRPr="003C0842">
        <w:t xml:space="preserve"> kiedy Węgry były już </w:t>
      </w:r>
      <w:r w:rsidR="00954C34" w:rsidRPr="003C0842">
        <w:t xml:space="preserve">od dwóch miesięcy </w:t>
      </w:r>
      <w:r w:rsidR="00212B99" w:rsidRPr="003C0842">
        <w:t>wśród członków Ligi</w:t>
      </w:r>
      <w:r w:rsidR="00954C34" w:rsidRPr="003C0842">
        <w:t>,</w:t>
      </w:r>
      <w:r w:rsidR="00212B99" w:rsidRPr="003C0842">
        <w:t xml:space="preserve"> był wykorzystywany przez rzeczników poglądu, że przy pomocy lub za pośrednictwem Genewy jest możliwa zmiana postanowień traktatu pokojowego, granic nie wyłączając.</w:t>
      </w:r>
    </w:p>
    <w:p w:rsidR="00212B99" w:rsidRPr="003C0842" w:rsidRDefault="00212B99" w:rsidP="00111348">
      <w:pPr>
        <w:spacing w:line="360" w:lineRule="auto"/>
      </w:pPr>
      <w:r w:rsidRPr="003C0842">
        <w:t xml:space="preserve">Rewizjonistyczna wymowa tej zmiany wzmogła nadzieje lub obawy wielu państw, w tym zwłaszcza Małej Ententy. </w:t>
      </w:r>
      <w:r w:rsidR="00954C34" w:rsidRPr="003C0842">
        <w:t>Te ostatnie</w:t>
      </w:r>
      <w:r w:rsidR="009A0CB1" w:rsidRPr="003C0842">
        <w:t>,</w:t>
      </w:r>
      <w:r w:rsidR="00954C34" w:rsidRPr="003C0842">
        <w:t xml:space="preserve"> od spotkania</w:t>
      </w:r>
      <w:r w:rsidRPr="003C0842">
        <w:t xml:space="preserve"> w Pradze w sierpniu 1922 r.</w:t>
      </w:r>
      <w:r w:rsidR="009A0CB1" w:rsidRPr="003C0842">
        <w:t>,</w:t>
      </w:r>
      <w:r w:rsidR="00954C34" w:rsidRPr="003C0842">
        <w:t>popierały</w:t>
      </w:r>
      <w:r w:rsidRPr="003C0842">
        <w:t xml:space="preserve"> wejście Węgier do Ligi.</w:t>
      </w:r>
      <w:r w:rsidR="009A0CB1" w:rsidRPr="003C0842">
        <w:t xml:space="preserve"> R</w:t>
      </w:r>
      <w:r w:rsidRPr="003C0842">
        <w:t>ozumiano bezcelowość oporu wobec jednoznacznego stanowiska większości członków Ligi</w:t>
      </w:r>
      <w:r w:rsidR="009A0CB1" w:rsidRPr="003C0842">
        <w:t xml:space="preserve">, którzy podkreślali możliwość lepszej kontroli </w:t>
      </w:r>
      <w:r w:rsidR="003F4CA3" w:rsidRPr="003C0842">
        <w:t xml:space="preserve">nad wykonywaniem </w:t>
      </w:r>
      <w:r w:rsidR="009A0CB1" w:rsidRPr="003C0842">
        <w:t>traktat</w:t>
      </w:r>
      <w:r w:rsidR="003F4CA3" w:rsidRPr="003C0842">
        <w:t>u w Trianon.Z</w:t>
      </w:r>
      <w:r w:rsidRPr="003C0842">
        <w:t xml:space="preserve">e strony </w:t>
      </w:r>
      <w:r w:rsidR="003F4CA3" w:rsidRPr="003C0842">
        <w:t xml:space="preserve">tzw. państw mniejszościowych, zwłaszcza </w:t>
      </w:r>
      <w:r w:rsidRPr="003C0842">
        <w:t>Czechosłowacjii Rumunii</w:t>
      </w:r>
      <w:r w:rsidR="003F4CA3" w:rsidRPr="003C0842">
        <w:t xml:space="preserve"> dostrzegano problem wspierania przez Budapeszt </w:t>
      </w:r>
      <w:r w:rsidRPr="003C0842">
        <w:t>postulat</w:t>
      </w:r>
      <w:r w:rsidR="005311F0" w:rsidRPr="003C0842">
        <w:t>ów</w:t>
      </w:r>
      <w:r w:rsidRPr="003C0842">
        <w:t xml:space="preserve"> mniejszości madziarskiej</w:t>
      </w:r>
      <w:r w:rsidRPr="003C0842">
        <w:rPr>
          <w:rStyle w:val="Odwoanieprzypisudolnego"/>
          <w:rFonts w:ascii="Times New Roman" w:hAnsi="Times New Roman"/>
          <w:sz w:val="24"/>
        </w:rPr>
        <w:footnoteReference w:id="84"/>
      </w:r>
      <w:r w:rsidRPr="003C0842">
        <w:t>.</w:t>
      </w:r>
    </w:p>
    <w:p w:rsidR="00212B99" w:rsidRPr="003C0842" w:rsidRDefault="00212B99" w:rsidP="00111348">
      <w:pPr>
        <w:spacing w:line="360" w:lineRule="auto"/>
      </w:pPr>
      <w:r w:rsidRPr="003C0842">
        <w:t>Chociaż kandydatura Węgier w 1922 r. stała się aktualn</w:t>
      </w:r>
      <w:r w:rsidR="0012469C" w:rsidRPr="003C0842">
        <w:t>a</w:t>
      </w:r>
      <w:r w:rsidRPr="003C0842">
        <w:t xml:space="preserve"> automatycznie, jako „spadek” po poprzednim Zgromadzeniu, to jednak rząd Istvána Bethlena 8 sierpnia skierował do Sekretariatu LN </w:t>
      </w:r>
      <w:r w:rsidR="005311F0" w:rsidRPr="003C0842">
        <w:t>ponowioną prośbę</w:t>
      </w:r>
      <w:r w:rsidRPr="003C0842">
        <w:t>. Jej rozpatrzenie Zgromadzenie powierzyło komisji VI, która 7 września przystąpiła do badania wniosku wedle tradycyjnego kwestionariusza złożonego z 5 pytań: 1) czy wniosek rz</w:t>
      </w:r>
      <w:r w:rsidR="0012469C" w:rsidRPr="003C0842">
        <w:t>ądu węgierskiego jest poprawny?</w:t>
      </w:r>
      <w:r w:rsidRPr="003C0842">
        <w:t xml:space="preserve"> 2) czy i przez jakie państwa rząd Węgier </w:t>
      </w:r>
      <w:r w:rsidR="0012469C" w:rsidRPr="003C0842">
        <w:t>jest uznany de iure i de facto?</w:t>
      </w:r>
      <w:r w:rsidRPr="003C0842">
        <w:t xml:space="preserve"> 3) czy Węgry mają stabilny rząd i określone granice? </w:t>
      </w:r>
      <w:r w:rsidR="0012469C" w:rsidRPr="003C0842">
        <w:t>4) czy rządzi się on swobodnie?</w:t>
      </w:r>
      <w:r w:rsidRPr="003C0842">
        <w:t xml:space="preserve"> 5) jakie są decyzje i deklaracje rządu: a) w sprawie jego zobowiązań międzynarodowych; b) dotyczące przepisów Ligi odnośnie rozbrojenia?</w:t>
      </w:r>
      <w:r w:rsidRPr="003C0842">
        <w:rPr>
          <w:rStyle w:val="Odwoanieprzypisudolnego"/>
          <w:rFonts w:ascii="Times New Roman" w:hAnsi="Times New Roman"/>
          <w:sz w:val="24"/>
        </w:rPr>
        <w:footnoteReference w:id="85"/>
      </w:r>
    </w:p>
    <w:p w:rsidR="00212B99" w:rsidRPr="003C0842" w:rsidRDefault="00212B99" w:rsidP="00111348">
      <w:pPr>
        <w:spacing w:line="360" w:lineRule="auto"/>
      </w:pPr>
      <w:r w:rsidRPr="003C0842">
        <w:t xml:space="preserve">W trakcie prac nad wnioskiem wyłonił się problem wykonania przez Węgry postanowień rozbrojeniowych traktatu pokojowego. O informacje zwrócono się do Międzysojuszniczej Komisji Wojskowej z siedzibą w Wersalu. W odpowiedzi nadesłanej 11 września za pośrednictwem Konferencji Ambasadorów stwierdzono synchronizację ustawodawstwa </w:t>
      </w:r>
      <w:r w:rsidRPr="003C0842">
        <w:lastRenderedPageBreak/>
        <w:t xml:space="preserve">krajowego z postanowieniami rozbrojeniowymi traktatu trianońskiego, aczkolwiek pewne zarządzenia dotyczące materialnego rozbrojenia </w:t>
      </w:r>
      <w:r w:rsidR="005311F0" w:rsidRPr="003C0842">
        <w:t>były</w:t>
      </w:r>
      <w:r w:rsidRPr="003C0842">
        <w:t xml:space="preserve"> jeszcze w toku. Silnym wsparciem dla węgierskiego wniosku była deklaracja minis</w:t>
      </w:r>
      <w:r w:rsidR="00883871" w:rsidRPr="003C0842">
        <w:t>tra spraw zagranicznych hr</w:t>
      </w:r>
      <w:r w:rsidR="0012469C" w:rsidRPr="003C0842">
        <w:t>.</w:t>
      </w:r>
      <w:r w:rsidR="00883871" w:rsidRPr="003C0842">
        <w:t xml:space="preserve"> Mikló</w:t>
      </w:r>
      <w:r w:rsidRPr="003C0842">
        <w:t>sa Bánffy</w:t>
      </w:r>
      <w:r w:rsidR="0012469C" w:rsidRPr="003C0842">
        <w:t>iego</w:t>
      </w:r>
      <w:r w:rsidRPr="003C0842">
        <w:t>, w której imieniem rządu i „przygniatającej większości narodu” zapewniał o szczerej woli respektowania zasad Ligi, w tym uroczyście przywołanej preambuły Paktu, mówiącej m.in. o przestrzeganiu sprawiedliwości i „skrupulatnym szanowaniu wszelkich zobowiązań traktatowych”. Bardzo dobre wrażenie tej deklaracji próbowano pomniejszyć pytaniem, wcale nie nowym, tym mniej oryginalnym, o aktualność deklaracji rządowej na wypadek zakwestionowania jej przez parlament. Sprawa ta została postawiona przez Sekretariat z inspiracji czechosłowackiej, jakoby w Genewie uprzywilejowanej</w:t>
      </w:r>
      <w:r w:rsidR="005311F0" w:rsidRPr="003C0842">
        <w:t xml:space="preserve"> i faworyzowanej</w:t>
      </w:r>
      <w:r w:rsidRPr="003C0842">
        <w:rPr>
          <w:rStyle w:val="Odwoanieprzypisudolnego"/>
          <w:rFonts w:ascii="Times New Roman" w:hAnsi="Times New Roman"/>
          <w:sz w:val="24"/>
        </w:rPr>
        <w:footnoteReference w:id="86"/>
      </w:r>
      <w:r w:rsidRPr="003C0842">
        <w:t>.</w:t>
      </w:r>
    </w:p>
    <w:p w:rsidR="00212B99" w:rsidRPr="003C0842" w:rsidRDefault="00212B99" w:rsidP="00111348">
      <w:pPr>
        <w:spacing w:line="360" w:lineRule="auto"/>
      </w:pPr>
      <w:r w:rsidRPr="003C0842">
        <w:t>Wątpliwości Sekretariatu wzięły się stąd, że parlamenty Łotwy i Estonii odrzuciły deklaracje dotyczące ochrony mniejszości narodowych wbrew zobowiązaniom, które zostały przyjęte przez ich rządy podczas procedury przyjmowania do Ligi w 1921 r.</w:t>
      </w:r>
      <w:r w:rsidRPr="003C0842">
        <w:rPr>
          <w:rStyle w:val="Odwoanieprzypisudolnego"/>
          <w:rFonts w:ascii="Times New Roman" w:hAnsi="Times New Roman"/>
          <w:sz w:val="24"/>
        </w:rPr>
        <w:footnoteReference w:id="87"/>
      </w:r>
      <w:r w:rsidRPr="003C0842">
        <w:t xml:space="preserve"> Podobny problem wystąpił w przypadku Salwadoru, który odmówił wniesienia składki do wspólnej kasy, chociaż był do tego zobowiązany „z automatu”, przez sam fakt przystąpienia do Ligi. </w:t>
      </w:r>
    </w:p>
    <w:p w:rsidR="00212B99" w:rsidRPr="003C0842" w:rsidRDefault="00212B99" w:rsidP="00111348">
      <w:pPr>
        <w:spacing w:line="360" w:lineRule="auto"/>
      </w:pPr>
      <w:r w:rsidRPr="003C0842">
        <w:t>W ramach podkomisji „węgierski</w:t>
      </w:r>
      <w:r w:rsidR="00883871" w:rsidRPr="003C0842">
        <w:t xml:space="preserve">ej” bardzo aktywny Stefan Osuský </w:t>
      </w:r>
      <w:r w:rsidRPr="003C0842">
        <w:t xml:space="preserve">dążył do uzyskania od Węgier natychmiastowych gwarancji w sprawie podporządkowania się Paktowi oraz deklaracji dotyczącej skrupulatnego wykonania przez nie traktatu pokojowego. Ten punkt widzenia popierał Gabriel Hanotaux, który – podobnie jak wszyscy Francuzi – rozpatrywał każdy problem z punktu widzenia spodziewanej wkrótce dyskusji o podobnym charakterze w sprawie Niemiec. Po przeciwnej stronie stali przedstawiciele Szwajcarii i Włoch – Motta i markiz Guglielmo Imperiali, dla których nie jest możliwe uzyskanie od jakiegokolwiek rządu gwarancji w sprawie ratyfikacji przez parlament przyjętych przez rząd zobowiązań. Nieustępliwość czechosłowacko-francuska doprowadziła do formuły kompromisowej: </w:t>
      </w:r>
      <w:r w:rsidR="0012469C" w:rsidRPr="003C0842">
        <w:t>w</w:t>
      </w:r>
      <w:r w:rsidRPr="003C0842">
        <w:t>ejście Węgier do Ligi na podstawie deklaracji rządowych będzie warunkowe i utraci swą moc</w:t>
      </w:r>
      <w:r w:rsidR="0012469C" w:rsidRPr="003C0842">
        <w:t>,</w:t>
      </w:r>
      <w:r w:rsidRPr="003C0842">
        <w:t xml:space="preserve"> jeśliby parlament odmówił poparcia tego wniosku. Formuła ta nie wywołała dalszych dyskusji na forum VI Komisji, chociaż Osusk</w:t>
      </w:r>
      <w:r w:rsidR="0012469C" w:rsidRPr="003C0842">
        <w:t>ý</w:t>
      </w:r>
      <w:r w:rsidRPr="003C0842">
        <w:t xml:space="preserve"> przypomniał podjętą dzień wcześniej decyzję „sekcji węgierskiej komisji reparacyjnej” o niemożności dopuszczenia Węgier do Ligi „do </w:t>
      </w:r>
      <w:r w:rsidRPr="003C0842">
        <w:lastRenderedPageBreak/>
        <w:t>chwili wykonania przez nie klauzul traktatu w Trianon dotyczących reparacji”</w:t>
      </w:r>
      <w:r w:rsidRPr="003C0842">
        <w:rPr>
          <w:rStyle w:val="Odwoanieprzypisudolnego"/>
          <w:rFonts w:ascii="Times New Roman" w:hAnsi="Times New Roman"/>
          <w:sz w:val="24"/>
        </w:rPr>
        <w:footnoteReference w:id="88"/>
      </w:r>
      <w:r w:rsidRPr="003C0842">
        <w:t>. Tak sformułowane stanowisko było zaskoczeniem</w:t>
      </w:r>
      <w:r w:rsidR="0012469C" w:rsidRPr="003C0842">
        <w:t>, gdyż</w:t>
      </w:r>
      <w:r w:rsidRPr="003C0842">
        <w:t xml:space="preserve"> odsuwało na lata przyjęcie Niemiec, wobec których sprecyzowanie zobowiązań reparacyjnych nastręczało ogromnych kłopotów, o wykonaniu nie mówiąc</w:t>
      </w:r>
      <w:r w:rsidR="00B21A46">
        <w:t>…</w:t>
      </w:r>
    </w:p>
    <w:p w:rsidR="00212B99" w:rsidRPr="003C0842" w:rsidRDefault="00212B99" w:rsidP="00111348">
      <w:pPr>
        <w:spacing w:line="360" w:lineRule="auto"/>
      </w:pPr>
      <w:r w:rsidRPr="003C0842">
        <w:t>Interwencja min. Osuskiego, zignorowana przez zabierających głos uczestników VI Komisji (Imperiali, Motta, Hanotaux) wymusiła uzupełniające oświadczenie przedstawiciela Czechosłowacji podkreślające życzliwy stosunek jego kraju do wstąpienia Węgier do Ligi. Deklaracja ta zachęciła prof. Szymona Askenazego do postawienia wniosku o przyjęcie Węgier przez aklamację. Dzięki temu 18 września 1922 r., po raz pierwszy Zgromadzenie przyjęło nowego członka przez aklamację</w:t>
      </w:r>
      <w:r w:rsidR="00C11154" w:rsidRPr="003C0842">
        <w:t>, bez formalnego głosowania</w:t>
      </w:r>
      <w:r w:rsidRPr="003C0842">
        <w:t xml:space="preserve">. </w:t>
      </w:r>
    </w:p>
    <w:p w:rsidR="00212B99" w:rsidRPr="003C0842" w:rsidRDefault="00212B99" w:rsidP="00111348">
      <w:pPr>
        <w:spacing w:line="360" w:lineRule="auto"/>
      </w:pPr>
      <w:r w:rsidRPr="003C0842">
        <w:t xml:space="preserve">Podniosłą atmosferę zważyło niespodziewane wystąpienie Osuskiego, który z trybuny Zgromadzenia </w:t>
      </w:r>
      <w:r w:rsidR="00C11154" w:rsidRPr="003C0842">
        <w:t xml:space="preserve">mówił </w:t>
      </w:r>
      <w:r w:rsidRPr="003C0842">
        <w:t xml:space="preserve">o uchylaniu się Węgier od wykonania zobowiązań wojskowych i reparacyjnych oraz </w:t>
      </w:r>
      <w:r w:rsidR="00C11154" w:rsidRPr="003C0842">
        <w:t>dotyczących</w:t>
      </w:r>
      <w:r w:rsidRPr="003C0842">
        <w:t xml:space="preserve"> ochrony mniejszości. </w:t>
      </w:r>
      <w:r w:rsidR="00C11154" w:rsidRPr="003C0842">
        <w:t>Inicjatywa ta wspierana</w:t>
      </w:r>
      <w:r w:rsidRPr="003C0842">
        <w:t xml:space="preserve"> zakulisowo przez partnerów z Małej Ententy nie spotkała się z aprobatą, tym mniej uznaniem Zgromadzenia. Długo też pamiętano o niej w Sekretariacie</w:t>
      </w:r>
      <w:r w:rsidRPr="003C0842">
        <w:rPr>
          <w:rStyle w:val="Odwoanieprzypisudolnego"/>
          <w:rFonts w:ascii="Times New Roman" w:hAnsi="Times New Roman"/>
          <w:sz w:val="24"/>
        </w:rPr>
        <w:footnoteReference w:id="89"/>
      </w:r>
      <w:r w:rsidRPr="003C0842">
        <w:t>. Ze zrozumieniem przyjęto natomiast uwagi ministra Bánffy, który 19 września w nocie skierowanej do przewodniczącego Zgromadzenia ubolewał, że delegat Czechosłowacji nie skorzystał ze sposobności</w:t>
      </w:r>
      <w:r w:rsidR="0012469C" w:rsidRPr="003C0842">
        <w:t>,</w:t>
      </w:r>
      <w:r w:rsidRPr="003C0842">
        <w:t xml:space="preserve"> aby zastrzeżenia wypowiedziane na forum Zgromadzeniawyjaśnić </w:t>
      </w:r>
      <w:r w:rsidR="0012469C" w:rsidRPr="003C0842">
        <w:t>podczas posiedzenia</w:t>
      </w:r>
      <w:r w:rsidRPr="003C0842">
        <w:t xml:space="preserve"> podkomisji</w:t>
      </w:r>
      <w:r w:rsidR="00C11154" w:rsidRPr="003C0842">
        <w:t>, a następnie</w:t>
      </w:r>
      <w:r w:rsidRPr="003C0842">
        <w:t xml:space="preserve"> komisji</w:t>
      </w:r>
      <w:r w:rsidR="00E9243A" w:rsidRPr="003C0842">
        <w:t>, gdzie omawiano warunki wstąpienia Węgier.</w:t>
      </w:r>
    </w:p>
    <w:p w:rsidR="00BD56B3" w:rsidRDefault="00212B99" w:rsidP="00111348">
      <w:pPr>
        <w:spacing w:line="360" w:lineRule="auto"/>
      </w:pPr>
      <w:r w:rsidRPr="003C0842">
        <w:t xml:space="preserve">Swoisty protektorat Małej Ententy, a szczególnie Czechosłowacji nad wchodzeniem Węgier do Ligi ujawnił się w formie konfliktowej także przez to, że przedstawiciele Małej Ententy 18 września 1922 r. złożyli – celem rejestracji przez Sekretariat Ligi – noty </w:t>
      </w:r>
      <w:r w:rsidR="008C4556" w:rsidRPr="003C0842">
        <w:t>dotyczącej</w:t>
      </w:r>
      <w:r w:rsidRPr="003C0842">
        <w:t xml:space="preserve"> abdykacji króla Karola i detronizacji Habsburgów. Minister Bánffy oprotestował </w:t>
      </w:r>
      <w:r w:rsidR="008C4556" w:rsidRPr="003C0842">
        <w:t xml:space="preserve">tę </w:t>
      </w:r>
      <w:r w:rsidRPr="003C0842">
        <w:t>inicjatywę</w:t>
      </w:r>
      <w:r w:rsidR="0012469C" w:rsidRPr="003C0842">
        <w:t>,</w:t>
      </w:r>
      <w:r w:rsidR="008C4556" w:rsidRPr="003C0842">
        <w:t>wskazując</w:t>
      </w:r>
      <w:r w:rsidRPr="003C0842">
        <w:t xml:space="preserve">, że Węgry przyjęły zobowiązania wobec mocarstw reprezentowanych w Konferencji Ambasadorów, wśród których nie było żadnego z państw zgłaszających wymianę not do rejestracji jako dokumentu o walorach umowy międzynarodowej, zawierającej określone zobowiązania Węgier. Nota ta skierowana do Sekretariatu Generalnego 29 września 1922 r., a więc kilkanaście dni po formalnym wstąpieniu Węgier do Ligi, korespondowała z niespodziankami towarzyszącymi procedurze akcesyjnej Węgier. </w:t>
      </w:r>
      <w:r w:rsidRPr="003C0842">
        <w:lastRenderedPageBreak/>
        <w:t>Skoro Czechosłowacja, główny budowniczy antywęgierskich barykad, wspierana przez dwóch mniej aktywnych sojuszników mogła utrudnić starania Węgier, mających poparcie wyraźnej większości członków Ligi, to jakież problemy czekały Republikę Weimarską – państwo o nieporównywalnym ciężarze na arenie europejskiej i światowej.</w:t>
      </w:r>
    </w:p>
    <w:p w:rsidR="00212B99" w:rsidRPr="003C0842" w:rsidRDefault="00212B99" w:rsidP="00111348">
      <w:pPr>
        <w:spacing w:line="360" w:lineRule="auto"/>
      </w:pPr>
      <w:r w:rsidRPr="003C0842">
        <w:t>Po niemal rocznej dyskusji Węgry</w:t>
      </w:r>
      <w:r w:rsidR="008C4556" w:rsidRPr="003C0842">
        <w:t xml:space="preserve"> uległy i</w:t>
      </w:r>
      <w:r w:rsidRPr="003C0842">
        <w:t xml:space="preserve">w specjalnej deklaracji zobowiązały się do ścisłego przestrzegania zobowiązań międzynarodowych. Znaczenie takiego zobowiązania było ogromne. </w:t>
      </w:r>
      <w:r w:rsidR="00EB1065" w:rsidRPr="003C0842">
        <w:t>U</w:t>
      </w:r>
      <w:r w:rsidRPr="003C0842">
        <w:t>znawały</w:t>
      </w:r>
      <w:r w:rsidR="00EB1065" w:rsidRPr="003C0842">
        <w:t xml:space="preserve"> one</w:t>
      </w:r>
      <w:r w:rsidRPr="003C0842">
        <w:t xml:space="preserve"> za swoje zobowiązania narzucone im po wojnie w traktacie pokojowym i niejako z własnej woli oświadczyły, że będą te postanowienia respektować. Oświadczenie ministra spr</w:t>
      </w:r>
      <w:r w:rsidR="00E30B41">
        <w:t>aw zagranicznych Miklósa Bánffy</w:t>
      </w:r>
      <w:r w:rsidRPr="003C0842">
        <w:t xml:space="preserve">ego o szczerej woli respektowania Paktu Ligi, zawartych traktatów oraz „wszystkich zobowiązań międzynarodowych” wywołało zachwyt wszystkich sąsiadów. </w:t>
      </w:r>
      <w:r w:rsidR="008C4556" w:rsidRPr="003C0842">
        <w:t>Nie tylko</w:t>
      </w:r>
      <w:r w:rsidRPr="003C0842">
        <w:t xml:space="preserve"> rozwi</w:t>
      </w:r>
      <w:r w:rsidR="008C4556" w:rsidRPr="003C0842">
        <w:t>ewałaobawy</w:t>
      </w:r>
      <w:r w:rsidRPr="003C0842">
        <w:t xml:space="preserve"> stawiane głównie przez państwa sąsiadujące</w:t>
      </w:r>
      <w:r w:rsidR="008C4556" w:rsidRPr="003C0842">
        <w:t>, ale przede wszystkim</w:t>
      </w:r>
      <w:r w:rsidRPr="003C0842">
        <w:t xml:space="preserve"> była precedensem w prakty</w:t>
      </w:r>
      <w:r w:rsidR="00EB1065" w:rsidRPr="003C0842">
        <w:t>ce</w:t>
      </w:r>
      <w:r w:rsidRPr="003C0842">
        <w:t xml:space="preserve"> ukształtowanej w Genewie w związku z przyjęciami nowych członków. </w:t>
      </w:r>
    </w:p>
    <w:p w:rsidR="00212B99" w:rsidRPr="003C0842" w:rsidRDefault="00212B99" w:rsidP="00111348">
      <w:pPr>
        <w:spacing w:line="360" w:lineRule="auto"/>
      </w:pPr>
      <w:r w:rsidRPr="003C0842">
        <w:t>Odmienność procedury w przypadku Węgier polegała na tym, że inne przyjmowane do Ligi państwa musiały wykazać swoją aktualną lojalność wobec zobowiązań międzynarodowych. W przypadku Węgier, głównie za sprawą przedstawiciela Czechosłowacji (popartego przez Gabriela Hanotaux) kwestia zobowiązań międzynarodowych wystąpiła jako zagadnienie przyszłości. Węgry zostały przymuszone do złożenia deklaracji, że także w przyszłości zamierzają dotrzymywać swych zobowiązań i wykonywać traktat z Trianon w dobrej wierze.</w:t>
      </w:r>
    </w:p>
    <w:p w:rsidR="00212B99" w:rsidRPr="003C0842" w:rsidRDefault="00212B99" w:rsidP="00111348">
      <w:pPr>
        <w:spacing w:line="360" w:lineRule="auto"/>
      </w:pPr>
      <w:r w:rsidRPr="003C0842">
        <w:t xml:space="preserve">Podkreślić ponownie trzeba, że wzbudzający duże zainteresowanie proces zbliżania się Węgier do Ligi, powszechnie wiązano z trwającą od końca wojny walką państw pokonanych z narzuconymi im traktatami. Po stanowczej i skutecznej postawie Turcji (która jednak do członkowstwa w Lidze wówczas nie aspirowała) najpierw Austria i Bułgaria, a następnie Węgry, chociaż w różnej formie musiały uznać narzucone im traktaty jako zaakceptowane </w:t>
      </w:r>
      <w:r w:rsidR="008C4556" w:rsidRPr="003C0842">
        <w:t>z własnej woli</w:t>
      </w:r>
      <w:r w:rsidRPr="003C0842">
        <w:t>.</w:t>
      </w:r>
      <w:r w:rsidR="008C4556" w:rsidRPr="003C0842">
        <w:t xml:space="preserve"> Było to t</w:t>
      </w:r>
      <w:r w:rsidRPr="003C0842">
        <w:t>raktowan</w:t>
      </w:r>
      <w:r w:rsidR="008C4556" w:rsidRPr="003C0842">
        <w:t>e</w:t>
      </w:r>
      <w:r w:rsidRPr="003C0842">
        <w:t xml:space="preserve"> jako dodatkow</w:t>
      </w:r>
      <w:r w:rsidR="003354E7" w:rsidRPr="003C0842">
        <w:t>a gwarancja</w:t>
      </w:r>
      <w:r w:rsidRPr="003C0842">
        <w:t xml:space="preserve"> ich wykonalności. Twierdzono tak zwłaszcza w obozie zdominowanym przez Francję</w:t>
      </w:r>
      <w:r w:rsidR="003354E7" w:rsidRPr="003C0842">
        <w:t>. P</w:t>
      </w:r>
      <w:r w:rsidRPr="003C0842">
        <w:t xml:space="preserve">rocedura przyjęcia Węgier </w:t>
      </w:r>
      <w:r w:rsidR="003354E7" w:rsidRPr="003C0842">
        <w:t>miała wzmocnić i lepiej uzasadnić</w:t>
      </w:r>
      <w:r w:rsidRPr="003C0842">
        <w:t xml:space="preserve"> uzyskani</w:t>
      </w:r>
      <w:r w:rsidR="003354E7" w:rsidRPr="003C0842">
        <w:t>e</w:t>
      </w:r>
      <w:r w:rsidRPr="003C0842">
        <w:t xml:space="preserve"> od Niemiec dodatkowych lub ponownych gwarancji </w:t>
      </w:r>
      <w:r w:rsidR="003354E7" w:rsidRPr="003C0842">
        <w:t>odnośnie</w:t>
      </w:r>
      <w:r w:rsidRPr="003C0842">
        <w:t xml:space="preserve"> wykonywania traktatu wersalskiego.</w:t>
      </w:r>
    </w:p>
    <w:p w:rsidR="00212B99" w:rsidRPr="003C0842" w:rsidRDefault="00212B99" w:rsidP="00111348">
      <w:pPr>
        <w:spacing w:line="360" w:lineRule="auto"/>
      </w:pPr>
      <w:r w:rsidRPr="003C0842">
        <w:t xml:space="preserve">Teza ta zderzała się ze znanym i wymagającym stałej pamięci sprzeciwie ogółu Niemców wobec traktatu wersalskiego, który przez przeciętnego obywatela Republiki Weimarskiej bywał opatrywany najgorszymi epitetami. W tej jednomyślności, ważącej na całym życiu wewnętrznym Niemiec, nie było miejsca na uznanie traktatu wersalskiego za zobowiązanie, które ma być wykonane. Cała propaganda mająca pozyskać przeciętnego Niemca do idei </w:t>
      </w:r>
      <w:r w:rsidRPr="003C0842">
        <w:lastRenderedPageBreak/>
        <w:t>ligowej wspierała się na założeniu korzyści płynących z tego akcesu i traktowania Genewy jako najbardziej otwartego forum dla pokazywania swego niesprawiedliwego statusu i żądania jego zmiany. To rewizja traktatu wersalskiego, a nie jego akceptacja, tym mniej „szczere” wywiązywanie się z zapisanych tam, a poniżających naród niemiecki artykułów, była najbardziej nośnym i najważniejszym hasłem marszu do Ligi. Nawet najbardziej przekonani do tego marszu Niemcy uznawali, że „dawanie wobec Ligi ponownych potwierdzeń co do dotrzymywania traktatu wersalskiego nie licowałoby z ich państwową godnością i że wskutek tego na podobne stawianie kwestii zgodzić by się nie mogli”</w:t>
      </w:r>
      <w:r w:rsidRPr="003C0842">
        <w:rPr>
          <w:rStyle w:val="Odwoanieprzypisudolnego"/>
          <w:rFonts w:ascii="Times New Roman" w:hAnsi="Times New Roman"/>
          <w:sz w:val="24"/>
        </w:rPr>
        <w:footnoteReference w:id="90"/>
      </w:r>
      <w:r w:rsidRPr="003C0842">
        <w:t>.</w:t>
      </w:r>
    </w:p>
    <w:p w:rsidR="00212B99" w:rsidRPr="003C0842" w:rsidRDefault="00212B99" w:rsidP="00111348">
      <w:pPr>
        <w:spacing w:line="360" w:lineRule="auto"/>
      </w:pPr>
    </w:p>
    <w:p w:rsidR="00212B99" w:rsidRPr="003C0842" w:rsidRDefault="00212B99" w:rsidP="00111348">
      <w:pPr>
        <w:spacing w:line="360" w:lineRule="auto"/>
      </w:pPr>
    </w:p>
    <w:p w:rsidR="00930F1A" w:rsidRPr="003C0842" w:rsidRDefault="00930F1A" w:rsidP="00111348">
      <w:pPr>
        <w:spacing w:line="360" w:lineRule="auto"/>
      </w:pPr>
    </w:p>
    <w:p w:rsidR="00930F1A" w:rsidRPr="003C0842" w:rsidRDefault="00930F1A" w:rsidP="00111348">
      <w:pPr>
        <w:spacing w:line="360" w:lineRule="auto"/>
      </w:pPr>
    </w:p>
    <w:p w:rsidR="00212B99" w:rsidRPr="003C0842" w:rsidRDefault="00212B99" w:rsidP="00111348">
      <w:pPr>
        <w:spacing w:line="360" w:lineRule="auto"/>
        <w:outlineLvl w:val="0"/>
        <w:rPr>
          <w:b/>
        </w:rPr>
      </w:pPr>
      <w:r w:rsidRPr="003C0842">
        <w:rPr>
          <w:b/>
        </w:rPr>
        <w:t>4. Akcesja Irlandii, Etiopii i Dominikany (1923</w:t>
      </w:r>
      <w:r w:rsidR="005A5F3B">
        <w:rPr>
          <w:b/>
        </w:rPr>
        <w:t>-</w:t>
      </w:r>
      <w:r w:rsidRPr="003C0842">
        <w:rPr>
          <w:b/>
        </w:rPr>
        <w:t>1924)</w:t>
      </w:r>
    </w:p>
    <w:p w:rsidR="00212B99" w:rsidRPr="003C0842" w:rsidRDefault="00212B99" w:rsidP="00111348">
      <w:pPr>
        <w:spacing w:line="360" w:lineRule="auto"/>
      </w:pPr>
    </w:p>
    <w:p w:rsidR="00212B99" w:rsidRPr="003C0842" w:rsidRDefault="00212B99" w:rsidP="00111348">
      <w:pPr>
        <w:spacing w:line="360" w:lineRule="auto"/>
      </w:pPr>
      <w:r w:rsidRPr="003C0842">
        <w:t>Potwierdzeniem tezy, że każda dyskusja nad przyjęciem nowych członków do L</w:t>
      </w:r>
      <w:r w:rsidR="003354E7" w:rsidRPr="003C0842">
        <w:t>N</w:t>
      </w:r>
      <w:r w:rsidRPr="003C0842">
        <w:t xml:space="preserve"> miała związek z bieżącą polityką, były zwłaszcza dwie akcesje z 1923 r. Dotyczyły one Irlandii i Etiopii. Rozpatrywano je w złej atmosferze wywołanej okupacją Zagłębia Ruhry oraz „bombardowaniem” przez Włochów greckiej wyspy Korfu. Zarazem jednak oba te wnioski dały okazję do pozytywnych manifestacji</w:t>
      </w:r>
      <w:r w:rsidR="003354E7" w:rsidRPr="003C0842">
        <w:t>,</w:t>
      </w:r>
      <w:r w:rsidRPr="003C0842">
        <w:t xml:space="preserve"> chociaż w każdym przypadku o odmiennym charakterze.</w:t>
      </w:r>
    </w:p>
    <w:p w:rsidR="00212B99" w:rsidRPr="003C0842" w:rsidRDefault="00212B99" w:rsidP="00111348">
      <w:pPr>
        <w:spacing w:line="360" w:lineRule="auto"/>
      </w:pPr>
      <w:r w:rsidRPr="003C0842">
        <w:t>Wniosek Irlandii był popierany przez Londyn i nie miał oficjalnych przeciwników. Wprawdzie „szemrano”, że będzie to już kolejny, siódmy członek w Lidze Narodów, który miał Jerzego V za swego suwerena. Przeważało stanowisko, że przyjęcie Irlandii umocni tamtejsze władze dążące do pacyfikacji sytuacji wewnętrznej, napiętej z powodu krwawych konfliktów na tle narodowościowym i religijnym.</w:t>
      </w:r>
    </w:p>
    <w:p w:rsidR="00212B99" w:rsidRPr="003C0842" w:rsidRDefault="00212B99" w:rsidP="00111348">
      <w:pPr>
        <w:spacing w:line="360" w:lineRule="auto"/>
      </w:pPr>
      <w:r w:rsidRPr="003C0842">
        <w:t xml:space="preserve">W kręgach antybrytyjskich raczej pamiętano niż otwarcie przypominano brutalną postawę Londynu w czasie walki Irlandczyków o niepodległość. Nasiliła się ona podczas I wojny światowej i była kontynuowana po jej zakończeniu. Kompromisem miało być podzielenie wyspy z odrębnymi rządami i parlamentami (chociaż ograniczonymi w kompetencjach) w Dublinie i Belfaście. Rozwiązanie to radykałowie irlandzcy odrzucili, </w:t>
      </w:r>
      <w:r w:rsidR="00695DF4" w:rsidRPr="003C0842">
        <w:t>kontynuując</w:t>
      </w:r>
      <w:r w:rsidRPr="003C0842">
        <w:t xml:space="preserve"> walkę </w:t>
      </w:r>
      <w:r w:rsidRPr="003C0842">
        <w:lastRenderedPageBreak/>
        <w:t>zbrojną, w której złą s</w:t>
      </w:r>
      <w:r w:rsidR="00EB1065" w:rsidRPr="003C0842">
        <w:t>ławę zdobyła brytyjska policja B</w:t>
      </w:r>
      <w:r w:rsidRPr="003C0842">
        <w:t xml:space="preserve">lack and Tans </w:t>
      </w:r>
      <w:r w:rsidR="00EB1065" w:rsidRPr="003C0842">
        <w:t>(</w:t>
      </w:r>
      <w:r w:rsidRPr="003C0842">
        <w:t>od czarno-brunatnych uniformów) rekrutowana głównie z weteranów wojennych.</w:t>
      </w:r>
    </w:p>
    <w:p w:rsidR="00212B99" w:rsidRPr="003C0842" w:rsidRDefault="00212B99" w:rsidP="00111348">
      <w:pPr>
        <w:spacing w:line="360" w:lineRule="auto"/>
      </w:pPr>
      <w:r w:rsidRPr="003C0842">
        <w:t xml:space="preserve">Jedną z wielu prób załagodzenia konfliktu i wyjścia z impasu było uchylenie w grudniu 1922 r. ustawy o autonomii Irlandii i powołanie Irish Free State (Wolne Państwo Irlandzkie) ze stolicą w Dublinie jako brytyjskie dominium. Północna część Irlandii, ze stolicą w Belfaście weszła w skład Wielkiej Brytanii jako autonomiczna prowincja z odrębnym parlamentem i rządem. </w:t>
      </w:r>
      <w:r w:rsidR="003354E7" w:rsidRPr="003C0842">
        <w:t>R</w:t>
      </w:r>
      <w:r w:rsidRPr="003C0842">
        <w:t>ozwiązani</w:t>
      </w:r>
      <w:r w:rsidR="003354E7" w:rsidRPr="003C0842">
        <w:t>e to</w:t>
      </w:r>
      <w:r w:rsidR="006C5A2F" w:rsidRPr="003C0842">
        <w:t xml:space="preserve"> nie uspokoiło</w:t>
      </w:r>
      <w:r w:rsidRPr="003C0842">
        <w:t xml:space="preserve"> sytuacji ani w historycznej prowincji Ulster, gdzie konflikt polityczny dopełniały walki między protestantami a dyskryminowaną mniejszością katolicką, ani w całej Irlandii, gdzie problem niepodległej jedności wyspy był stale aktualizowany.</w:t>
      </w:r>
    </w:p>
    <w:p w:rsidR="00212B99" w:rsidRPr="003C0842" w:rsidRDefault="00212B99" w:rsidP="00111348">
      <w:pPr>
        <w:spacing w:line="360" w:lineRule="auto"/>
      </w:pPr>
      <w:r w:rsidRPr="003C0842">
        <w:t>W tej ogólnej atmosferze rząd Irlandii 20 kwietnia 1923 r. złożył wniosek o przyjęcie do Ligi. Pozytywne głosowanie Zgromadzenia odbyło się już 10 września, w pierwszym tygodniu jego trwania</w:t>
      </w:r>
      <w:r w:rsidRPr="003C0842">
        <w:rPr>
          <w:rStyle w:val="Odwoanieprzypisudolnego"/>
          <w:rFonts w:ascii="Times New Roman" w:hAnsi="Times New Roman"/>
          <w:sz w:val="24"/>
        </w:rPr>
        <w:footnoteReference w:id="91"/>
      </w:r>
      <w:r w:rsidRPr="003C0842">
        <w:t xml:space="preserve">. </w:t>
      </w:r>
      <w:r w:rsidR="00695DF4" w:rsidRPr="003C0842">
        <w:t>Nowego członka reprezentował</w:t>
      </w:r>
      <w:r w:rsidRPr="003C0842">
        <w:t xml:space="preserve"> William Cosgrave</w:t>
      </w:r>
      <w:r w:rsidR="006C5A2F" w:rsidRPr="003C0842">
        <w:t>–</w:t>
      </w:r>
      <w:r w:rsidRPr="003C0842">
        <w:t xml:space="preserve"> katolik,</w:t>
      </w:r>
      <w:r w:rsidR="00695DF4" w:rsidRPr="003C0842">
        <w:t xml:space="preserve"> premier Tymczasowego Rządu Południowej Irlandii w 1922 r.,</w:t>
      </w:r>
      <w:r w:rsidRPr="003C0842">
        <w:t xml:space="preserve"> przez wiele lat związany z Sinn Fein</w:t>
      </w:r>
      <w:r w:rsidR="00695DF4" w:rsidRPr="003C0842">
        <w:t>.</w:t>
      </w:r>
    </w:p>
    <w:p w:rsidR="00212B99" w:rsidRPr="003C0842" w:rsidRDefault="00212B99" w:rsidP="00111348">
      <w:pPr>
        <w:spacing w:line="360" w:lineRule="auto"/>
      </w:pPr>
      <w:r w:rsidRPr="003C0842">
        <w:t>Frank P. Walters, długoletni, wysoki urzędnik Sekretariatu Ligi przez cały czas jej istnienia, w n</w:t>
      </w:r>
      <w:r w:rsidR="00716B66" w:rsidRPr="003C0842">
        <w:t>iezmiennie</w:t>
      </w:r>
      <w:r w:rsidRPr="003C0842">
        <w:t xml:space="preserve"> ważnej syntezie tej organizacji sprawie przyjęcia Irlandii poświęcił cztery wiersze. O Dominikanie w ogólne nie wspomniał</w:t>
      </w:r>
      <w:r w:rsidR="006C5A2F" w:rsidRPr="003C0842">
        <w:t>,</w:t>
      </w:r>
      <w:r w:rsidR="00E30B41">
        <w:t xml:space="preserve"> sądząc zapewn</w:t>
      </w:r>
      <w:r w:rsidRPr="003C0842">
        <w:t>e, że drugie po Kubie największe państwo na Morzu Karaibskim, zawsze jednak niewielkie (50 tys. km</w:t>
      </w:r>
      <w:r w:rsidRPr="003C0842">
        <w:rPr>
          <w:vertAlign w:val="superscript"/>
        </w:rPr>
        <w:t>2</w:t>
      </w:r>
      <w:r w:rsidRPr="003C0842">
        <w:t xml:space="preserve"> z milionową ludnością) było uważane za nieformalny protektorat Stanów Zjednoczonych, podobnie zresztą jak inne państwa będące członkami Ligi – Kuba, Haiti, Nikaragua</w:t>
      </w:r>
      <w:r w:rsidR="00695DF4" w:rsidRPr="003C0842">
        <w:t>,</w:t>
      </w:r>
      <w:r w:rsidRPr="003C0842">
        <w:t xml:space="preserve"> nie mówiąc o Panamie. Skoro wszystkie one znalazły się wśród pierwotnych członków, które podpisały pakt 28 czerwca 1919 r., to nie można było odrzucić prośby Dominikany. Pojawiła się ona 23 września 1924 r. Po kilku dniach 29 tegoż miesiąca odbyło się już jednomyślne głosowanie w Zgromadzeniu</w:t>
      </w:r>
      <w:r w:rsidRPr="003C0842">
        <w:rPr>
          <w:rStyle w:val="Odwoanieprzypisudolnego"/>
          <w:rFonts w:ascii="Times New Roman" w:hAnsi="Times New Roman"/>
          <w:sz w:val="24"/>
        </w:rPr>
        <w:footnoteReference w:id="92"/>
      </w:r>
      <w:r w:rsidRPr="003C0842">
        <w:t>.</w:t>
      </w:r>
    </w:p>
    <w:p w:rsidR="00212B99" w:rsidRPr="003C0842" w:rsidRDefault="00212B99" w:rsidP="00111348">
      <w:pPr>
        <w:spacing w:line="360" w:lineRule="auto"/>
      </w:pPr>
      <w:r w:rsidRPr="003C0842">
        <w:t xml:space="preserve">Zgodzić się trzeba, że z punktu widzenia syntezy dziejów LN wstąpienie Dominikany zasługuje jedynie na wzmiankę, podobnie jak przyjęcie Etiopii odnotowane w kilku wierszach. Wspomniany wyżej F.P. Walters zwrócił uwagę na obecność Etiopii w raportach różnych Komisji LN zajmujących się sprawami społecznymi i humanitarnymi, jako państwa dotkniętego </w:t>
      </w:r>
      <w:r w:rsidR="00EA165C" w:rsidRPr="003C0842">
        <w:t xml:space="preserve">pracą przymusową, </w:t>
      </w:r>
      <w:r w:rsidRPr="003C0842">
        <w:t xml:space="preserve">handlem ludźmi, niewolnictwem. Polityczną stronę zagadnienia uwypukla spór między mocarstwami europejskimi, w którym doszło do </w:t>
      </w:r>
      <w:r w:rsidRPr="003C0842">
        <w:lastRenderedPageBreak/>
        <w:t>okresowej, rzadkiej w dziejach nowożytnych współpracy francusko-włoskiej przeciwko koalicji brytyjskiej</w:t>
      </w:r>
      <w:r w:rsidRPr="003C0842">
        <w:rPr>
          <w:rStyle w:val="Odwoanieprzypisudolnego"/>
          <w:rFonts w:ascii="Times New Roman" w:hAnsi="Times New Roman"/>
          <w:sz w:val="24"/>
        </w:rPr>
        <w:footnoteReference w:id="93"/>
      </w:r>
      <w:r w:rsidRPr="003C0842">
        <w:t xml:space="preserve">. </w:t>
      </w:r>
    </w:p>
    <w:p w:rsidR="00593897" w:rsidRPr="003C0842" w:rsidRDefault="00212B99" w:rsidP="00111348">
      <w:pPr>
        <w:spacing w:line="360" w:lineRule="auto"/>
      </w:pPr>
      <w:r w:rsidRPr="003C0842">
        <w:t>Rywalizacja brytyjsko-włosko-francuska o Etiopię (ok</w:t>
      </w:r>
      <w:r w:rsidR="006C5A2F" w:rsidRPr="003C0842">
        <w:t xml:space="preserve">oło 1 </w:t>
      </w:r>
      <w:r w:rsidRPr="003C0842">
        <w:t>mln km²</w:t>
      </w:r>
      <w:r w:rsidR="00695DF4" w:rsidRPr="003C0842">
        <w:t>, ale tylko</w:t>
      </w:r>
      <w:r w:rsidRPr="003C0842">
        <w:t xml:space="preserve"> 8 mln ludzi) nabrała dodatkowego znaczenia, kiedy z początkiem XX w</w:t>
      </w:r>
      <w:r w:rsidR="006C5A2F" w:rsidRPr="003C0842">
        <w:t>.</w:t>
      </w:r>
      <w:r w:rsidRPr="003C0842">
        <w:t>do walki tej włączyły się Niemcy. Ten nadmiar pretendentów do posiadania kolejnej zdobyczy w Afryce ułatwił przetrwanie Etiopii jako państwa niepodległego. Włosi</w:t>
      </w:r>
      <w:r w:rsidR="00695DF4" w:rsidRPr="003C0842">
        <w:t>, stosunkowo aktywni w polityce kolonialnej, epatowali</w:t>
      </w:r>
      <w:r w:rsidRPr="003C0842">
        <w:t xml:space="preserve"> żąd</w:t>
      </w:r>
      <w:r w:rsidR="00695DF4" w:rsidRPr="003C0842">
        <w:t>zą</w:t>
      </w:r>
      <w:r w:rsidRPr="003C0842">
        <w:t xml:space="preserve"> pomszczenia sromotnej klęski „białego człowieka” i „chrześcijanina” pod Aduą (1896 r.)</w:t>
      </w:r>
      <w:r w:rsidR="00695DF4" w:rsidRPr="003C0842">
        <w:t>. P</w:t>
      </w:r>
      <w:r w:rsidRPr="003C0842">
        <w:t>rzypomina</w:t>
      </w:r>
      <w:r w:rsidR="00695DF4" w:rsidRPr="003C0842">
        <w:t>jąc</w:t>
      </w:r>
      <w:r w:rsidRPr="003C0842">
        <w:t xml:space="preserve"> o swych abisyńskich aspiracjach na konferencji pokojowej w Paryżu</w:t>
      </w:r>
      <w:r w:rsidR="00695DF4" w:rsidRPr="003C0842">
        <w:t>, p</w:t>
      </w:r>
      <w:r w:rsidRPr="003C0842">
        <w:t>owoływali się na pakt londyński podpisany 26 kwietnia 1915 r., w którym Francja, Wielka Brytania i Rosja zobowiązały się uznać „pewne słuszne kompensaty”, dotyczące przebiegu granic pomiędzy włoskimi koloniami Erytreą, Somalii i Libią</w:t>
      </w:r>
      <w:r w:rsidRPr="003C0842">
        <w:rPr>
          <w:rStyle w:val="Odwoanieprzypisudolnego"/>
          <w:rFonts w:ascii="Times New Roman" w:hAnsi="Times New Roman"/>
          <w:sz w:val="24"/>
        </w:rPr>
        <w:footnoteReference w:id="94"/>
      </w:r>
      <w:r w:rsidRPr="003C0842">
        <w:t xml:space="preserve">.Oczekiwaniu temu towarzyszyła oferta włoska skierowana do Londynu w sprawie szczególnej współpracy, obejmującej m.in. uzyskanie koncesji na budowę linii kolejowej łączącej Erytreę i Somali. Inicjatywa ta wywołała niepokój Francji, mającej nie tylko „swoje” Somalii, ale też największe wpływy ekonomiczne w Etiopii. </w:t>
      </w:r>
      <w:r w:rsidR="00593897" w:rsidRPr="003C0842">
        <w:t>W Paryżu</w:t>
      </w:r>
      <w:r w:rsidRPr="003C0842">
        <w:t xml:space="preserve"> szukała też pomocy misja etiopska wysłana </w:t>
      </w:r>
      <w:r w:rsidR="00593897" w:rsidRPr="003C0842">
        <w:t>tam</w:t>
      </w:r>
      <w:r w:rsidRPr="003C0842">
        <w:t xml:space="preserve"> w czasie trwania rozmów pokojowych 1919 r. Jednym z jej celów było włączenie Etiopii do Ligi Narodów. </w:t>
      </w:r>
      <w:r w:rsidR="006C5A2F" w:rsidRPr="003C0842">
        <w:t>P</w:t>
      </w:r>
      <w:r w:rsidRPr="003C0842">
        <w:t xml:space="preserve">rzeciwni byli temu Włosi, którzy podnosili wszechobecne niewolnictwo, prawo krwawej zemsty, prymitywną organizację państwa i władzy cywilnej. Cel swój osiągnęli. </w:t>
      </w:r>
      <w:r w:rsidR="002C7255" w:rsidRPr="003C0842">
        <w:t>P</w:t>
      </w:r>
      <w:r w:rsidRPr="003C0842">
        <w:t>roblem jednak powrócił w formie wniosku skierowanego do Genewy 1 sierpnia 1923 r. przez współrządzącego regenta</w:t>
      </w:r>
      <w:r w:rsidRPr="003C0842">
        <w:rPr>
          <w:rStyle w:val="Odwoanieprzypisudolnego"/>
          <w:rFonts w:ascii="Times New Roman" w:hAnsi="Times New Roman"/>
          <w:sz w:val="24"/>
        </w:rPr>
        <w:footnoteReference w:id="95"/>
      </w:r>
      <w:r w:rsidRPr="003C0842">
        <w:t xml:space="preserve">. </w:t>
      </w:r>
    </w:p>
    <w:p w:rsidR="00212B99" w:rsidRPr="003C0842" w:rsidRDefault="002C7255" w:rsidP="00C36A56">
      <w:pPr>
        <w:spacing w:line="360" w:lineRule="auto"/>
      </w:pPr>
      <w:r w:rsidRPr="003C0842">
        <w:t>Wzmogło to</w:t>
      </w:r>
      <w:r w:rsidR="00212B99" w:rsidRPr="003C0842">
        <w:t xml:space="preserve"> dyskusję </w:t>
      </w:r>
      <w:r w:rsidRPr="003C0842">
        <w:t>nad porządkiem IV Zgromadzenia, która ob</w:t>
      </w:r>
      <w:r w:rsidR="00212B99" w:rsidRPr="003C0842">
        <w:t>j</w:t>
      </w:r>
      <w:r w:rsidRPr="003C0842">
        <w:t>ęła</w:t>
      </w:r>
      <w:r w:rsidR="00212B99" w:rsidRPr="003C0842">
        <w:t xml:space="preserve"> wcześniej</w:t>
      </w:r>
      <w:r w:rsidRPr="003C0842">
        <w:t>sze</w:t>
      </w:r>
      <w:r w:rsidR="00212B99" w:rsidRPr="003C0842">
        <w:t xml:space="preserve"> zastrzeżenia odnośnie</w:t>
      </w:r>
      <w:r w:rsidR="006C5A2F" w:rsidRPr="003C0842">
        <w:t xml:space="preserve"> do</w:t>
      </w:r>
      <w:r w:rsidR="00212B99" w:rsidRPr="003C0842">
        <w:t xml:space="preserve"> kwalifikacji Etiopii jako członka Ligi.</w:t>
      </w:r>
      <w:r w:rsidR="00593897" w:rsidRPr="003C0842">
        <w:t xml:space="preserve"> Macchioro Vivalba, p</w:t>
      </w:r>
      <w:r w:rsidR="00212B99" w:rsidRPr="003C0842">
        <w:t>oseł włoski w Addis Abebie</w:t>
      </w:r>
      <w:r w:rsidR="006C5A2F" w:rsidRPr="003C0842">
        <w:t>,</w:t>
      </w:r>
      <w:r w:rsidR="00212B99" w:rsidRPr="003C0842">
        <w:t xml:space="preserve"> 6 sierpnia 1923 r. informował</w:t>
      </w:r>
      <w:r w:rsidR="00593897" w:rsidRPr="003C0842">
        <w:t xml:space="preserve"> Benito Mussoliniego,</w:t>
      </w:r>
      <w:r w:rsidR="00212B99" w:rsidRPr="003C0842">
        <w:t xml:space="preserve"> szefa rządu</w:t>
      </w:r>
      <w:r w:rsidR="00593897" w:rsidRPr="003C0842">
        <w:t xml:space="preserve"> i ministra spraw zagranicznych</w:t>
      </w:r>
      <w:r w:rsidR="00212B99" w:rsidRPr="003C0842">
        <w:t>, że nie wydaje mu się, aby wejście Etiopii do Ligi było dla Włoch korzystne. „Istnienie niewolnictwa w Etiopii jest jednak argumentem wystarczającym dla tego, aby podanie o przyjęcie nie było zaakceptowane”</w:t>
      </w:r>
      <w:r w:rsidR="00212B99" w:rsidRPr="003C0842">
        <w:rPr>
          <w:rStyle w:val="Odwoanieprzypisudolnego"/>
          <w:rFonts w:ascii="Times New Roman" w:hAnsi="Times New Roman"/>
          <w:sz w:val="24"/>
        </w:rPr>
        <w:footnoteReference w:id="96"/>
      </w:r>
      <w:r w:rsidR="00212B99" w:rsidRPr="003C0842">
        <w:t xml:space="preserve">. W podobnym duchu </w:t>
      </w:r>
      <w:r w:rsidR="00212B99" w:rsidRPr="003C0842">
        <w:lastRenderedPageBreak/>
        <w:t xml:space="preserve">zredagowany był raport </w:t>
      </w:r>
      <w:r w:rsidR="00CE5D8C">
        <w:rPr>
          <w:iCs/>
          <w:color w:val="333333"/>
        </w:rPr>
        <w:t>brytyjskiego Anti-Slavery S</w:t>
      </w:r>
      <w:r w:rsidR="00212B99" w:rsidRPr="003C0842">
        <w:rPr>
          <w:iCs/>
          <w:color w:val="333333"/>
        </w:rPr>
        <w:t xml:space="preserve">ociety, który od4 stycznia 1922 r. krążył po </w:t>
      </w:r>
      <w:r w:rsidR="00D10335" w:rsidRPr="003C0842">
        <w:rPr>
          <w:iCs/>
          <w:color w:val="333333"/>
        </w:rPr>
        <w:t>różnych</w:t>
      </w:r>
      <w:r w:rsidR="00212B99" w:rsidRPr="003C0842">
        <w:rPr>
          <w:iCs/>
          <w:color w:val="333333"/>
        </w:rPr>
        <w:t xml:space="preserve"> agendach Ligi i organizacjach społecznych, za wiedzą jego adresata</w:t>
      </w:r>
      <w:r w:rsidR="00164234" w:rsidRPr="003C0842">
        <w:rPr>
          <w:iCs/>
          <w:color w:val="333333"/>
        </w:rPr>
        <w:t>–</w:t>
      </w:r>
      <w:r w:rsidR="00212B99" w:rsidRPr="003C0842">
        <w:rPr>
          <w:iCs/>
          <w:color w:val="333333"/>
        </w:rPr>
        <w:t xml:space="preserve"> dyrektora Sekcji Mandatowej Williama E. Rapparda. Kreślił on nieprzyjazny obraz Etiopii określonej jako ostatnia wielka sadyba niewolnictwaw Afryce, a zapewne i na świecie</w:t>
      </w:r>
      <w:r w:rsidR="00212B99" w:rsidRPr="003C0842">
        <w:rPr>
          <w:rStyle w:val="Odwoanieprzypisudolnego"/>
          <w:rFonts w:ascii="Times New Roman" w:hAnsi="Times New Roman"/>
          <w:iCs/>
          <w:color w:val="333333"/>
          <w:sz w:val="24"/>
        </w:rPr>
        <w:footnoteReference w:id="97"/>
      </w:r>
      <w:r w:rsidR="00212B99" w:rsidRPr="003C0842">
        <w:rPr>
          <w:iCs/>
          <w:color w:val="333333"/>
        </w:rPr>
        <w:t>.</w:t>
      </w:r>
    </w:p>
    <w:p w:rsidR="00212B99" w:rsidRPr="003C0842" w:rsidRDefault="00212B99" w:rsidP="00111348">
      <w:pPr>
        <w:spacing w:line="360" w:lineRule="auto"/>
      </w:pPr>
      <w:r w:rsidRPr="003C0842">
        <w:t>Prowadzone w Genewie konsultacje wskazywały wyraźną przewagę zwolenników przyjęcia Etiopii. Problem przekazany przez Zgromadzenie do rozpatrzenia 6 Komisji doprowadził do ukształtowania się wyraźnej większości, w ramach której zarysował się alians francusko-włoski przeciwny stanowisku brytyjsko-australijskiemu. Spoiwem współpracy Paryża i Rzymu były brytyjskie plany przyłączenia do Sudanu zachodniej Etiopii, co miało im dodatkowo zabezpieczyć źródła Nilu Błękitnego.</w:t>
      </w:r>
    </w:p>
    <w:p w:rsidR="00212B99" w:rsidRPr="003C0842" w:rsidRDefault="00212B99" w:rsidP="00111348">
      <w:pPr>
        <w:spacing w:line="360" w:lineRule="auto"/>
      </w:pPr>
      <w:r w:rsidRPr="003C0842">
        <w:t>Obrady 6</w:t>
      </w:r>
      <w:r w:rsidR="006C5A2F" w:rsidRPr="003C0842">
        <w:t>.</w:t>
      </w:r>
      <w:r w:rsidRPr="003C0842">
        <w:t xml:space="preserve"> Komisji rozpoczęte 20 września 1923 r. skoncentrowały się na sprawie niewolnictwa oraz sytuacji ludności, której status społeczny oscylował między niewolnictwem a feudalno-pańszczyźnianym. Dostrzegając różną sytuację w rejonach bardziej zurbanizowanych</w:t>
      </w:r>
      <w:r w:rsidR="006C5A2F" w:rsidRPr="003C0842">
        <w:t>,</w:t>
      </w:r>
      <w:r w:rsidRPr="003C0842">
        <w:t xml:space="preserve"> np. stolicy, mówiono o handlu ludźmi w głębi kraju</w:t>
      </w:r>
      <w:r w:rsidR="002C7255" w:rsidRPr="003C0842">
        <w:t>,</w:t>
      </w:r>
      <w:r w:rsidRPr="003C0842">
        <w:t xml:space="preserve"> mimo zagrożenia</w:t>
      </w:r>
      <w:r w:rsidR="00593897" w:rsidRPr="003C0842">
        <w:t xml:space="preserve"> tego procederu</w:t>
      </w:r>
      <w:r w:rsidRPr="003C0842">
        <w:t xml:space="preserve"> karą śmierci. Zwłaszcza przedstawiciel Francji podkreślał potrzebę wzmożenia pomocy dla Etiopii kroczącej po drodze cywilizacyjnego rozwoju, </w:t>
      </w:r>
      <w:r w:rsidR="002C7255" w:rsidRPr="003C0842">
        <w:t xml:space="preserve">obejmującego również </w:t>
      </w:r>
      <w:r w:rsidRPr="003C0842">
        <w:t>definitywne zniesieni</w:t>
      </w:r>
      <w:r w:rsidR="002C7255" w:rsidRPr="003C0842">
        <w:t>e</w:t>
      </w:r>
      <w:r w:rsidRPr="003C0842">
        <w:t xml:space="preserve"> niewolnictwa. Rekomendacja 6</w:t>
      </w:r>
      <w:r w:rsidR="00B25D9A" w:rsidRPr="003C0842">
        <w:t>.</w:t>
      </w:r>
      <w:r w:rsidRPr="003C0842">
        <w:t xml:space="preserve"> Komisji została jednomyślnie przyjęta przez Zgromadzenie 28 września 1923 r.</w:t>
      </w:r>
      <w:r w:rsidRPr="003C0842">
        <w:rPr>
          <w:rStyle w:val="Odwoanieprzypisudolnego"/>
          <w:rFonts w:ascii="Times New Roman" w:hAnsi="Times New Roman"/>
          <w:sz w:val="24"/>
        </w:rPr>
        <w:footnoteReference w:id="98"/>
      </w:r>
      <w:r w:rsidRPr="003C0842">
        <w:t xml:space="preserve"> Decyzji tej towarzyszyło oczekiwanie, że rząd etiopski przyjmie specjalną deklarację, w której zobowiąże się do likwidacji niewolnictwa i będzie respektował w zakresie handlu bronią zasady konwencji przyjętej w Saint Germain 10 września 1919 r.</w:t>
      </w:r>
      <w:r w:rsidRPr="003C0842">
        <w:rPr>
          <w:rStyle w:val="Odwoanieprzypisudolnego"/>
          <w:rFonts w:ascii="Times New Roman" w:hAnsi="Times New Roman"/>
          <w:sz w:val="24"/>
        </w:rPr>
        <w:footnoteReference w:id="99"/>
      </w:r>
    </w:p>
    <w:p w:rsidR="00212B99" w:rsidRPr="003C0842" w:rsidRDefault="00212B99" w:rsidP="00111348">
      <w:pPr>
        <w:spacing w:line="360" w:lineRule="auto"/>
      </w:pPr>
      <w:r w:rsidRPr="003C0842">
        <w:t>Przezwyciężenie wątpliwości dotyczących kwalifikacji Etiopii na członka Ligi nie tyle zgodnie z wymogami Paktu</w:t>
      </w:r>
      <w:r w:rsidR="00B25D9A" w:rsidRPr="003C0842">
        <w:t>,</w:t>
      </w:r>
      <w:r w:rsidRPr="003C0842">
        <w:t xml:space="preserve"> ile precedensami oraz ukształtowaną już praktyką, było przede wszystkim zwycięstwem zwolenników uniwersalizacji instytucji genewskiej. Etiopia była de facto jedynym suwerennym państwem w Afryce, skutecznie opierającym się mocarstwom kolonialnym, nawet w bezpośredniej walce zbrojnej, jak tego doświadczyły Włochy w końcu XIX w. W grę wchodziła też elementarna nawet przyzwoitość skoro wśród członków założycieli Ligi znalazła się Liberia, całkowicie uzależniona </w:t>
      </w:r>
      <w:r w:rsidR="00B25D9A" w:rsidRPr="003C0842">
        <w:t>–</w:t>
      </w:r>
      <w:r w:rsidRPr="003C0842">
        <w:t xml:space="preserve"> nawet finansowo </w:t>
      </w:r>
      <w:r w:rsidR="00B25D9A" w:rsidRPr="003C0842">
        <w:t>–</w:t>
      </w:r>
      <w:r w:rsidRPr="003C0842">
        <w:t xml:space="preserve"> od Stanów </w:t>
      </w:r>
      <w:r w:rsidRPr="003C0842">
        <w:lastRenderedPageBreak/>
        <w:t>Zjednoczonych. Wiedziano też, że wyzwoleni niewolnicy amerykańscy, przenosząc się do Liberii, kopiowali własne doświadczenia. W odróżnieniu od tubylców nazywali się Amerykoliberyjczykami. Pozbawionych praw autochtonów wykorzystywali jak niewolników. Praktyka ta była wprawdzie osadzona w głębokiej tradycji Afryki, ale zasadniczo sprzeczna z treścią art. 23 Paktu, gdzie członkowie Ligi zobowiązani byli zapewnić i utrzymać „słuszne i ludzkie” warunki pracy dla mężczyzn, kobiet i dzieci, zarówno „na własnych terytoriach, jak i we wszystkich krajach, dokąd sięgają ich stosunki handlowe i przemysłowe”. Nadto jeszcze w artykule tym mówi się o obowiązku „słusznego obchodzenia się” z ludnością tubylczą. Widoczne odstępstwa od postanowień Paktu zachęcały do działania tych organizacji i osób, którzy niewolnictwo traktowali jako zło w sensie humanitarnym, cywilizacyjnym czy religijnym.</w:t>
      </w:r>
    </w:p>
    <w:p w:rsidR="00304FA7" w:rsidRPr="003C0842" w:rsidRDefault="00212B99" w:rsidP="00111348">
      <w:pPr>
        <w:spacing w:line="360" w:lineRule="auto"/>
      </w:pPr>
      <w:r w:rsidRPr="003C0842">
        <w:t>W</w:t>
      </w:r>
      <w:r w:rsidR="00304FA7" w:rsidRPr="003C0842">
        <w:t>arunkowe</w:t>
      </w:r>
      <w:r w:rsidR="00B76A58" w:rsidRPr="003C0842">
        <w:t>,w</w:t>
      </w:r>
      <w:r w:rsidRPr="003C0842">
        <w:t>pewnym sensie</w:t>
      </w:r>
      <w:r w:rsidR="00304FA7" w:rsidRPr="003C0842">
        <w:t>,</w:t>
      </w:r>
      <w:r w:rsidRPr="003C0842">
        <w:t xml:space="preserve"> przyjęcie Etiopii do Ligi spowodowało, że Rada Ligi</w:t>
      </w:r>
      <w:r w:rsidR="00F43845" w:rsidRPr="003C0842">
        <w:t xml:space="preserve">12 czerwca 1924 r. </w:t>
      </w:r>
      <w:r w:rsidRPr="003C0842">
        <w:t>powołała</w:t>
      </w:r>
      <w:r w:rsidR="00F43845" w:rsidRPr="003C0842">
        <w:t xml:space="preserve"> do życia tymczasową </w:t>
      </w:r>
      <w:r w:rsidR="008C771D" w:rsidRPr="003C0842">
        <w:t>k</w:t>
      </w:r>
      <w:r w:rsidRPr="003C0842">
        <w:t>omisję</w:t>
      </w:r>
      <w:r w:rsidR="00F43845" w:rsidRPr="003C0842">
        <w:t xml:space="preserve"> celem opracowania </w:t>
      </w:r>
      <w:r w:rsidR="00304FA7" w:rsidRPr="003C0842">
        <w:t>rap</w:t>
      </w:r>
      <w:r w:rsidR="00F43845" w:rsidRPr="003C0842">
        <w:t xml:space="preserve">ortu o niewolnictwie. Efekty pracy ogłoszone w połowie następnego roku potwierdzały obiegową wiedzę. Niewolnictwo, lub zbliżone formy zależności międzyludzkiej, </w:t>
      </w:r>
      <w:r w:rsidR="00304FA7" w:rsidRPr="003C0842">
        <w:t xml:space="preserve">było </w:t>
      </w:r>
      <w:r w:rsidR="00F43845" w:rsidRPr="003C0842">
        <w:t>zjawisk</w:t>
      </w:r>
      <w:r w:rsidR="00304FA7" w:rsidRPr="003C0842">
        <w:t>iem</w:t>
      </w:r>
      <w:r w:rsidR="00F43845" w:rsidRPr="003C0842">
        <w:t xml:space="preserve"> rozpowszechniony</w:t>
      </w:r>
      <w:r w:rsidR="00304FA7" w:rsidRPr="003C0842">
        <w:t>m</w:t>
      </w:r>
      <w:r w:rsidR="00F43845" w:rsidRPr="003C0842">
        <w:t xml:space="preserve">. Raport wymieniał z nazwy 19 państw i </w:t>
      </w:r>
      <w:r w:rsidR="00F373BC" w:rsidRPr="003C0842">
        <w:t>„</w:t>
      </w:r>
      <w:r w:rsidR="00F43845" w:rsidRPr="003C0842">
        <w:t xml:space="preserve">obszarów </w:t>
      </w:r>
      <w:r w:rsidR="00F373BC" w:rsidRPr="003C0842">
        <w:t xml:space="preserve">politycznych” </w:t>
      </w:r>
      <w:r w:rsidR="00F43845" w:rsidRPr="003C0842">
        <w:t>objętych tym procederem – m.in. Abisynię, Algierię, Chiny, Egipt, Erytreę,</w:t>
      </w:r>
      <w:r w:rsidR="00F373BC" w:rsidRPr="003C0842">
        <w:t>„Daleki Wschód”, Hedżas,</w:t>
      </w:r>
      <w:r w:rsidR="00065F3E" w:rsidRPr="003C0842">
        <w:t>Liberię</w:t>
      </w:r>
      <w:r w:rsidR="00F373BC" w:rsidRPr="003C0842">
        <w:t>, Libi</w:t>
      </w:r>
      <w:r w:rsidR="00065F3E" w:rsidRPr="003C0842">
        <w:t>ę</w:t>
      </w:r>
      <w:r w:rsidR="00F373BC" w:rsidRPr="003C0842">
        <w:t>, Maroko, Sahar</w:t>
      </w:r>
      <w:r w:rsidR="00065F3E" w:rsidRPr="003C0842">
        <w:t>ę</w:t>
      </w:r>
      <w:r w:rsidR="00F373BC" w:rsidRPr="003C0842">
        <w:t>, Somali, Sudan, Trypolis. Był to rejestr daleko niepełny dzięki aktywn</w:t>
      </w:r>
      <w:r w:rsidR="00065F3E" w:rsidRPr="003C0842">
        <w:t>ości</w:t>
      </w:r>
      <w:r w:rsidR="009C694A" w:rsidRPr="003C0842">
        <w:t>latynoamerykańskich</w:t>
      </w:r>
      <w:r w:rsidR="00F373BC" w:rsidRPr="003C0842">
        <w:t xml:space="preserve"> członków komisji. W rejestrze tym bowiem powinn</w:t>
      </w:r>
      <w:r w:rsidR="009C694A" w:rsidRPr="003C0842">
        <w:t>a</w:t>
      </w:r>
      <w:r w:rsidR="00F373BC" w:rsidRPr="003C0842">
        <w:t xml:space="preserve"> znaleźć się </w:t>
      </w:r>
      <w:r w:rsidR="009C694A" w:rsidRPr="003C0842">
        <w:t xml:space="preserve">większość państw tego regionu, w tym tak aktywnych członków Ligi Narodów jak </w:t>
      </w:r>
      <w:r w:rsidR="00F373BC" w:rsidRPr="003C0842">
        <w:t xml:space="preserve">Brazylia, Boliwia, a zwłaszcza Peru, gdzie funkcjonowały nawet prywatne więzienia dla </w:t>
      </w:r>
      <w:r w:rsidR="009C694A" w:rsidRPr="003C0842">
        <w:t>dłużników</w:t>
      </w:r>
      <w:r w:rsidR="00164234" w:rsidRPr="003C0842">
        <w:t>–</w:t>
      </w:r>
      <w:r w:rsidR="00304FA7" w:rsidRPr="003C0842">
        <w:t xml:space="preserve"> głównieniewypłacalnych</w:t>
      </w:r>
      <w:r w:rsidR="00065F3E" w:rsidRPr="003C0842">
        <w:t>, a krnąbrnych</w:t>
      </w:r>
      <w:r w:rsidR="00304FA7" w:rsidRPr="003C0842">
        <w:t>dzierżawców</w:t>
      </w:r>
      <w:r w:rsidR="009C694A" w:rsidRPr="003C0842">
        <w:t>.</w:t>
      </w:r>
      <w:r w:rsidR="00B22739" w:rsidRPr="003C0842">
        <w:t xml:space="preserve">Raport negliżował </w:t>
      </w:r>
      <w:r w:rsidR="008D2915" w:rsidRPr="003C0842">
        <w:t>wcale nie marginalny</w:t>
      </w:r>
      <w:r w:rsidR="00B22739" w:rsidRPr="003C0842">
        <w:t xml:space="preserve"> w ówczesnym świeciesystem </w:t>
      </w:r>
      <w:r w:rsidR="00B22739" w:rsidRPr="003C0842">
        <w:rPr>
          <w:i/>
        </w:rPr>
        <w:t>peonage</w:t>
      </w:r>
      <w:r w:rsidR="00B22739" w:rsidRPr="003C0842">
        <w:t xml:space="preserve"> – niewolnictwo z</w:t>
      </w:r>
      <w:r w:rsidR="00B25D9A" w:rsidRPr="003C0842">
        <w:t xml:space="preserve">a długi oraz </w:t>
      </w:r>
      <w:r w:rsidR="00B22739" w:rsidRPr="003C0842">
        <w:rPr>
          <w:i/>
        </w:rPr>
        <w:t>pawning</w:t>
      </w:r>
      <w:r w:rsidR="00B22739" w:rsidRPr="003C0842">
        <w:t xml:space="preserve"> – niewolnictwo w efekcie zastawu lombardowego.</w:t>
      </w:r>
      <w:r w:rsidR="008D2915" w:rsidRPr="003C0842">
        <w:t>Nie dotyczył on tylko państw arabskich, azjatyckich, afrykańskich czy latynoamerykańskich. Był on obecny także na Bałkanach i we Włoszech</w:t>
      </w:r>
      <w:r w:rsidR="00B25D9A" w:rsidRPr="003C0842">
        <w:t>,</w:t>
      </w:r>
      <w:r w:rsidR="008D2915" w:rsidRPr="003C0842">
        <w:t xml:space="preserve"> gdzie funkcjonowała dzierżawa za połowę zbiorów oraz w Stanach Zjednoczonych</w:t>
      </w:r>
      <w:r w:rsidR="008D2915" w:rsidRPr="003C0842">
        <w:rPr>
          <w:rStyle w:val="Odwoanieprzypisudolnego"/>
          <w:rFonts w:ascii="Times New Roman" w:hAnsi="Times New Roman"/>
          <w:sz w:val="24"/>
        </w:rPr>
        <w:footnoteReference w:id="100"/>
      </w:r>
      <w:r w:rsidR="008D2915" w:rsidRPr="003C0842">
        <w:t>.</w:t>
      </w:r>
      <w:r w:rsidR="00E42FCB" w:rsidRPr="003C0842">
        <w:t>„</w:t>
      </w:r>
      <w:r w:rsidR="008D2915" w:rsidRPr="003C0842">
        <w:t>Pożyczkodawcami</w:t>
      </w:r>
      <w:r w:rsidR="00E42FCB" w:rsidRPr="003C0842">
        <w:t>”</w:t>
      </w:r>
      <w:r w:rsidR="008D2915" w:rsidRPr="003C0842">
        <w:t xml:space="preserve"> byli najczęściej</w:t>
      </w:r>
      <w:r w:rsidR="00E42FCB" w:rsidRPr="003C0842">
        <w:t xml:space="preserve"> latyfundy</w:t>
      </w:r>
      <w:r w:rsidR="00CA35B9" w:rsidRPr="003C0842">
        <w:t>ści</w:t>
      </w:r>
      <w:r w:rsidR="00E42FCB" w:rsidRPr="003C0842">
        <w:t xml:space="preserve">, </w:t>
      </w:r>
      <w:r w:rsidR="00D57242" w:rsidRPr="003C0842">
        <w:t>plantator</w:t>
      </w:r>
      <w:r w:rsidR="00CA35B9" w:rsidRPr="003C0842">
        <w:t>zy</w:t>
      </w:r>
      <w:r w:rsidR="00D57242" w:rsidRPr="003C0842">
        <w:t xml:space="preserve">, </w:t>
      </w:r>
      <w:r w:rsidR="00E42FCB" w:rsidRPr="003C0842">
        <w:t>właściciel</w:t>
      </w:r>
      <w:r w:rsidR="00CA35B9" w:rsidRPr="003C0842">
        <w:t>e</w:t>
      </w:r>
      <w:r w:rsidR="00D57242" w:rsidRPr="003C0842">
        <w:t xml:space="preserve"> dużych majątków ziemskich</w:t>
      </w:r>
      <w:r w:rsidR="00CA35B9" w:rsidRPr="003C0842">
        <w:t xml:space="preserve">, </w:t>
      </w:r>
      <w:r w:rsidR="00304FA7" w:rsidRPr="003C0842">
        <w:t xml:space="preserve">kopalń, </w:t>
      </w:r>
      <w:r w:rsidR="00244388" w:rsidRPr="003C0842">
        <w:t>właściciel</w:t>
      </w:r>
      <w:r w:rsidR="00CA35B9" w:rsidRPr="003C0842">
        <w:t>e k</w:t>
      </w:r>
      <w:r w:rsidR="00D57242" w:rsidRPr="003C0842">
        <w:t xml:space="preserve">as pożyczkowo-pomocowych itp. </w:t>
      </w:r>
      <w:r w:rsidR="008D2915" w:rsidRPr="003C0842">
        <w:t xml:space="preserve">Mocno osadzeni i powiązani z </w:t>
      </w:r>
      <w:r w:rsidR="00D33139" w:rsidRPr="003C0842">
        <w:t>ludźmi</w:t>
      </w:r>
      <w:r w:rsidR="008D2915" w:rsidRPr="003C0842">
        <w:t xml:space="preserve"> lokalnej władzy, </w:t>
      </w:r>
      <w:r w:rsidR="00D33139" w:rsidRPr="003C0842">
        <w:t>sięgaj</w:t>
      </w:r>
      <w:r w:rsidR="00065F3E" w:rsidRPr="003C0842">
        <w:t xml:space="preserve">ąc do zwyczajów i </w:t>
      </w:r>
      <w:r w:rsidR="008D2915" w:rsidRPr="003C0842">
        <w:t xml:space="preserve">tradycji </w:t>
      </w:r>
      <w:r w:rsidR="00065F3E" w:rsidRPr="003C0842">
        <w:t>oraz</w:t>
      </w:r>
      <w:r w:rsidR="008D2915" w:rsidRPr="003C0842">
        <w:t xml:space="preserve"> miejscowych </w:t>
      </w:r>
      <w:r w:rsidR="00065F3E" w:rsidRPr="003C0842">
        <w:t>warunkach,</w:t>
      </w:r>
      <w:r w:rsidR="00CA35B9" w:rsidRPr="003C0842">
        <w:t>żerowali na ludzkim nieszczęściu, łatwowierności, nieporadności</w:t>
      </w:r>
      <w:r w:rsidR="00FC7F7F" w:rsidRPr="003C0842">
        <w:t>, biedzie</w:t>
      </w:r>
      <w:r w:rsidR="00CA35B9" w:rsidRPr="003C0842">
        <w:t xml:space="preserve">. </w:t>
      </w:r>
      <w:r w:rsidR="008D2915" w:rsidRPr="003C0842">
        <w:t>Ich pomysłowość</w:t>
      </w:r>
      <w:r w:rsidR="00CA35B9" w:rsidRPr="003C0842">
        <w:t xml:space="preserve">, </w:t>
      </w:r>
      <w:r w:rsidR="00D57242" w:rsidRPr="003C0842">
        <w:t xml:space="preserve">nie miała granic wprzekuwanie długu, zastawu, </w:t>
      </w:r>
      <w:r w:rsidR="00D57242" w:rsidRPr="003C0842">
        <w:lastRenderedPageBreak/>
        <w:t>zaległości dzierżawnej w różne zobowiązania, ograniczające wolność „peona” lub jego rodziny – dzieci,</w:t>
      </w:r>
      <w:r w:rsidR="00FC7F7F" w:rsidRPr="003C0842">
        <w:t xml:space="preserve"> zwłaszcza dziewczynek,</w:t>
      </w:r>
      <w:r w:rsidR="00D57242" w:rsidRPr="003C0842">
        <w:t xml:space="preserve"> nieraz krewnych.</w:t>
      </w:r>
      <w:r w:rsidR="00244388" w:rsidRPr="003C0842">
        <w:t xml:space="preserve"> Wyrwanie się z dłużnicze</w:t>
      </w:r>
      <w:r w:rsidR="00FC7F7F" w:rsidRPr="003C0842">
        <w:t>go kieratu</w:t>
      </w:r>
      <w:r w:rsidR="00244388" w:rsidRPr="003C0842">
        <w:t xml:space="preserve"> było niezwykle trudne. W niewoli rodziły się kolejne pokolenia „peonów”. </w:t>
      </w:r>
    </w:p>
    <w:p w:rsidR="00BD56B3" w:rsidRDefault="00244388" w:rsidP="00111348">
      <w:pPr>
        <w:spacing w:line="360" w:lineRule="auto"/>
      </w:pPr>
      <w:r w:rsidRPr="003C0842">
        <w:t xml:space="preserve">Z punktu widzenia losu osoby zadłużonej rozgraniczenie </w:t>
      </w:r>
      <w:r w:rsidR="00D33139" w:rsidRPr="003C0842">
        <w:t>m</w:t>
      </w:r>
      <w:r w:rsidRPr="003C0842">
        <w:t xml:space="preserve">iędzy </w:t>
      </w:r>
      <w:r w:rsidRPr="003C0842">
        <w:rPr>
          <w:i/>
        </w:rPr>
        <w:t>peonage</w:t>
      </w:r>
      <w:r w:rsidRPr="003C0842">
        <w:t xml:space="preserve">, </w:t>
      </w:r>
      <w:r w:rsidRPr="003C0842">
        <w:rPr>
          <w:i/>
        </w:rPr>
        <w:t>pawning</w:t>
      </w:r>
      <w:r w:rsidRPr="003C0842">
        <w:t xml:space="preserve"> a niewolnictwem było i nadal jest niejednoznaczne i mało ostre</w:t>
      </w:r>
      <w:r w:rsidRPr="003C0842">
        <w:rPr>
          <w:rStyle w:val="Odwoanieprzypisudolnego"/>
          <w:rFonts w:ascii="Times New Roman" w:hAnsi="Times New Roman"/>
          <w:sz w:val="24"/>
        </w:rPr>
        <w:footnoteReference w:id="101"/>
      </w:r>
      <w:r w:rsidRPr="003C0842">
        <w:t>.</w:t>
      </w:r>
      <w:r w:rsidR="00304FA7" w:rsidRPr="003C0842">
        <w:t xml:space="preserve"> Widać to </w:t>
      </w:r>
      <w:r w:rsidR="00CA35B9" w:rsidRPr="003C0842">
        <w:t xml:space="preserve">także w </w:t>
      </w:r>
      <w:r w:rsidR="00212B99" w:rsidRPr="003C0842">
        <w:t>konwencji prze</w:t>
      </w:r>
      <w:r w:rsidR="00F43845" w:rsidRPr="003C0842">
        <w:t>głosowan</w:t>
      </w:r>
      <w:r w:rsidR="00CA35B9" w:rsidRPr="003C0842">
        <w:t xml:space="preserve">ej </w:t>
      </w:r>
      <w:r w:rsidR="00F43845" w:rsidRPr="003C0842">
        <w:t>na</w:t>
      </w:r>
      <w:r w:rsidR="00212B99" w:rsidRPr="003C0842">
        <w:t xml:space="preserve"> VII Zgromadzeni</w:t>
      </w:r>
      <w:r w:rsidR="00F43845" w:rsidRPr="003C0842">
        <w:t>u</w:t>
      </w:r>
      <w:r w:rsidR="00212B99" w:rsidRPr="003C0842">
        <w:t xml:space="preserve"> 25 września 1926 r. </w:t>
      </w:r>
      <w:r w:rsidR="00D33139" w:rsidRPr="003C0842">
        <w:t>Określano w niej pojęcie niewolnictwa jako stan jednostki „wynikajmy z prawa wolności”. Obejmuje zaś wszelkie pojmanie, nabycie lub odstąpienie, każdy rodzaj handlu lub przewozu niewolników. Państwa podpisujące i ratyfikujące konwencjęzobowiązały się zapobiegać handlu i dążyć do jego „całkowitego usunięcia, pod wszelkimi postaciami</w:t>
      </w:r>
      <w:r w:rsidR="00B25D9A" w:rsidRPr="003C0842">
        <w:t>[…]</w:t>
      </w:r>
      <w:r w:rsidR="00212B99" w:rsidRPr="003C0842">
        <w:t xml:space="preserve"> w sposób najbardziej skuteczny i w najkrótszym czasie” – art. 2)</w:t>
      </w:r>
      <w:r w:rsidR="00D33139" w:rsidRPr="003C0842">
        <w:t>. Konwencja</w:t>
      </w:r>
      <w:r w:rsidR="00212B99" w:rsidRPr="003C0842">
        <w:t xml:space="preserve"> zakazywała</w:t>
      </w:r>
      <w:r w:rsidR="00D33139" w:rsidRPr="003C0842">
        <w:t xml:space="preserve"> też</w:t>
      </w:r>
      <w:r w:rsidR="00212B99" w:rsidRPr="003C0842">
        <w:t xml:space="preserve"> pracy przymusowej, która pociągałaby za sobą „warunki równoznaczne z niewolnictwem”</w:t>
      </w:r>
      <w:r w:rsidR="00314D32" w:rsidRPr="003C0842">
        <w:t xml:space="preserve"> (art. 5)</w:t>
      </w:r>
      <w:r w:rsidR="00212B99" w:rsidRPr="003C0842">
        <w:rPr>
          <w:rStyle w:val="Odwoanieprzypisudolnego"/>
          <w:rFonts w:ascii="Times New Roman" w:hAnsi="Times New Roman"/>
          <w:sz w:val="24"/>
        </w:rPr>
        <w:footnoteReference w:id="102"/>
      </w:r>
      <w:r w:rsidR="00212B99" w:rsidRPr="003C0842">
        <w:t>.</w:t>
      </w:r>
    </w:p>
    <w:p w:rsidR="00212B99" w:rsidRPr="003C0842" w:rsidRDefault="00212B99" w:rsidP="00111348">
      <w:pPr>
        <w:spacing w:line="360" w:lineRule="auto"/>
      </w:pPr>
      <w:r w:rsidRPr="003C0842">
        <w:t xml:space="preserve">Podjęty przy okazji wstąpienia Etiopii do LN problem niewolnictwa i pracy przymusowej, aczkolwiek obecny na forum międzynarodowym </w:t>
      </w:r>
      <w:r w:rsidR="00FC7F7F" w:rsidRPr="003C0842">
        <w:t>przez wieki</w:t>
      </w:r>
      <w:r w:rsidRPr="003C0842">
        <w:t>, należał do tych kwestii, które przeżyły instytucje próbujące je zlikwidować</w:t>
      </w:r>
      <w:r w:rsidRPr="003C0842">
        <w:rPr>
          <w:rStyle w:val="Odwoanieprzypisudolnego"/>
          <w:rFonts w:ascii="Times New Roman" w:hAnsi="Times New Roman"/>
          <w:sz w:val="24"/>
        </w:rPr>
        <w:footnoteReference w:id="103"/>
      </w:r>
      <w:r w:rsidRPr="003C0842">
        <w:t>.</w:t>
      </w:r>
      <w:r w:rsidR="00FC7F7F" w:rsidRPr="003C0842">
        <w:t xml:space="preserve"> Niemniej jednak pojawienie się nowych</w:t>
      </w:r>
      <w:r w:rsidRPr="003C0842">
        <w:t xml:space="preserve"> członk</w:t>
      </w:r>
      <w:r w:rsidR="00FC7F7F" w:rsidRPr="003C0842">
        <w:t>ów</w:t>
      </w:r>
      <w:r w:rsidRPr="003C0842">
        <w:t xml:space="preserve">, </w:t>
      </w:r>
      <w:r w:rsidR="00FC7F7F" w:rsidRPr="003C0842">
        <w:t xml:space="preserve">z których </w:t>
      </w:r>
      <w:r w:rsidRPr="003C0842">
        <w:t xml:space="preserve">każdy </w:t>
      </w:r>
      <w:r w:rsidR="00FC7F7F" w:rsidRPr="003C0842">
        <w:t xml:space="preserve">był </w:t>
      </w:r>
      <w:r w:rsidRPr="003C0842">
        <w:t xml:space="preserve">z jakiegoś powodu egzotyczny lub stygmatyzowany, stanowił sam w sobie </w:t>
      </w:r>
      <w:r w:rsidR="00644E07" w:rsidRPr="003C0842">
        <w:t xml:space="preserve">ważny </w:t>
      </w:r>
      <w:r w:rsidRPr="003C0842">
        <w:t>fakt</w:t>
      </w:r>
      <w:r w:rsidR="00314D32" w:rsidRPr="003C0842">
        <w:t>,</w:t>
      </w:r>
      <w:r w:rsidRPr="003C0842">
        <w:t xml:space="preserve"> odnotowany w historii Ligi jako</w:t>
      </w:r>
      <w:r w:rsidR="00FC7F7F" w:rsidRPr="003C0842">
        <w:t xml:space="preserve">instytucji. Jawiła się ona, bardziej niż wcześniej, jako </w:t>
      </w:r>
      <w:r w:rsidR="00644E07" w:rsidRPr="003C0842">
        <w:t xml:space="preserve">stowarzyszenie </w:t>
      </w:r>
      <w:r w:rsidR="00FC7F7F" w:rsidRPr="003C0842">
        <w:t>o uniwersalnych ambicjach, także w sensie wielokulturowym</w:t>
      </w:r>
      <w:r w:rsidR="00644E07" w:rsidRPr="003C0842">
        <w:t xml:space="preserve"> i wielorasowym</w:t>
      </w:r>
      <w:r w:rsidRPr="003C0842">
        <w:t xml:space="preserve">. </w:t>
      </w:r>
      <w:r w:rsidR="00644E07" w:rsidRPr="003C0842">
        <w:t xml:space="preserve">Otwarcie tego procesu nie było łatwe, ani bezdyskusyjne. </w:t>
      </w:r>
      <w:r w:rsidRPr="003C0842">
        <w:t>Delegacja etiopska – „ciemnoskórzy i brodaci” ubrani w „egzotyczne stroje” – wywoływała sensację nie tylko ulicy, ale też dystyngowanych dyplomatów. Pojawiły się anegdoty, w których „wyśmiewano nowych kolegów ligowych jako dzikusów i niemal ludożerców”</w:t>
      </w:r>
      <w:r w:rsidRPr="003C0842">
        <w:rPr>
          <w:rStyle w:val="Odwoanieprzypisudolnego"/>
          <w:rFonts w:ascii="Times New Roman" w:hAnsi="Times New Roman"/>
          <w:sz w:val="24"/>
        </w:rPr>
        <w:footnoteReference w:id="104"/>
      </w:r>
      <w:r w:rsidRPr="003C0842">
        <w:t>.</w:t>
      </w:r>
    </w:p>
    <w:p w:rsidR="00212B99" w:rsidRPr="003C0842" w:rsidRDefault="00212B99" w:rsidP="00111348">
      <w:pPr>
        <w:spacing w:line="360" w:lineRule="auto"/>
      </w:pPr>
      <w:r w:rsidRPr="003C0842">
        <w:t>Trudno zlekceważyć tę obserwację, zrozumiałą</w:t>
      </w:r>
      <w:r w:rsidR="00B25D9A" w:rsidRPr="003C0842">
        <w:t>,</w:t>
      </w:r>
      <w:r w:rsidRPr="003C0842">
        <w:t xml:space="preserve"> jeśli zważyć rozgłos</w:t>
      </w:r>
      <w:r w:rsidR="00B25D9A" w:rsidRPr="003C0842">
        <w:t>,</w:t>
      </w:r>
      <w:r w:rsidRPr="003C0842">
        <w:t xml:space="preserve"> z jakim wspomniane przyjęcia spotkały się w sensie społecznym. Mimo silnie podkreślanego przez Ligę egalitaryzmu decyzje te z trudem przebijały się do świadomości i codziennej praktyki. Z równością rasową cywilizacja – tak europejska, jak i amerykańska, ale i każda inna</w:t>
      </w:r>
      <w:r w:rsidR="00164234" w:rsidRPr="003C0842">
        <w:t>–</w:t>
      </w:r>
      <w:r w:rsidRPr="003C0842">
        <w:t xml:space="preserve"> nie </w:t>
      </w:r>
      <w:r w:rsidRPr="003C0842">
        <w:lastRenderedPageBreak/>
        <w:t>bardzo sobie radziły przez wieki, tak w skali makro</w:t>
      </w:r>
      <w:r w:rsidR="00B25D9A" w:rsidRPr="003C0842">
        <w:t>,</w:t>
      </w:r>
      <w:r w:rsidRPr="003C0842">
        <w:t xml:space="preserve"> jak i mikro. Strasznych i nieludzkich przykładów dostarczały także narody z najwyższej cywilizacyjnej „półki”. Zasiadanie w tej samej sali, korzystanie z analogicznego sprzętu będącego dobrem wspólnym itp. </w:t>
      </w:r>
      <w:r w:rsidR="00B25D9A" w:rsidRPr="003C0842">
        <w:t xml:space="preserve">To sytuacje </w:t>
      </w:r>
      <w:r w:rsidRPr="003C0842">
        <w:t>w pewnych rejonach świata nieprzezwyciężalna trudność, niezależnie od ustanowionego prawa, rządowych deklaracji, religijnych wskazówek, apeli organizacji i ludzi „dobrej woli”. Ten szeroki problem miał też swoje reperkusje polityczne, nieraz pośrednie, zwykle kamuflowane. Wiąza</w:t>
      </w:r>
      <w:r w:rsidR="00593897" w:rsidRPr="003C0842">
        <w:t>ć je trzeba</w:t>
      </w:r>
      <w:r w:rsidRPr="003C0842">
        <w:t xml:space="preserve"> z powszechnym przekonaniem o nierówności, które dotyczyło tak ludzi jak i państw. Obywatel zwłaszcza z „nowego świata” przekonany o swej wyższości i wyjątkowości utwierdzał się wizolacjonizmie, skoro pod skrzydła Ligi, i to na równych prawach wprowadzano ludy kolorowe. Obok Chińczyków, Japończyków, Hindusów, mieszkańców Syjamu (ogólnie pogardzanych „żółtków”) do areopagu genewskiego wprowadzono przedstawicieli półdzikich plemion etiopskich. </w:t>
      </w:r>
    </w:p>
    <w:p w:rsidR="00212B99" w:rsidRPr="003C0842" w:rsidRDefault="00212B99" w:rsidP="00111348">
      <w:pPr>
        <w:spacing w:line="360" w:lineRule="auto"/>
      </w:pPr>
      <w:r w:rsidRPr="003C0842">
        <w:t>Jednocześnie wszechstronnej opiece ze strony Stanów Zjednoczonych, także finansowej, swą obecność na konferencji pokojowej w Paryżu zawdzięczała Liberia. Dzięki pomocy amerykańskich filantropów, chociaż także sięgającej XIX w</w:t>
      </w:r>
      <w:r w:rsidR="00B25D9A" w:rsidRPr="003C0842">
        <w:t>.</w:t>
      </w:r>
      <w:r w:rsidRPr="003C0842">
        <w:t xml:space="preserve">rywalizacji między mocarstwami, była ona jedynym samodzielnym państwem czarnej Afryki wymienionym w Pakcie LN. Zaliczenie Liberii do grupy „pierwotnych członków” Ligii, wymienionych w Aneksie do Paktu przed „państwami zaproszonymi” (jak cała Skandynawia, Holandia czy Szwajcaria) było kontestowane, zwłaszcza ze strony Afryki Południowej, obecnej w Genewie jako część składowa Imperium Brytyjskiego. Wbrew nazwie, intencjonalnie nawiązującej do określenia łacińskiego, wolność w Liberii została zarezerwowana dla przybywających z Ameryki, wyzwolonych Murzynów. Dziejowym dramatem było to, że przybysze z „nowego świata” doświadczenia swej niewolniczej doli przenosili na tubylców, zepchniętych na margines i pozbawionych elementarnych praw. </w:t>
      </w:r>
      <w:r w:rsidR="00644E07" w:rsidRPr="003C0842">
        <w:t xml:space="preserve">Przez wiele lat wytykano władzom Liberii funkcjonowanie </w:t>
      </w:r>
      <w:r w:rsidR="00E806A3" w:rsidRPr="003C0842">
        <w:t xml:space="preserve">w tym kraju </w:t>
      </w:r>
      <w:r w:rsidR="00644E07" w:rsidRPr="003C0842">
        <w:t>niewolnictwa za długi (peonage) lub dawanie w zastaw córek czy synów, nieraz krewnych.</w:t>
      </w:r>
    </w:p>
    <w:p w:rsidR="00BD56B3" w:rsidRDefault="00212B99" w:rsidP="00111348">
      <w:pPr>
        <w:spacing w:line="360" w:lineRule="auto"/>
      </w:pPr>
      <w:r w:rsidRPr="003C0842">
        <w:t xml:space="preserve">Już podczas trwania wojny odwoływanie się do rozwiązania zastosowanego w Liberii rozpalało wyobraźnię czarnych Amerykanów odwołujących się do wilsonowskiego hasła samostanowienia o swoim losie. Obecny w Stanach Zjednoczonych ruch </w:t>
      </w:r>
      <w:r w:rsidRPr="003C0842">
        <w:rPr>
          <w:i/>
        </w:rPr>
        <w:t>Back to Africa</w:t>
      </w:r>
      <w:r w:rsidRPr="003C0842">
        <w:t>, odnosił go nie tyle do narodów, ile ras. Ruch ten o nazwie Universal Negro Improvement Association (UNIA) zdobył licznych entuzjastów, ale i zapiekłych wrogów. Przewodził mu Markus Garvey, działacz murzyński, urodzony na Jamajce, nazywany „czarnym Mesjaszem</w:t>
      </w:r>
      <w:r w:rsidR="00B25D9A" w:rsidRPr="003C0842">
        <w:t>”. Hasłom zjednoczenia 400 mln M</w:t>
      </w:r>
      <w:r w:rsidRPr="003C0842">
        <w:t xml:space="preserve">urzynów, walki o poprawę ich sytuacjiod społecznej i gospodarczej po polityczną, towarzyszyło żądanie „międzyrasowego współistnienia”, ale z </w:t>
      </w:r>
      <w:r w:rsidRPr="003C0842">
        <w:lastRenderedPageBreak/>
        <w:t xml:space="preserve">nadrzędnością </w:t>
      </w:r>
      <w:r w:rsidRPr="003C0842">
        <w:rPr>
          <w:i/>
        </w:rPr>
        <w:t>Afryki dla Afrykanów</w:t>
      </w:r>
      <w:r w:rsidRPr="003C0842">
        <w:t>. Kładziono nacisk na działalność samopomocową, a zwłaszcza edukację, którą uważano za fundament efektywnego zrównania ludzi rożnyc</w:t>
      </w:r>
      <w:r w:rsidR="00B25D9A" w:rsidRPr="003C0842">
        <w:t>h ras. Burzliwy życiorys Garvey</w:t>
      </w:r>
      <w:r w:rsidRPr="003C0842">
        <w:t>a</w:t>
      </w:r>
      <w:r w:rsidR="008F5326" w:rsidRPr="003C0842">
        <w:t>,</w:t>
      </w:r>
      <w:r w:rsidRPr="003C0842">
        <w:t xml:space="preserve"> obejmujący operacje finansowe na wielką skalę, międzynarodowe inicjatywy gospodarcze, represje i więzienie, deportacje, a nawet próby sekretnego porozumienia się z Ku</w:t>
      </w:r>
      <w:r w:rsidR="00B25D9A" w:rsidRPr="003C0842">
        <w:t>-</w:t>
      </w:r>
      <w:r w:rsidRPr="003C0842">
        <w:t>Klux</w:t>
      </w:r>
      <w:r w:rsidR="00B25D9A" w:rsidRPr="003C0842">
        <w:t>-</w:t>
      </w:r>
      <w:r w:rsidRPr="003C0842">
        <w:t xml:space="preserve">Klanem, zdominowany był nadzieją na zrozumienie ze strony innych ludzi. </w:t>
      </w:r>
      <w:r w:rsidR="003C233D" w:rsidRPr="003C0842">
        <w:t>Głoszone prz</w:t>
      </w:r>
      <w:r w:rsidR="008F5326" w:rsidRPr="003C0842">
        <w:t>ez</w:t>
      </w:r>
      <w:r w:rsidR="003C233D" w:rsidRPr="003C0842">
        <w:t xml:space="preserve"> UNIA kredo było proste: j</w:t>
      </w:r>
      <w:r w:rsidRPr="003C0842">
        <w:t xml:space="preserve">eśli uważasz, że Murzyn ma duszę, jeśli </w:t>
      </w:r>
      <w:r w:rsidR="003C233D" w:rsidRPr="003C0842">
        <w:t xml:space="preserve">wiesz, że </w:t>
      </w:r>
      <w:r w:rsidRPr="003C0842">
        <w:t>został obdarzony przez Stwórcę takimi samymi zmysłami jak inni ludzie, to musisz przyznać, że Murzyn może zrobić to samo</w:t>
      </w:r>
      <w:r w:rsidR="00B25D9A" w:rsidRPr="003C0842">
        <w:t>,</w:t>
      </w:r>
      <w:r w:rsidRPr="003C0842">
        <w:t xml:space="preserve"> co zrobili inni. Chcemy budować miasta, budować nasz afrykański przemysł, chcemy</w:t>
      </w:r>
      <w:r w:rsidR="00B25D9A" w:rsidRPr="003C0842">
        <w:t>,</w:t>
      </w:r>
      <w:r w:rsidRPr="003C0842">
        <w:t xml:space="preserve"> aby w naszej afrykańskiej Commonwealth</w:t>
      </w:r>
      <w:r w:rsidR="00B25D9A" w:rsidRPr="003C0842">
        <w:t>,</w:t>
      </w:r>
      <w:r w:rsidRPr="003C0842">
        <w:t xml:space="preserve"> wszystkie stanowiska od najniższego do najwyższego zajmowali nasi bracia.</w:t>
      </w:r>
    </w:p>
    <w:p w:rsidR="00212B99" w:rsidRPr="003C0842" w:rsidRDefault="003C233D" w:rsidP="00111348">
      <w:pPr>
        <w:spacing w:line="360" w:lineRule="auto"/>
      </w:pPr>
      <w:r w:rsidRPr="003C0842">
        <w:t>W</w:t>
      </w:r>
      <w:r w:rsidR="00212B99" w:rsidRPr="003C0842">
        <w:t xml:space="preserve"> ciągu kilkunastu powojennych miesięcy </w:t>
      </w:r>
      <w:r w:rsidRPr="003C0842">
        <w:t xml:space="preserve">ruch ten </w:t>
      </w:r>
      <w:r w:rsidR="00212B99" w:rsidRPr="003C0842">
        <w:t>zorganizował ponad 200 biur na terenie Stanów Zjednoczonych i pojawił się w 38 krajach w formie 700 komitetów, chętnych do pójścia drogą wytyczoną właśnie przez Liberię. Na żadnym etapie nie było to łatwe, i to nie dlatego, że przedstawiciele Liberii, stale obecni w Genewie</w:t>
      </w:r>
      <w:r w:rsidR="00212B99" w:rsidRPr="003C0842">
        <w:rPr>
          <w:rStyle w:val="Odwoanieprzypisudolnego"/>
          <w:rFonts w:ascii="Times New Roman" w:hAnsi="Times New Roman"/>
          <w:sz w:val="24"/>
        </w:rPr>
        <w:footnoteReference w:id="105"/>
      </w:r>
      <w:r w:rsidR="00212B99" w:rsidRPr="003C0842">
        <w:t xml:space="preserve"> przez kolejne lata żadnej aktywności tam nie przejawiali. Nie wsparli też przedstawicieli UNIA, kiedy w 1922 r. w Sekretariacie LN pojawiła się inicjatywa dotycząca</w:t>
      </w:r>
      <w:r w:rsidRPr="003C0842">
        <w:t xml:space="preserve"> przejęcia</w:t>
      </w:r>
      <w:r w:rsidR="00212B99" w:rsidRPr="003C0842">
        <w:t xml:space="preserve"> administr</w:t>
      </w:r>
      <w:r w:rsidRPr="003C0842">
        <w:t>acji</w:t>
      </w:r>
      <w:r w:rsidR="00212B99" w:rsidRPr="003C0842">
        <w:t xml:space="preserve"> w poniemieckich koloniach afrykańskich (chodziło zwłaszcza o Rwandę). Postulat w tej sprawie zgłoszony przez przedstawicieli Persji został przyjęty przez mocarstwa kolonialne jako obraźliwy. Pod ich wpływem Sekretariat wdrożył zasadę, że wnioski w </w:t>
      </w:r>
      <w:r w:rsidR="008F5326" w:rsidRPr="003C0842">
        <w:t xml:space="preserve">podobnych sprawach </w:t>
      </w:r>
      <w:r w:rsidR="00212B99" w:rsidRPr="003C0842">
        <w:t>mogą być zgłaszane jedynie za pośrednictwem odnośnych rządów</w:t>
      </w:r>
      <w:r w:rsidR="00212B99" w:rsidRPr="003C0842">
        <w:rPr>
          <w:rStyle w:val="Odwoanieprzypisudolnego"/>
          <w:rFonts w:ascii="Times New Roman" w:hAnsi="Times New Roman"/>
          <w:sz w:val="24"/>
        </w:rPr>
        <w:footnoteReference w:id="106"/>
      </w:r>
      <w:r w:rsidR="00212B99" w:rsidRPr="003C0842">
        <w:t xml:space="preserve">. </w:t>
      </w:r>
    </w:p>
    <w:p w:rsidR="00212B99" w:rsidRPr="003C0842" w:rsidRDefault="00212B99" w:rsidP="00111348">
      <w:pPr>
        <w:spacing w:line="360" w:lineRule="auto"/>
      </w:pPr>
      <w:r w:rsidRPr="003C0842">
        <w:t>Aktywa ruchu w 1923 r. uległy znacznej degradacji w wyniku pięciolet</w:t>
      </w:r>
      <w:r w:rsidR="00B25D9A" w:rsidRPr="003C0842">
        <w:t>niego wyroku skazującego Garvey</w:t>
      </w:r>
      <w:r w:rsidRPr="003C0842">
        <w:t xml:space="preserve">a, co zainteresowany przypisywał knowaniom jego czarnych nieprzyjaciół oraz administracji, wrogiej aktywizacji politycznej Murzynów w Stanach Zjednoczonych.Deportowany w 1927 r. na Jamajkę nie zaprzestał międzynarodowej działalności,w której były także wizyty w Genewie na przełomie lat </w:t>
      </w:r>
      <w:r w:rsidR="00B25D9A" w:rsidRPr="003C0842">
        <w:t>dwudziestych</w:t>
      </w:r>
      <w:r w:rsidRPr="003C0842">
        <w:t xml:space="preserve"> i </w:t>
      </w:r>
      <w:r w:rsidR="00B25D9A" w:rsidRPr="003C0842">
        <w:t>trzydziestych</w:t>
      </w:r>
      <w:r w:rsidRPr="003C0842">
        <w:t xml:space="preserve">. Jednak hasło </w:t>
      </w:r>
      <w:r w:rsidRPr="003C0842">
        <w:rPr>
          <w:i/>
        </w:rPr>
        <w:t>Afryka dla Afrykanów</w:t>
      </w:r>
      <w:r w:rsidRPr="003C0842">
        <w:t>, chociaż przewijało się w LN</w:t>
      </w:r>
      <w:r w:rsidR="003C233D" w:rsidRPr="003C0842">
        <w:t>,</w:t>
      </w:r>
      <w:r w:rsidRPr="003C0842">
        <w:t xml:space="preserve"> ani wówczas, ani później nie znalazło </w:t>
      </w:r>
      <w:r w:rsidR="003C1EE6" w:rsidRPr="003C0842">
        <w:t xml:space="preserve">oddźwięku </w:t>
      </w:r>
      <w:r w:rsidRPr="003C0842">
        <w:t>godnego uwagi.</w:t>
      </w:r>
    </w:p>
    <w:p w:rsidR="00212B99" w:rsidRPr="003C0842" w:rsidRDefault="003C233D" w:rsidP="00111348">
      <w:pPr>
        <w:spacing w:line="360" w:lineRule="auto"/>
      </w:pPr>
      <w:r w:rsidRPr="003C0842">
        <w:t>Rasowego zamieszania z Ligą</w:t>
      </w:r>
      <w:r w:rsidR="00212B99" w:rsidRPr="003C0842">
        <w:t xml:space="preserve"> i Ameryką w tle nie umniejszało bezkonfliktowe skądinąd przyjęcie Dominikany, całkowicie przecież zależnej od Stanów Zjednoczonych, podobnie zresztą jak pozostałe państewka z tego regionu będące wśród członków założycieli. Wielu </w:t>
      </w:r>
      <w:r w:rsidR="00212B99" w:rsidRPr="003C0842">
        <w:lastRenderedPageBreak/>
        <w:t>obywatelom USA także to towarzystwo nie wydawało się dostatecznie godne, by wspólnie, na równych prawach debatować i decydować przez głosowanie.</w:t>
      </w:r>
    </w:p>
    <w:p w:rsidR="00212B99" w:rsidRPr="003C0842" w:rsidRDefault="00212B99" w:rsidP="00111348">
      <w:pPr>
        <w:spacing w:line="360" w:lineRule="auto"/>
      </w:pPr>
      <w:r w:rsidRPr="003C0842">
        <w:t>Inna część Amerykanów (pozostając przy tej egzemplifikacji) mających korzenie irlandzkie niechętnie akceptowała międzynarodowy sukces liderów Wolnego Państwa Irlandzkiego – prezydenta A. Griffitha i premiera Michaela Collinsa (zamordowanego w sierpniu 1922 r.), którzy zastępując Eamona de Valerę, więzionego przez Brytyjczyków przywódcę Sinn Fein, „dogadali” się z „okupantami” w sprawie podziału wyspy. Tymczasem Sinn Fein, której de Valera przewodził</w:t>
      </w:r>
      <w:r w:rsidR="003C233D" w:rsidRPr="003C0842">
        <w:t>,</w:t>
      </w:r>
      <w:r w:rsidRPr="003C0842">
        <w:t xml:space="preserve"> walczyła o jedność kraju. Dla tego programu zjednał wielu rodaków (i nie tylko) podczas niemal trzyletniej banicji w Stanach, na którą skazał się</w:t>
      </w:r>
      <w:r w:rsidR="00B25D9A" w:rsidRPr="003C0842">
        <w:t>,</w:t>
      </w:r>
      <w:r w:rsidRPr="003C0842">
        <w:t xml:space="preserve"> uciekając w lutym 1919 r. z brytyjskiego więzienia Lincoln.</w:t>
      </w:r>
    </w:p>
    <w:p w:rsidR="00212B99" w:rsidRPr="003C0842" w:rsidRDefault="00212B99" w:rsidP="00111348">
      <w:pPr>
        <w:spacing w:line="360" w:lineRule="auto"/>
      </w:pPr>
      <w:r w:rsidRPr="003C0842">
        <w:t>Powróciwszy do kraju</w:t>
      </w:r>
      <w:r w:rsidR="00B25D9A" w:rsidRPr="003C0842">
        <w:t>,</w:t>
      </w:r>
      <w:r w:rsidRPr="003C0842">
        <w:t xml:space="preserve"> zrzekł się stanowiska prezydenta zaoferowanego mu zaocznie w 1919 r. przez Zgromadzenie Narodowe w Dublinie i przeszedł do opozycji</w:t>
      </w:r>
      <w:r w:rsidR="00B25D9A" w:rsidRPr="003C0842">
        <w:t>,</w:t>
      </w:r>
      <w:r w:rsidRPr="003C0842">
        <w:t xml:space="preserve"> głosząc program walki o pełną niepodległość i likwidację separatyzmu Ulsteru. Silna, później dominująca pozycja partii Fianna Fail (Żołnierze Losu) przekonuje, że także de Valera, jako jej przywódca cieszył się dużymi wpływami, społecznym poparciem i uznaniem. Nie podzielali go Brytyjczycy, którzy promowali do Genewy powolnych im liderów Wolnego Państwa Irlandzkiego</w:t>
      </w:r>
      <w:r w:rsidRPr="003C0842">
        <w:rPr>
          <w:rStyle w:val="Odwoanieprzypisudolnego"/>
          <w:rFonts w:ascii="Times New Roman" w:hAnsi="Times New Roman"/>
          <w:sz w:val="24"/>
        </w:rPr>
        <w:footnoteReference w:id="107"/>
      </w:r>
      <w:r w:rsidRPr="003C0842">
        <w:t>. Nadto jeszcze, powierzchowni znawcy mechanizmu ligowego pokpiwali sobie, że Londyn wzmacnia swą liczbową siłę.</w:t>
      </w:r>
    </w:p>
    <w:p w:rsidR="000D28EF" w:rsidRPr="003C0842" w:rsidRDefault="00212B99" w:rsidP="00111348">
      <w:pPr>
        <w:spacing w:line="360" w:lineRule="auto"/>
      </w:pPr>
      <w:r w:rsidRPr="003C0842">
        <w:t>W pewnym sensie kwestia wykorzystania LN dla wzmocnienia pozycji międzynarodowej kraju i przeciągnięcia „na swoją” stronę przeciwników wewnętrznych wystąpiła również w przypadku Etiopii. Trwającą przez wiele lat rywalizację francusko-włosko-brytyjską ras Teferi starał się umiędzynarodowić podejmując w kwietniu 1924 r. podróż do wspomnianych wyżej państw, ale także Niemiec, Belgii, Holandii, Szwajcarii, Austrii, Luksemburga i państw skandynawskich. W żadnej ze spraw wówczas stawianych</w:t>
      </w:r>
      <w:r w:rsidR="00164234" w:rsidRPr="003C0842">
        <w:t>–</w:t>
      </w:r>
      <w:r w:rsidRPr="003C0842">
        <w:t xml:space="preserve"> dostępu do morza</w:t>
      </w:r>
      <w:r w:rsidR="000D28EF" w:rsidRPr="003C0842">
        <w:t>,</w:t>
      </w:r>
      <w:r w:rsidRPr="003C0842">
        <w:t xml:space="preserve"> uzyskania wolne</w:t>
      </w:r>
      <w:r w:rsidR="000D28EF" w:rsidRPr="003C0842">
        <w:t xml:space="preserve">j strefy w porcie Dżibutti </w:t>
      </w:r>
      <w:r w:rsidR="00B25D9A" w:rsidRPr="003C0842">
        <w:t>–</w:t>
      </w:r>
      <w:r w:rsidR="003C233D" w:rsidRPr="003C0842">
        <w:t xml:space="preserve"> nic</w:t>
      </w:r>
      <w:r w:rsidRPr="003C0842">
        <w:t xml:space="preserve"> nie </w:t>
      </w:r>
      <w:r w:rsidR="003C233D" w:rsidRPr="003C0842">
        <w:t>uzyskał.</w:t>
      </w:r>
      <w:r w:rsidRPr="003C0842">
        <w:t xml:space="preserve"> Jednak zważywszy</w:t>
      </w:r>
      <w:r w:rsidR="0080192E">
        <w:t xml:space="preserve"> na</w:t>
      </w:r>
      <w:r w:rsidRPr="003C0842">
        <w:t xml:space="preserve"> dotychczasową „całkowitą izolację” Etiopii</w:t>
      </w:r>
      <w:r w:rsidR="00B25D9A" w:rsidRPr="003C0842">
        <w:t>,</w:t>
      </w:r>
      <w:r w:rsidRPr="003C0842">
        <w:t xml:space="preserve"> istotne znaczenie miało właśnie zwiększone zainteresowanie publicystyki międzynarodowej</w:t>
      </w:r>
      <w:r w:rsidRPr="003C0842">
        <w:rPr>
          <w:rStyle w:val="Odwoanieprzypisudolnego"/>
          <w:rFonts w:ascii="Times New Roman" w:hAnsi="Times New Roman"/>
          <w:sz w:val="24"/>
        </w:rPr>
        <w:footnoteReference w:id="108"/>
      </w:r>
      <w:r w:rsidRPr="003C0842">
        <w:t xml:space="preserve">. </w:t>
      </w:r>
    </w:p>
    <w:p w:rsidR="003C233D" w:rsidRPr="003C0842" w:rsidRDefault="00212B99" w:rsidP="00111348">
      <w:pPr>
        <w:spacing w:line="360" w:lineRule="auto"/>
      </w:pPr>
      <w:r w:rsidRPr="003C0842">
        <w:t xml:space="preserve">Było w </w:t>
      </w:r>
      <w:r w:rsidR="000D28EF" w:rsidRPr="003C0842">
        <w:t xml:space="preserve">owym zainteresowaniu </w:t>
      </w:r>
      <w:r w:rsidRPr="003C0842">
        <w:t>także miejsce na projekty nie licujące z wysoką pozycją zajmowaną przez mocarstwa europejskie w Lidze. Chodziło o planowane przyłączenie zachodniej Etiopii do angielskiego Sudanu, co miało położyć tamę umacniającym się wpływom francuskim i ponawianym hasłom włoskiego faszyzmu akcentującego kolonialn</w:t>
      </w:r>
      <w:r w:rsidR="000D28EF" w:rsidRPr="003C0842">
        <w:t>o-</w:t>
      </w:r>
      <w:r w:rsidR="000D28EF" w:rsidRPr="003C0842">
        <w:lastRenderedPageBreak/>
        <w:t>imperialne</w:t>
      </w:r>
      <w:r w:rsidRPr="003C0842">
        <w:t xml:space="preserve"> aspiracje. Ponad wszystkim górowała chęć pełnego zabezpiecze</w:t>
      </w:r>
      <w:r w:rsidR="00B25D9A" w:rsidRPr="003C0842">
        <w:t>nia panowania brytyjskiego nad j</w:t>
      </w:r>
      <w:r w:rsidRPr="003C0842">
        <w:t>eziorem Tana, nie tylko największego w regionie (niemal 3 tys. km²)</w:t>
      </w:r>
      <w:r w:rsidR="00B25D9A" w:rsidRPr="003C0842">
        <w:t>,</w:t>
      </w:r>
      <w:r w:rsidRPr="003C0842">
        <w:t xml:space="preserve"> ale dającego początek Nilowi Błękitnemu – najdłuższemu i najbardziej zasobnemu w wodę dopływowi Nilu. Włosi pozytywnie odnieśli się do tego projektu przedłożonego Mussoliniemu 14 grudnia 1925 r. przez ambasadora Sir Ronalda Grahama. Oznaczało to podział stref wpływów w Etiopii z pominięciem Francji. Brytyjczycy mieli wybudować tamę na jeziorze Tana oraz szosę łączącą ją z Sudanem, natomiast Włochów interesowała budowa przez ziemie Etiopii kolei, łączącej włoskie posiadłości – Erytreę i Somali. </w:t>
      </w:r>
    </w:p>
    <w:p w:rsidR="00212B99" w:rsidRPr="003C0842" w:rsidRDefault="00212B99" w:rsidP="00111348">
      <w:pPr>
        <w:spacing w:line="360" w:lineRule="auto"/>
      </w:pPr>
      <w:r w:rsidRPr="003C0842">
        <w:t xml:space="preserve">Alarm wszczęty przez Francję spowodował, że stosowne noty wręczone w Addis Abebie przez przedstawicieli dyplomatycznych Wielkiej Brytanii i Włoch wywołały protest Regenta Etiopskiego </w:t>
      </w:r>
      <w:r w:rsidR="000D28EF" w:rsidRPr="003C0842">
        <w:t xml:space="preserve">wraz </w:t>
      </w:r>
      <w:r w:rsidRPr="003C0842">
        <w:t xml:space="preserve">z przekazaniem żądań brytyjsko-włoskich do </w:t>
      </w:r>
      <w:r w:rsidR="000D28EF" w:rsidRPr="003C0842">
        <w:t>Genewy</w:t>
      </w:r>
      <w:r w:rsidRPr="003C0842">
        <w:t xml:space="preserve">. Z opublikowanych w </w:t>
      </w:r>
      <w:r w:rsidR="00C35DD3" w:rsidRPr="003C0842">
        <w:t>„</w:t>
      </w:r>
      <w:r w:rsidRPr="003C0842">
        <w:t>Journal Officiel</w:t>
      </w:r>
      <w:r w:rsidR="00C35DD3" w:rsidRPr="003C0842">
        <w:t>”</w:t>
      </w:r>
      <w:r w:rsidRPr="003C0842">
        <w:t xml:space="preserve"> tekstów wyziera pewne zakłopotanie rządów brytyjskiego i włoskiego podkreślających, że ich inicjatywa miała wyłącznie gospodarczy charakter i w niczym nie miała ograniczać suwerenności Etiopii ani decyzji rządu. Perspektywa wpisania sprawy na porządek „jednej z przyszłych sesji Rady”, o cz</w:t>
      </w:r>
      <w:r w:rsidR="003C233D" w:rsidRPr="003C0842">
        <w:t xml:space="preserve">ym informował 22 lipca 1926 r. </w:t>
      </w:r>
      <w:r w:rsidRPr="003C0842">
        <w:t>Eric Drummond rasa Teferi oraz rządy w Londynie i Rzymie, spowodowała wycofanie się Brytyjczyków z projektu. Podobnie uczynił rząd włoski. Etiopi</w:t>
      </w:r>
      <w:r w:rsidR="000D28EF" w:rsidRPr="003C0842">
        <w:t>a</w:t>
      </w:r>
      <w:r w:rsidRPr="003C0842">
        <w:t xml:space="preserve"> z kolei wycofał</w:t>
      </w:r>
      <w:r w:rsidR="000D28EF" w:rsidRPr="003C0842">
        <w:t>a</w:t>
      </w:r>
      <w:r w:rsidRPr="003C0842">
        <w:t xml:space="preserve"> skargę</w:t>
      </w:r>
      <w:r w:rsidR="00C35DD3" w:rsidRPr="003C0842">
        <w:t>,</w:t>
      </w:r>
      <w:r w:rsidRPr="003C0842">
        <w:t xml:space="preserve"> prosząc jednak o opublikowanie korespondencji dotyczącej tej sprawy</w:t>
      </w:r>
      <w:r w:rsidRPr="003C0842">
        <w:rPr>
          <w:rStyle w:val="Odwoanieprzypisudolnego"/>
          <w:rFonts w:ascii="Times New Roman" w:hAnsi="Times New Roman"/>
          <w:sz w:val="24"/>
        </w:rPr>
        <w:footnoteReference w:id="109"/>
      </w:r>
      <w:r w:rsidRPr="003C0842">
        <w:t>. Rząd Mussoliniego kontynuował zainteresowanie Etiopią</w:t>
      </w:r>
      <w:r w:rsidR="00C35DD3" w:rsidRPr="003C0842">
        <w:t>,</w:t>
      </w:r>
      <w:r w:rsidRPr="003C0842">
        <w:t xml:space="preserve"> doprowadzając do przyjęcia przymierza podpisanego w Addis Abebie 2 sierpnia 1928 r., którego art. 1 stwierdzał: „Będzie zachowany trwały pokój i wieczna przyjaźń pomiędzy Królestwem Włoch a Cesarstwem Etiopskim”</w:t>
      </w:r>
      <w:r w:rsidRPr="003C0842">
        <w:rPr>
          <w:rStyle w:val="Odwoanieprzypisudolnego"/>
          <w:rFonts w:ascii="Times New Roman" w:hAnsi="Times New Roman"/>
          <w:sz w:val="24"/>
        </w:rPr>
        <w:footnoteReference w:id="110"/>
      </w:r>
      <w:r w:rsidRPr="003C0842">
        <w:t>.</w:t>
      </w:r>
    </w:p>
    <w:p w:rsidR="00212B99" w:rsidRPr="003C0842" w:rsidRDefault="00212B99" w:rsidP="00111348">
      <w:pPr>
        <w:spacing w:line="360" w:lineRule="auto"/>
      </w:pPr>
      <w:r w:rsidRPr="003C0842">
        <w:t>Przedstawiony akces Etiopii do Ligi może także posłużyć dla oceny polityki mocarstw</w:t>
      </w:r>
      <w:r w:rsidR="00C35DD3" w:rsidRPr="003C0842">
        <w:t>,</w:t>
      </w:r>
      <w:r w:rsidRPr="003C0842">
        <w:t xml:space="preserve"> zwłaszcza dwóch filarów instytucji genewskiej, którym bliska była obecna w dyplomacji formuła: my nie mamy stałych przyja</w:t>
      </w:r>
      <w:r w:rsidR="0091624C">
        <w:t>ciół, tylko stałe interesy. Ten</w:t>
      </w:r>
      <w:r w:rsidRPr="003C0842">
        <w:t xml:space="preserve"> odnoszący się</w:t>
      </w:r>
      <w:r w:rsidR="003C233D" w:rsidRPr="003C0842">
        <w:t xml:space="preserve"> do polityki brytyjskiej pogląd, </w:t>
      </w:r>
      <w:r w:rsidRPr="003C0842">
        <w:t>wyraziście wystąpił w przypadku procesu przybliżania Niemiec do Genewy.</w:t>
      </w:r>
    </w:p>
    <w:p w:rsidR="003C233D" w:rsidRPr="003C0842" w:rsidRDefault="003C233D" w:rsidP="00111348">
      <w:pPr>
        <w:spacing w:line="360" w:lineRule="auto"/>
        <w:ind w:firstLine="0"/>
      </w:pPr>
    </w:p>
    <w:p w:rsidR="003C233D" w:rsidRPr="003C0842" w:rsidRDefault="003C233D" w:rsidP="00111348">
      <w:pPr>
        <w:spacing w:line="360" w:lineRule="auto"/>
        <w:ind w:firstLine="0"/>
      </w:pPr>
    </w:p>
    <w:p w:rsidR="00FB6724" w:rsidRPr="003C0842" w:rsidRDefault="00FB6724" w:rsidP="00111348">
      <w:pPr>
        <w:spacing w:line="360" w:lineRule="auto"/>
        <w:ind w:firstLine="0"/>
      </w:pPr>
    </w:p>
    <w:p w:rsidR="002809F1" w:rsidRPr="003C0842" w:rsidRDefault="002809F1" w:rsidP="00111348">
      <w:pPr>
        <w:spacing w:line="360" w:lineRule="auto"/>
        <w:ind w:firstLine="0"/>
        <w:outlineLvl w:val="0"/>
        <w:rPr>
          <w:b/>
        </w:rPr>
      </w:pPr>
      <w:r w:rsidRPr="003C0842">
        <w:rPr>
          <w:b/>
        </w:rPr>
        <w:t>Rozdział II. LIGA BEZ NIEMIEC</w:t>
      </w:r>
    </w:p>
    <w:p w:rsidR="002809F1" w:rsidRPr="003C0842" w:rsidRDefault="002809F1" w:rsidP="00111348">
      <w:pPr>
        <w:spacing w:line="360" w:lineRule="auto"/>
        <w:ind w:firstLine="0"/>
        <w:rPr>
          <w:b/>
        </w:rPr>
      </w:pPr>
    </w:p>
    <w:p w:rsidR="002809F1" w:rsidRPr="003C0842" w:rsidRDefault="002809F1" w:rsidP="00111348">
      <w:pPr>
        <w:spacing w:line="360" w:lineRule="auto"/>
        <w:ind w:firstLine="0"/>
        <w:rPr>
          <w:b/>
        </w:rPr>
      </w:pPr>
    </w:p>
    <w:p w:rsidR="002809F1" w:rsidRPr="003C0842" w:rsidRDefault="002809F1" w:rsidP="00111348">
      <w:pPr>
        <w:spacing w:line="360" w:lineRule="auto"/>
        <w:ind w:firstLine="0"/>
        <w:outlineLvl w:val="0"/>
        <w:rPr>
          <w:b/>
        </w:rPr>
      </w:pPr>
      <w:r w:rsidRPr="003C0842">
        <w:rPr>
          <w:b/>
        </w:rPr>
        <w:lastRenderedPageBreak/>
        <w:t>1. Passive Mitglied</w:t>
      </w:r>
      <w:r w:rsidR="00B76A58" w:rsidRPr="003C0842">
        <w:rPr>
          <w:b/>
        </w:rPr>
        <w:t>s</w:t>
      </w:r>
      <w:r w:rsidRPr="003C0842">
        <w:rPr>
          <w:b/>
        </w:rPr>
        <w:t>chaft</w:t>
      </w:r>
    </w:p>
    <w:p w:rsidR="002809F1" w:rsidRPr="003C0842" w:rsidRDefault="002809F1" w:rsidP="00111348">
      <w:pPr>
        <w:spacing w:line="360" w:lineRule="auto"/>
        <w:ind w:firstLine="0"/>
        <w:rPr>
          <w:b/>
        </w:rPr>
      </w:pPr>
    </w:p>
    <w:p w:rsidR="002809F1" w:rsidRPr="003C0842" w:rsidRDefault="002809F1" w:rsidP="00111348">
      <w:pPr>
        <w:spacing w:line="360" w:lineRule="auto"/>
        <w:ind w:firstLine="0"/>
        <w:outlineLvl w:val="0"/>
        <w:rPr>
          <w:b/>
        </w:rPr>
      </w:pPr>
      <w:r w:rsidRPr="003C0842">
        <w:rPr>
          <w:b/>
        </w:rPr>
        <w:t>a. Niemiecka niechęć do Ligi Narodów</w:t>
      </w:r>
    </w:p>
    <w:p w:rsidR="002809F1" w:rsidRPr="003C0842" w:rsidRDefault="002809F1" w:rsidP="00111348">
      <w:pPr>
        <w:spacing w:line="360" w:lineRule="auto"/>
        <w:ind w:firstLine="709"/>
      </w:pPr>
    </w:p>
    <w:p w:rsidR="006B1158" w:rsidRPr="003C0842" w:rsidRDefault="00C44535" w:rsidP="00111348">
      <w:pPr>
        <w:spacing w:line="360" w:lineRule="auto"/>
        <w:ind w:firstLine="709"/>
      </w:pPr>
      <w:r w:rsidRPr="003C0842">
        <w:t xml:space="preserve">Wśród wielkich nieobecnych w Genewie Niemcy </w:t>
      </w:r>
      <w:r w:rsidR="00D733BD" w:rsidRPr="003C0842">
        <w:t xml:space="preserve">były </w:t>
      </w:r>
      <w:r w:rsidRPr="003C0842">
        <w:t>naj</w:t>
      </w:r>
      <w:r w:rsidR="00D733BD" w:rsidRPr="003C0842">
        <w:t xml:space="preserve">bardziej </w:t>
      </w:r>
      <w:r w:rsidRPr="003C0842">
        <w:t>zainteresowane, zarówno samą Ligą jak i jej praktyczną działalnością.</w:t>
      </w:r>
      <w:r w:rsidR="00D733BD" w:rsidRPr="003C0842">
        <w:t xml:space="preserve"> Inna b</w:t>
      </w:r>
      <w:r w:rsidRPr="003C0842">
        <w:t>yła postawa</w:t>
      </w:r>
      <w:r w:rsidR="00D733BD" w:rsidRPr="003C0842">
        <w:t xml:space="preserve"> Stanów</w:t>
      </w:r>
      <w:r w:rsidRPr="003C0842">
        <w:t xml:space="preserve"> Zjednoczony</w:t>
      </w:r>
      <w:r w:rsidR="00D733BD" w:rsidRPr="003C0842">
        <w:t>ch,</w:t>
      </w:r>
      <w:r w:rsidRPr="003C0842">
        <w:t xml:space="preserve"> które zdominowane przez republikanów wręcz manifestowały niechęć do wszystkiego co wiązało się z „wilsonowską Ligą”</w:t>
      </w:r>
      <w:r w:rsidR="00D733BD" w:rsidRPr="003C0842">
        <w:t>, a także</w:t>
      </w:r>
      <w:r w:rsidRPr="003C0842">
        <w:t xml:space="preserve"> skłóconą Europą, poszukującą w dodatku sposobów „wykręcenia się” od spłaty zaciągniętych podczas wojny pożyczek. Z odmiennych pozycji patrzyła na Ligę Rosja, która tworzyła swoją strukturę międzynarodową w postaci Kominternu. </w:t>
      </w:r>
      <w:r w:rsidR="008705EB" w:rsidRPr="003C0842">
        <w:t>Moskwa jako siedziba tej ponadpaństwowej i ponadnarodowej organizacji „świata pracy” stała się swoistą anatemą dla Ligi Narodów</w:t>
      </w:r>
      <w:r w:rsidR="00351B8E" w:rsidRPr="003C0842">
        <w:t>,</w:t>
      </w:r>
      <w:r w:rsidR="008705EB" w:rsidRPr="003C0842">
        <w:t xml:space="preserve"> jako </w:t>
      </w:r>
      <w:r w:rsidR="000D28EF" w:rsidRPr="003C0842">
        <w:t>ciała</w:t>
      </w:r>
      <w:r w:rsidR="008705EB" w:rsidRPr="003C0842">
        <w:t xml:space="preserve"> grupujące</w:t>
      </w:r>
      <w:r w:rsidR="000D28EF" w:rsidRPr="003C0842">
        <w:t>go</w:t>
      </w:r>
      <w:r w:rsidR="008705EB" w:rsidRPr="003C0842">
        <w:t xml:space="preserve"> przedstawicieli państw burżuazyjnych. W</w:t>
      </w:r>
      <w:r w:rsidR="00CB2EA1" w:rsidRPr="003C0842">
        <w:t xml:space="preserve">iadomo już, że członkowie Kominternu byli </w:t>
      </w:r>
      <w:r w:rsidR="00656779" w:rsidRPr="003C0842">
        <w:t xml:space="preserve">przekonani, </w:t>
      </w:r>
      <w:r w:rsidR="00CB2EA1" w:rsidRPr="003C0842">
        <w:t>i</w:t>
      </w:r>
      <w:r w:rsidR="00656779" w:rsidRPr="003C0842">
        <w:t>ż jednym z głównych celów LN jest krucjata przeciwko państwu robotników i chłopów. Genewę traktowano jako organizację osłaniającą „gadaninę pacyfistyczną”, podczas gdy</w:t>
      </w:r>
      <w:r w:rsidR="00351B8E" w:rsidRPr="003C0842">
        <w:t xml:space="preserve"> faktycznie </w:t>
      </w:r>
      <w:r w:rsidR="00656779" w:rsidRPr="003C0842">
        <w:t xml:space="preserve">było to antyradzieckie centrum i siedziba sztabu spiskującego przeciwko </w:t>
      </w:r>
      <w:r w:rsidR="000D28EF" w:rsidRPr="003C0842">
        <w:t>„światu pracy”.</w:t>
      </w:r>
    </w:p>
    <w:p w:rsidR="002809F1" w:rsidRPr="003C0842" w:rsidRDefault="00656779" w:rsidP="00111348">
      <w:pPr>
        <w:spacing w:line="360" w:lineRule="auto"/>
        <w:ind w:firstLine="709"/>
      </w:pPr>
      <w:r w:rsidRPr="003C0842">
        <w:t xml:space="preserve">Przekonanie to było także obecne wśród wielu Niemców, nie tylko z racji ideologicznych. W grę wchodziła niechęć wobec Ligi, która zamknęła drzwi przed wielkim narodem i ważnym państwem leżącym w sercu Europy i mającym ponad 60 mln obywateli i niemal </w:t>
      </w:r>
      <w:r w:rsidR="00C35DD3" w:rsidRPr="003C0842">
        <w:t>0,5 mln</w:t>
      </w:r>
      <w:r w:rsidRPr="003C0842">
        <w:t xml:space="preserve"> km</w:t>
      </w:r>
      <w:r w:rsidRPr="003C0842">
        <w:rPr>
          <w:vertAlign w:val="superscript"/>
        </w:rPr>
        <w:t>2</w:t>
      </w:r>
      <w:r w:rsidR="003D7DD4" w:rsidRPr="003C0842">
        <w:t>. Wprawdzie rozleglejsze terytorium miały Francja i Hiszpania, jednak dopiero suma ich mieszkańców równoważyła liczbę obywateli niemieckich. Potencjał demograficzny</w:t>
      </w:r>
      <w:r w:rsidR="00CB2EA1" w:rsidRPr="003C0842">
        <w:t>,</w:t>
      </w:r>
      <w:r w:rsidR="003D7DD4" w:rsidRPr="003C0842">
        <w:t xml:space="preserve"> wzmocniony wielomilionową mniejszością zamieszkującą wszystkie państwa graniczące z Niemcami (chociaż także Łotwę, Estonię, Rosję, </w:t>
      </w:r>
      <w:r w:rsidR="00535BCF" w:rsidRPr="003C0842">
        <w:t xml:space="preserve">Węgry, Rumunię, </w:t>
      </w:r>
      <w:r w:rsidR="003D7DD4" w:rsidRPr="003C0842">
        <w:t>państwa Ameryki Łacińskiej itd.) szedł w parze z wybitnymi i różnorodnymi osiągnięciami gospodarczymi</w:t>
      </w:r>
      <w:r w:rsidR="003D7DD4" w:rsidRPr="003C0842">
        <w:rPr>
          <w:rStyle w:val="Odwoanieprzypisudolnego"/>
          <w:rFonts w:ascii="Times New Roman" w:hAnsi="Times New Roman"/>
          <w:sz w:val="24"/>
        </w:rPr>
        <w:footnoteReference w:id="111"/>
      </w:r>
      <w:r w:rsidR="003D7DD4" w:rsidRPr="003C0842">
        <w:t xml:space="preserve"> i kulturalnymi, przekładającymi się na obiektywnie wysoką pozycję międzynarodową. Niemcy po wojnie były nadal ważnym państwem, jednak </w:t>
      </w:r>
      <w:r w:rsidR="00CB2EA1" w:rsidRPr="003C0842">
        <w:t xml:space="preserve">o </w:t>
      </w:r>
      <w:r w:rsidR="003D7DD4" w:rsidRPr="003C0842">
        <w:t>ograniczon</w:t>
      </w:r>
      <w:r w:rsidR="00CB2EA1" w:rsidRPr="003C0842">
        <w:t>ej suwerenności</w:t>
      </w:r>
      <w:r w:rsidR="003D7DD4" w:rsidRPr="003C0842">
        <w:t>.</w:t>
      </w:r>
    </w:p>
    <w:p w:rsidR="0065477E" w:rsidRPr="003C0842" w:rsidRDefault="0065477E" w:rsidP="00111348">
      <w:pPr>
        <w:spacing w:line="360" w:lineRule="auto"/>
        <w:ind w:firstLine="709"/>
      </w:pPr>
      <w:r w:rsidRPr="003C0842">
        <w:t xml:space="preserve">Na podstawie art. 213 traktatu wersalskiego Niemcy (podobnie jak ich sojusznicy z czasów wojny) zostali zobowiązani do akceptacji </w:t>
      </w:r>
      <w:r w:rsidR="00C2711C" w:rsidRPr="003C0842">
        <w:t xml:space="preserve">decyzji </w:t>
      </w:r>
      <w:r w:rsidRPr="003C0842">
        <w:t>Między</w:t>
      </w:r>
      <w:r w:rsidR="00C90CDC" w:rsidRPr="003C0842">
        <w:t>sojuszniczej</w:t>
      </w:r>
      <w:r w:rsidRPr="003C0842">
        <w:t xml:space="preserve"> Komisji </w:t>
      </w:r>
      <w:r w:rsidRPr="003C0842">
        <w:lastRenderedPageBreak/>
        <w:t xml:space="preserve">Kontrolnej </w:t>
      </w:r>
      <w:r w:rsidR="00CB2EA1" w:rsidRPr="003C0842">
        <w:t xml:space="preserve">(MKK) </w:t>
      </w:r>
      <w:r w:rsidRPr="003C0842">
        <w:t>baczącej, czy i jak są realizowane postanowienia dotyczące rozbrojenia. Kwestia ta od początku wywoływała silny sprzeciw. Do owej kontroli bowiem</w:t>
      </w:r>
      <w:r w:rsidR="00C90CDC" w:rsidRPr="003C0842">
        <w:t xml:space="preserve">sposobiła się wspomniana wyżej specjalna </w:t>
      </w:r>
      <w:r w:rsidR="00641DBE" w:rsidRPr="003C0842">
        <w:t>MKK</w:t>
      </w:r>
      <w:r w:rsidR="00C90CDC" w:rsidRPr="003C0842">
        <w:t>, skłonna ograniczyć swój skład do oficerów z Belgii oraz „wielkiej czwórki” (bez Stanów Zjednoczonych), z drugiej zaś Liga Narodów, która już w Pakcie</w:t>
      </w:r>
      <w:r w:rsidR="00C35DD3" w:rsidRPr="003C0842">
        <w:t xml:space="preserve"> w</w:t>
      </w:r>
      <w:r w:rsidR="00C90CDC" w:rsidRPr="003C0842">
        <w:t xml:space="preserve"> sprawie rozbrojenia (de facto ograniczenia zbrojeń, ewentualnie redukcji) poświęciła specjalną uwagę. W art. 1 Paktu mówiono, że jednym z warunków członkostwa była akceptacja ustanowionych przez Ligę wielkości „sił zbrojnych oraz swych zbrojeń lądowych, morskich i powietrznych”. W art. 8, jednym z obszerniejszych w Pakcie, mówi się nie tylko o redukcji zbrojeń narodowych do minimum konieczneg</w:t>
      </w:r>
      <w:r w:rsidR="00641DBE" w:rsidRPr="003C0842">
        <w:t xml:space="preserve">o dla bezpieczeństwa, ale także </w:t>
      </w:r>
      <w:r w:rsidR="004D3B18" w:rsidRPr="003C0842">
        <w:t xml:space="preserve">podejmuje się kwestię </w:t>
      </w:r>
      <w:r w:rsidR="00C90CDC" w:rsidRPr="003C0842">
        <w:t xml:space="preserve">przekraczania ustalonych wielkości zbrojeń bez zgody Rady. Z inicjatywy francuskiej </w:t>
      </w:r>
      <w:r w:rsidR="00077F41" w:rsidRPr="003C0842">
        <w:t>problem kontroli pojawił się też w art. 23, w którym nałożono na Ligę obowiązek ogólnego nadzoru nad handlem bronią i amunicją, chociaż tylko z krajami</w:t>
      </w:r>
      <w:r w:rsidR="00C35DD3" w:rsidRPr="003C0842">
        <w:t>, w których</w:t>
      </w:r>
      <w:r w:rsidR="00077F41" w:rsidRPr="003C0842">
        <w:t xml:space="preserve"> ten nadzór „jest niezbędny dla wspólnego dobra”.</w:t>
      </w:r>
    </w:p>
    <w:p w:rsidR="00077F41" w:rsidRPr="003C0842" w:rsidRDefault="00077F41" w:rsidP="00111348">
      <w:pPr>
        <w:spacing w:line="360" w:lineRule="auto"/>
        <w:ind w:firstLine="709"/>
      </w:pPr>
      <w:r w:rsidRPr="003C0842">
        <w:t xml:space="preserve">Wysoka ranga przypisana kwestiom rozbrojeniowym przez twórców Ligi spowodowała, że </w:t>
      </w:r>
      <w:r w:rsidR="004D3B18" w:rsidRPr="003C0842">
        <w:t xml:space="preserve">już </w:t>
      </w:r>
      <w:r w:rsidRPr="003C0842">
        <w:t xml:space="preserve">19 maja 1920 r. </w:t>
      </w:r>
      <w:r w:rsidR="00871009" w:rsidRPr="003C0842">
        <w:t xml:space="preserve">decyzją powziętą na </w:t>
      </w:r>
      <w:r w:rsidR="004D3B18" w:rsidRPr="003C0842">
        <w:t>V sesji Rady</w:t>
      </w:r>
      <w:r w:rsidR="00871009" w:rsidRPr="003C0842">
        <w:rPr>
          <w:rStyle w:val="Odwoanieprzypisudolnego"/>
          <w:rFonts w:ascii="Times New Roman" w:hAnsi="Times New Roman"/>
          <w:sz w:val="24"/>
        </w:rPr>
        <w:footnoteReference w:id="112"/>
      </w:r>
      <w:r w:rsidRPr="003C0842">
        <w:t>utworzona została Stała Komisja Konsultacyjn</w:t>
      </w:r>
      <w:r w:rsidR="00E47768" w:rsidRPr="003C0842">
        <w:t>a (Doradcza) do spraw W</w:t>
      </w:r>
      <w:r w:rsidRPr="003C0842">
        <w:t xml:space="preserve">ojskowych, </w:t>
      </w:r>
      <w:r w:rsidR="00E47768" w:rsidRPr="003C0842">
        <w:t>Morskich i L</w:t>
      </w:r>
      <w:r w:rsidRPr="003C0842">
        <w:t>otniczych</w:t>
      </w:r>
      <w:r w:rsidR="00E47768" w:rsidRPr="003C0842">
        <w:rPr>
          <w:rStyle w:val="Odwoanieprzypisudolnego"/>
          <w:rFonts w:ascii="Times New Roman" w:hAnsi="Times New Roman"/>
          <w:sz w:val="24"/>
        </w:rPr>
        <w:footnoteReference w:id="113"/>
      </w:r>
      <w:r w:rsidR="00E47768" w:rsidRPr="003C0842">
        <w:t>. Tworzyli ją</w:t>
      </w:r>
      <w:r w:rsidRPr="003C0842">
        <w:t xml:space="preserve"> przedstawiciel</w:t>
      </w:r>
      <w:r w:rsidR="00E47768" w:rsidRPr="003C0842">
        <w:t>e</w:t>
      </w:r>
      <w:r w:rsidRPr="003C0842">
        <w:t xml:space="preserve"> wszystkich państw</w:t>
      </w:r>
      <w:r w:rsidR="000517DA" w:rsidRPr="003C0842">
        <w:t xml:space="preserve"> – </w:t>
      </w:r>
      <w:r w:rsidRPr="003C0842">
        <w:t>członków Ligi. Rozbrojenie angażowało też sporo uwagi I Zgromadzenia, które sformułowało pod adresem Rady szereg propozycji dotyczących m.in. kontroli prywatnej produkcji broni oraz jej obrót</w:t>
      </w:r>
      <w:r w:rsidRPr="003C0842">
        <w:rPr>
          <w:rStyle w:val="Odwoanieprzypisudolnego"/>
          <w:rFonts w:ascii="Times New Roman" w:hAnsi="Times New Roman"/>
          <w:sz w:val="24"/>
        </w:rPr>
        <w:footnoteReference w:id="114"/>
      </w:r>
      <w:r w:rsidRPr="003C0842">
        <w:t>.</w:t>
      </w:r>
    </w:p>
    <w:p w:rsidR="00743674" w:rsidRPr="003C0842" w:rsidRDefault="00743674" w:rsidP="00111348">
      <w:pPr>
        <w:spacing w:line="360" w:lineRule="auto"/>
        <w:ind w:firstLine="709"/>
      </w:pPr>
      <w:r w:rsidRPr="003C0842">
        <w:t>Znaczny ruch towarzyszący pierwszym pracom ligowym w dziedzinie rozbrojenia był tym bardziej zrozumiały, że oczekiwani</w:t>
      </w:r>
      <w:r w:rsidR="00433D87" w:rsidRPr="003C0842">
        <w:t>e</w:t>
      </w:r>
      <w:r w:rsidRPr="003C0842">
        <w:t xml:space="preserve"> zabezpieczenia przed kolejnym kataklizmem były powszechne. Dotyczyły one, przynajmniej w pierwszych latach instalowania się systemu wersalsko-waszyngtońskiego, także wielu Niemców, świadomych</w:t>
      </w:r>
      <w:r w:rsidR="00433D87" w:rsidRPr="003C0842">
        <w:t xml:space="preserve"> nie tylko</w:t>
      </w:r>
      <w:r w:rsidRPr="003C0842">
        <w:t xml:space="preserve"> klęski</w:t>
      </w:r>
      <w:r w:rsidR="00433D87" w:rsidRPr="003C0842">
        <w:t>, ale przede wszystkim</w:t>
      </w:r>
      <w:r w:rsidRPr="003C0842">
        <w:t xml:space="preserve"> upokorzenia. Dla zmilitaryzowanego „ducha” niemieckiegoograniczenia narzucone przez traktat wersalski w dziedzinie wojskowej były</w:t>
      </w:r>
      <w:r w:rsidR="000517DA" w:rsidRPr="003C0842">
        <w:t xml:space="preserve"> – </w:t>
      </w:r>
      <w:r w:rsidRPr="003C0842">
        <w:t>wśród wszystkich dotkliwych</w:t>
      </w:r>
      <w:r w:rsidR="000517DA" w:rsidRPr="003C0842">
        <w:t xml:space="preserve"> – </w:t>
      </w:r>
      <w:r w:rsidRPr="003C0842">
        <w:t>szczególnie bolesne. Armia nie mogła przekroczyć 100</w:t>
      </w:r>
      <w:r w:rsidR="00433D87" w:rsidRPr="003C0842">
        <w:t xml:space="preserve"> tys. ludzi, został rozwiązany s</w:t>
      </w:r>
      <w:r w:rsidRPr="003C0842">
        <w:t xml:space="preserve">ztab </w:t>
      </w:r>
      <w:r w:rsidR="00433D87" w:rsidRPr="003C0842">
        <w:t>g</w:t>
      </w:r>
      <w:r w:rsidRPr="003C0842">
        <w:t xml:space="preserve">eneralny, wprowadzono zakaz posiadania ciężkiej artylerii, </w:t>
      </w:r>
      <w:r w:rsidR="002D2465" w:rsidRPr="003C0842">
        <w:t xml:space="preserve">okrętów podwodnych, </w:t>
      </w:r>
      <w:r w:rsidRPr="003C0842">
        <w:t>broni pancernej i lotnictwa</w:t>
      </w:r>
      <w:r w:rsidR="002D2465" w:rsidRPr="003C0842">
        <w:t xml:space="preserve"> wojskowego</w:t>
      </w:r>
      <w:r w:rsidRPr="003C0842">
        <w:t>, likwidacji uległy bazy wojskowe i nadgraniczne umocnienia</w:t>
      </w:r>
      <w:r w:rsidR="002F2F5F" w:rsidRPr="003C0842">
        <w:t>, Nadrenia (ok</w:t>
      </w:r>
      <w:r w:rsidR="0091624C">
        <w:t>oło</w:t>
      </w:r>
      <w:r w:rsidR="002F2F5F" w:rsidRPr="003C0842">
        <w:t xml:space="preserve"> 12% terytorium państwa) została nie tylko </w:t>
      </w:r>
      <w:r w:rsidR="002F2F5F" w:rsidRPr="003C0842">
        <w:lastRenderedPageBreak/>
        <w:t xml:space="preserve">zdemilitaryzowana, ale i okupowana, stając się „zakładnikiem” i gwarantem wypełniania przez Niemcy postanowień wersalskich. </w:t>
      </w:r>
      <w:r w:rsidR="00674ED0" w:rsidRPr="003C0842">
        <w:t xml:space="preserve">Każda groźba, płynąca ze strony sprzymierzonych, że zapowiedziana ewakuacja Nadrenii jest uzależniona od wypełnienia przez Niemcy określonych zobowiązań, wywoływała gwałtowne protesty Niemców. Mówiono, pisano, krzyczano: Nadrenia to probierz woli zwycięzców wobec narodu niemieckiego. Tłumaczyli też, </w:t>
      </w:r>
      <w:r w:rsidR="002F2F5F" w:rsidRPr="003C0842">
        <w:t xml:space="preserve">że okupacja dużych części ich terytorium należy do najbardziej ciężkich postanowień. Odwoływali się do historii, w której nie znajdowali okupacji wojskowej o takim rozmiarze i długości trwania. </w:t>
      </w:r>
      <w:r w:rsidR="00674ED0" w:rsidRPr="003C0842">
        <w:t>U</w:t>
      </w:r>
      <w:r w:rsidR="002F2F5F" w:rsidRPr="003C0842">
        <w:t>ważali</w:t>
      </w:r>
      <w:r w:rsidR="00674ED0" w:rsidRPr="003C0842">
        <w:t xml:space="preserve">też, </w:t>
      </w:r>
      <w:r w:rsidR="002F2F5F" w:rsidRPr="003C0842">
        <w:t xml:space="preserve">że podobne eksperymenty nigdy nie przyczyniały się do pozytywnej ewolucji współpracy sąsiedzkiej i w ogóle międzynarodowej. </w:t>
      </w:r>
    </w:p>
    <w:p w:rsidR="00872965" w:rsidRPr="003C0842" w:rsidRDefault="003839A9" w:rsidP="00111348">
      <w:pPr>
        <w:spacing w:line="360" w:lineRule="auto"/>
        <w:ind w:firstLine="709"/>
      </w:pPr>
      <w:r w:rsidRPr="003C0842">
        <w:t xml:space="preserve">Nad realizacją postanowień rozbrojeniowych miała czuwać ustanowiona przez mocarstwa Komisja Kontroli, </w:t>
      </w:r>
      <w:r w:rsidR="00674ED0" w:rsidRPr="003C0842">
        <w:t xml:space="preserve">kierowana przez </w:t>
      </w:r>
      <w:r w:rsidRPr="003C0842">
        <w:t>francuski</w:t>
      </w:r>
      <w:r w:rsidR="00674ED0" w:rsidRPr="003C0842">
        <w:t>ego</w:t>
      </w:r>
      <w:r w:rsidRPr="003C0842">
        <w:t xml:space="preserve"> generał</w:t>
      </w:r>
      <w:r w:rsidR="00674ED0" w:rsidRPr="003C0842">
        <w:t xml:space="preserve">a </w:t>
      </w:r>
      <w:r w:rsidRPr="003C0842">
        <w:t>Charles</w:t>
      </w:r>
      <w:r w:rsidR="00674ED0" w:rsidRPr="003C0842">
        <w:t>a</w:t>
      </w:r>
      <w:r w:rsidR="00C35DD3" w:rsidRPr="003C0842">
        <w:t xml:space="preserve"> Nollet</w:t>
      </w:r>
      <w:r w:rsidR="00674ED0" w:rsidRPr="003C0842">
        <w:t>a</w:t>
      </w:r>
      <w:r w:rsidRPr="003C0842">
        <w:rPr>
          <w:rStyle w:val="Odwoanieprzypisudolnego"/>
          <w:rFonts w:ascii="Times New Roman" w:hAnsi="Times New Roman"/>
          <w:sz w:val="24"/>
        </w:rPr>
        <w:footnoteReference w:id="115"/>
      </w:r>
      <w:r w:rsidRPr="003C0842">
        <w:t xml:space="preserve">. </w:t>
      </w:r>
      <w:r w:rsidR="00B067C2" w:rsidRPr="003C0842">
        <w:t>Jej z</w:t>
      </w:r>
      <w:r w:rsidRPr="003C0842">
        <w:t>adania</w:t>
      </w:r>
      <w:r w:rsidR="00674ED0" w:rsidRPr="003C0842">
        <w:t>,</w:t>
      </w:r>
      <w:r w:rsidRPr="003C0842">
        <w:t xml:space="preserve"> sprecyzowane w art. 208</w:t>
      </w:r>
      <w:r w:rsidR="005A5F3B">
        <w:t>-</w:t>
      </w:r>
      <w:r w:rsidRPr="003C0842">
        <w:t>210 traktatu wersalskiego</w:t>
      </w:r>
      <w:r w:rsidR="00674ED0" w:rsidRPr="003C0842">
        <w:t>,</w:t>
      </w:r>
      <w:r w:rsidRPr="003C0842">
        <w:t xml:space="preserve"> można sprowadzić do nadzoru nad całokształtem spraw związanych z niemieckimi wojskami lądowymi, marynarką i lotnictwem. Centrala złożona z 9 oficerów reprezentujących armie i rządy Francji, Wielkiej Brytanii, Włoch, Japonii i Belgii mieściła się w Berlinie. Podlegało </w:t>
      </w:r>
      <w:r w:rsidR="00C35DD3" w:rsidRPr="003C0842">
        <w:t>jej 21 k</w:t>
      </w:r>
      <w:r w:rsidR="002E60D9" w:rsidRPr="003C0842">
        <w:t xml:space="preserve">omisji </w:t>
      </w:r>
      <w:r w:rsidR="00C35DD3" w:rsidRPr="003C0842">
        <w:t>o</w:t>
      </w:r>
      <w:r w:rsidR="002E60D9" w:rsidRPr="003C0842">
        <w:t xml:space="preserve">kręgowych, w których służyło od 250 do 400 oficerów (nierzadko szpiegów przemysłowych), zdominowanych przez tandem francusko-belgijski, któremu dorównywał </w:t>
      </w:r>
      <w:r w:rsidR="00211544" w:rsidRPr="003C0842">
        <w:t xml:space="preserve">pod względem liczebności </w:t>
      </w:r>
      <w:r w:rsidR="002E60D9" w:rsidRPr="003C0842">
        <w:t xml:space="preserve">mniej zwarty duet brytyjsko-włoski. </w:t>
      </w:r>
      <w:r w:rsidR="004002E5" w:rsidRPr="003C0842">
        <w:t xml:space="preserve">Kilkunastu przedstawicieli Japonii trzymało się na uboczu. Raporty przesyłane przez nich do berlińskiej centrali (i rzecz zrozumiała do centrali narodowych) na ogół potwierdzały, że niemieckie służby wojskowe i cywilne dokładały starań, aby utrudniać pracę Komisji, skrywać stan faktyczny i sabotować decyzje rozbrojeniowe. Praktyki te były </w:t>
      </w:r>
      <w:r w:rsidR="00B067C2" w:rsidRPr="003C0842">
        <w:t xml:space="preserve">mocno, coraz mocniej </w:t>
      </w:r>
      <w:r w:rsidR="004002E5" w:rsidRPr="003C0842">
        <w:t>osadzone w powszechnej świadomości, że zwycięzcy</w:t>
      </w:r>
      <w:r w:rsidR="00C35DD3" w:rsidRPr="003C0842">
        <w:t>,</w:t>
      </w:r>
      <w:r w:rsidR="004002E5" w:rsidRPr="003C0842">
        <w:t xml:space="preserve"> wymuszając rozbrojenie na państwach pokonanych</w:t>
      </w:r>
      <w:r w:rsidR="00C35DD3" w:rsidRPr="003C0842">
        <w:t>,</w:t>
      </w:r>
      <w:r w:rsidR="00B067C2" w:rsidRPr="003C0842">
        <w:t>dopuścili się</w:t>
      </w:r>
      <w:r w:rsidR="004002E5" w:rsidRPr="003C0842">
        <w:t xml:space="preserve"> oszust</w:t>
      </w:r>
      <w:r w:rsidR="00B067C2" w:rsidRPr="003C0842">
        <w:t>wa</w:t>
      </w:r>
      <w:r w:rsidR="004002E5" w:rsidRPr="003C0842">
        <w:t>. Przypominali też, że w liście z 29 maja 1919 r. do konferencji pokojowej oferowali „rozbrojenie jako pierwsze przed innymi narodami, ażeby udowodnić, że chętnie im pomogą spowodować nową erę pokoju”.</w:t>
      </w:r>
      <w:r w:rsidR="00211544" w:rsidRPr="003C0842">
        <w:t xml:space="preserve">Oferta ta korespondowała ze wstępem </w:t>
      </w:r>
      <w:r w:rsidR="00390E07" w:rsidRPr="003C0842">
        <w:t>do części V traktatu wersalskiego,</w:t>
      </w:r>
      <w:r w:rsidR="00211544" w:rsidRPr="003C0842">
        <w:t xml:space="preserve"> gdzie </w:t>
      </w:r>
      <w:r w:rsidR="002D3CE0" w:rsidRPr="003C0842">
        <w:t>powiedziano</w:t>
      </w:r>
      <w:r w:rsidR="00645578" w:rsidRPr="003C0842">
        <w:t>, że „</w:t>
      </w:r>
      <w:r w:rsidR="00B067C2" w:rsidRPr="003C0842">
        <w:t>a</w:t>
      </w:r>
      <w:r w:rsidR="00645578" w:rsidRPr="003C0842">
        <w:t>by umożliwić przygotowanie ogólnego ograniczenia zbrojeń wszystkich narodów, Niemcy zobowiązują się przestrzegać ściśle następujących przepisów dotyczących wojska, marynarki i lotnictwa”</w:t>
      </w:r>
      <w:r w:rsidR="002D3CE0" w:rsidRPr="003C0842">
        <w:rPr>
          <w:rStyle w:val="Odwoanieprzypisudolnego"/>
          <w:rFonts w:ascii="Times New Roman" w:hAnsi="Times New Roman"/>
          <w:sz w:val="24"/>
        </w:rPr>
        <w:footnoteReference w:id="116"/>
      </w:r>
      <w:r w:rsidR="00645578" w:rsidRPr="003C0842">
        <w:t xml:space="preserve">. </w:t>
      </w:r>
    </w:p>
    <w:p w:rsidR="00645578" w:rsidRPr="003C0842" w:rsidRDefault="00645578" w:rsidP="00111348">
      <w:pPr>
        <w:spacing w:line="360" w:lineRule="auto"/>
        <w:ind w:firstLine="709"/>
      </w:pPr>
      <w:r w:rsidRPr="003C0842">
        <w:lastRenderedPageBreak/>
        <w:t>Rozpętana przez tę preambułę dyskusja nad warunkowym czy też bezwarunkowym charakterem rozbrojenia państw pokonanych, miała nie tylko prawny i teoretyczny charakter</w:t>
      </w:r>
      <w:r w:rsidRPr="003C0842">
        <w:rPr>
          <w:rStyle w:val="Odwoanieprzypisudolnego"/>
          <w:rFonts w:ascii="Times New Roman" w:hAnsi="Times New Roman"/>
          <w:sz w:val="24"/>
        </w:rPr>
        <w:footnoteReference w:id="117"/>
      </w:r>
      <w:r w:rsidRPr="003C0842">
        <w:t>. Ze sporów tych bowiem płynęły konkretne wnioski przekładające się na stosunek społeczeństw poszczególnych państw do kompleksu spraw związanych z ich bezpieczeństwem, pozycją międzynarodową i suwerennością. Powszechny, chociaż głównie europejski wymiar tych sporów</w:t>
      </w:r>
      <w:r w:rsidR="002D3CE0" w:rsidRPr="003C0842">
        <w:t>,</w:t>
      </w:r>
      <w:r w:rsidRPr="003C0842">
        <w:t xml:space="preserve"> uwypuklało zaangażowanie pozostałych państw centralnych. </w:t>
      </w:r>
      <w:r w:rsidR="00D609FA" w:rsidRPr="003C0842">
        <w:t>Ich sytuacja, z zachowaniem właściwych proporcji</w:t>
      </w:r>
      <w:r w:rsidR="00B067C2" w:rsidRPr="003C0842">
        <w:t>,</w:t>
      </w:r>
      <w:r w:rsidR="00D609FA" w:rsidRPr="003C0842">
        <w:t xml:space="preserve"> była w tym sensie szczególna, że poddane były dwojakiej kontroli</w:t>
      </w:r>
      <w:r w:rsidR="000517DA" w:rsidRPr="003C0842">
        <w:t xml:space="preserve"> – </w:t>
      </w:r>
      <w:r w:rsidR="00D609FA" w:rsidRPr="003C0842">
        <w:t xml:space="preserve">ze strony właściwej </w:t>
      </w:r>
      <w:r w:rsidR="00B067C2" w:rsidRPr="003C0842">
        <w:t>MKK</w:t>
      </w:r>
      <w:r w:rsidR="00D609FA" w:rsidRPr="003C0842">
        <w:t xml:space="preserve"> oraz K</w:t>
      </w:r>
      <w:r w:rsidR="00E47768" w:rsidRPr="003C0842">
        <w:t>omisji Konsultacyjnej do spraw W</w:t>
      </w:r>
      <w:r w:rsidR="00D609FA" w:rsidRPr="003C0842">
        <w:t xml:space="preserve">ojskowych, </w:t>
      </w:r>
      <w:r w:rsidR="00E47768" w:rsidRPr="003C0842">
        <w:t>M</w:t>
      </w:r>
      <w:r w:rsidR="00D609FA" w:rsidRPr="003C0842">
        <w:t xml:space="preserve">orskich i </w:t>
      </w:r>
      <w:r w:rsidR="00E47768" w:rsidRPr="003C0842">
        <w:t>L</w:t>
      </w:r>
      <w:r w:rsidR="00D609FA" w:rsidRPr="003C0842">
        <w:t>otniczych LN</w:t>
      </w:r>
      <w:r w:rsidR="00D609FA" w:rsidRPr="003C0842">
        <w:rPr>
          <w:rStyle w:val="Odwoanieprzypisudolnego"/>
          <w:rFonts w:ascii="Times New Roman" w:hAnsi="Times New Roman"/>
          <w:sz w:val="24"/>
        </w:rPr>
        <w:footnoteReference w:id="118"/>
      </w:r>
      <w:r w:rsidR="00D609FA" w:rsidRPr="003C0842">
        <w:t xml:space="preserve">. Przy różnych okazjach i </w:t>
      </w:r>
      <w:r w:rsidR="00211544" w:rsidRPr="003C0842">
        <w:t xml:space="preserve">w zmieniających się warunkach </w:t>
      </w:r>
      <w:r w:rsidR="00422B30" w:rsidRPr="003C0842">
        <w:t>kontrolowani</w:t>
      </w:r>
      <w:r w:rsidR="00D609FA" w:rsidRPr="003C0842">
        <w:t>podkreśla</w:t>
      </w:r>
      <w:r w:rsidR="00422B30" w:rsidRPr="003C0842">
        <w:t>li</w:t>
      </w:r>
      <w:r w:rsidR="00D609FA" w:rsidRPr="003C0842">
        <w:t xml:space="preserve">, że demokratyczna w swych założeniach Liga wyłącza strony bezpośrednio zainteresowane z udziału w obradach, które dotyczą ich żywotnych spraw. Rozumie się, że </w:t>
      </w:r>
      <w:r w:rsidR="002D3CE0" w:rsidRPr="003C0842">
        <w:t xml:space="preserve">nierówne </w:t>
      </w:r>
      <w:r w:rsidR="00D609FA" w:rsidRPr="003C0842">
        <w:t xml:space="preserve">traktowanie pełnoprawnych członków Ligi było nagminnie wykorzystywane na użytek wewnętrzny i to nie tylko przez siły </w:t>
      </w:r>
      <w:r w:rsidR="002D3CE0" w:rsidRPr="003C0842">
        <w:t>wrogie Genewie czy zdominowane żądzą odwetu.</w:t>
      </w:r>
    </w:p>
    <w:p w:rsidR="00D609FA" w:rsidRPr="003C0842" w:rsidRDefault="00D609FA" w:rsidP="00111348">
      <w:pPr>
        <w:spacing w:line="360" w:lineRule="auto"/>
        <w:ind w:firstLine="709"/>
      </w:pPr>
      <w:r w:rsidRPr="003C0842">
        <w:t>Kontestowanie funkcji kontrolnych przez wszystkie państwa centralne wiązało się z coraz c</w:t>
      </w:r>
      <w:r w:rsidR="000D4297" w:rsidRPr="003C0842">
        <w:t>zęściej ujawniającymi się różni</w:t>
      </w:r>
      <w:r w:rsidRPr="003C0842">
        <w:t>cami między sojusznikami. W M</w:t>
      </w:r>
      <w:r w:rsidR="00B067C2" w:rsidRPr="003C0842">
        <w:t>KK</w:t>
      </w:r>
      <w:r w:rsidR="000D4297" w:rsidRPr="003C0842">
        <w:t xml:space="preserve"> przybierało to formę przymykania oczu przez oficerów z niektórych państw (głównie Wielkiej Brytanii, rzadziej Włoch i Japonii) na różne uchybienia, będące także pochodną indywidualnie interpretowanych zaleceń czy zobowiązań traktatowych. Odmienne podejście oficerów francuskich i belgijskich, zdecydowanych pokazywać stan faktyczny oraz</w:t>
      </w:r>
      <w:r w:rsidR="002D3CE0" w:rsidRPr="003C0842">
        <w:t xml:space="preserve"> przejawy</w:t>
      </w:r>
      <w:r w:rsidR="000D4297" w:rsidRPr="003C0842">
        <w:t xml:space="preserve"> sabotowania decyzji rozbrojeniowych</w:t>
      </w:r>
      <w:r w:rsidR="002D3CE0" w:rsidRPr="003C0842">
        <w:t>,</w:t>
      </w:r>
      <w:r w:rsidR="000D4297" w:rsidRPr="003C0842">
        <w:t xml:space="preserve"> przynosiło ograniczone efekty. Pogłębiające się różnice w podejściu do kontroli czyniły z niej narzędzie słabe. Wykluczało to ewentualną jednolitą akcję represyjną.</w:t>
      </w:r>
    </w:p>
    <w:p w:rsidR="000D4297" w:rsidRPr="003C0842" w:rsidRDefault="000D4297" w:rsidP="00111348">
      <w:pPr>
        <w:spacing w:line="360" w:lineRule="auto"/>
        <w:ind w:firstLine="709"/>
      </w:pPr>
      <w:r w:rsidRPr="003C0842">
        <w:t>Wielka Brytania czy to na forum Ligi, gdzie znajdowała silniejsze wsparcie zwłaszcza Szwecji, czy to na forum Rady Najwyższej (później Rady Ambasadorów) broniła interesów niemieckich</w:t>
      </w:r>
      <w:r w:rsidR="0091624C">
        <w:t>,</w:t>
      </w:r>
      <w:r w:rsidRPr="003C0842">
        <w:t xml:space="preserve"> dążąc</w:t>
      </w:r>
      <w:r w:rsidR="00C35DD3" w:rsidRPr="003C0842">
        <w:t xml:space="preserve"> do tego</w:t>
      </w:r>
      <w:r w:rsidRPr="003C0842">
        <w:t>, by kontrole miały raczej formalny charakter, czyniący zadość postanowieniom traktatów. Odejście od represyjne</w:t>
      </w:r>
      <w:r w:rsidR="002D3CE0" w:rsidRPr="003C0842">
        <w:t>go charakteru</w:t>
      </w:r>
      <w:r w:rsidRPr="003C0842">
        <w:t xml:space="preserve"> kontroli miało ułatwić sytuację rządów niemieckich, które deklarowały chęć współpracy i przezwyciężenia ogromnych trudności wewnętrznych, z postępującą inflacją na czele. </w:t>
      </w:r>
      <w:r w:rsidR="00C923D9" w:rsidRPr="003C0842">
        <w:t>Cytowany już płk P. Chardig</w:t>
      </w:r>
      <w:r w:rsidR="00422B30" w:rsidRPr="003C0842">
        <w:t>ny</w:t>
      </w:r>
      <w:r w:rsidR="00C923D9" w:rsidRPr="003C0842">
        <w:t xml:space="preserve"> pisał z Ems </w:t>
      </w:r>
      <w:r w:rsidR="00302F9A" w:rsidRPr="003C0842">
        <w:t>w</w:t>
      </w:r>
      <w:r w:rsidR="00C923D9" w:rsidRPr="003C0842">
        <w:t xml:space="preserve"> sierpni</w:t>
      </w:r>
      <w:r w:rsidR="00302F9A" w:rsidRPr="003C0842">
        <w:t>u</w:t>
      </w:r>
      <w:r w:rsidR="00C923D9" w:rsidRPr="003C0842">
        <w:t xml:space="preserve"> 1922 r. do Paula Mantoux, że wobec spadku marki ludność </w:t>
      </w:r>
      <w:r w:rsidR="00C923D9" w:rsidRPr="003C0842">
        <w:lastRenderedPageBreak/>
        <w:t>„nie wie</w:t>
      </w:r>
      <w:r w:rsidR="001E5F63">
        <w:t>,</w:t>
      </w:r>
      <w:r w:rsidR="00C923D9" w:rsidRPr="003C0842">
        <w:t xml:space="preserve"> co robić. Każdego dnia kupcy muszą zmieniać ceny i jedynie goście zagraniczni mogą coś tutaj kupić. Dla tysięcy robotników kryzys może okazać się bardzo ciężki”</w:t>
      </w:r>
      <w:r w:rsidR="00C923D9" w:rsidRPr="003C0842">
        <w:rPr>
          <w:rStyle w:val="Odwoanieprzypisudolnego"/>
          <w:rFonts w:ascii="Times New Roman" w:hAnsi="Times New Roman"/>
          <w:sz w:val="24"/>
        </w:rPr>
        <w:footnoteReference w:id="119"/>
      </w:r>
      <w:r w:rsidR="00C923D9" w:rsidRPr="003C0842">
        <w:t>.</w:t>
      </w:r>
    </w:p>
    <w:p w:rsidR="00B11B2A" w:rsidRPr="003C0842" w:rsidRDefault="00720F59" w:rsidP="00111348">
      <w:pPr>
        <w:spacing w:line="360" w:lineRule="auto"/>
        <w:ind w:firstLine="709"/>
      </w:pPr>
      <w:r w:rsidRPr="003C0842">
        <w:t xml:space="preserve">Społeczeństwo niemieckie poszukujące odpowiedzialnych za swój </w:t>
      </w:r>
      <w:r w:rsidR="00302F9A" w:rsidRPr="003C0842">
        <w:t>dramatyczny</w:t>
      </w:r>
      <w:r w:rsidRPr="003C0842">
        <w:t xml:space="preserve"> los większą winą obciążały obcych. W tym ogólnym obrazie było też miejsce dla Ligi zdominowanej wedle rozpowszechnionego przekonania przez wrogów Niemiec, zainteresowanych w utrzymaniu ich w podległości i kryzysie. Liga, jako egzekutor części decyzji pokojowych</w:t>
      </w:r>
      <w:r w:rsidR="00302F9A" w:rsidRPr="003C0842">
        <w:t>,</w:t>
      </w:r>
      <w:r w:rsidRPr="003C0842">
        <w:t xml:space="preserve"> cierpiała za winy nie własne, znienawidzona z powodu rozwiązań uznanych za wrogie lub niezgodne z zapowiedziami i oczekiwaniami. </w:t>
      </w:r>
    </w:p>
    <w:p w:rsidR="00B11B2A" w:rsidRPr="003C0842" w:rsidRDefault="00302F9A" w:rsidP="00111348">
      <w:pPr>
        <w:spacing w:line="360" w:lineRule="auto"/>
        <w:ind w:firstLine="709"/>
      </w:pPr>
      <w:r w:rsidRPr="003C0842">
        <w:t xml:space="preserve">Chętnie i </w:t>
      </w:r>
      <w:r w:rsidR="00B11B2A" w:rsidRPr="003C0842">
        <w:t>często</w:t>
      </w:r>
      <w:r w:rsidR="00720F59" w:rsidRPr="003C0842">
        <w:t xml:space="preserve"> wskazywano na stanowisko Rady Ligi z 12 października 1921 r. w sprawie podziału Górnego Śląska. Skoro za pozostaniem Górnego Śląska w granicach Niemiec opowiedziało się 60% głosujących, to decyzja o podziale terytorium plebiscytowego była traktowana jako międzynarodowe, antyniemieckie oszustwo i ewidentne sprzeniewierzenie się woli większości.</w:t>
      </w:r>
      <w:r w:rsidR="00053D3F" w:rsidRPr="003C0842">
        <w:t>S</w:t>
      </w:r>
      <w:r w:rsidR="008B5C78" w:rsidRPr="003C0842">
        <w:t>tronnicz</w:t>
      </w:r>
      <w:r w:rsidR="00053D3F" w:rsidRPr="003C0842">
        <w:t>a</w:t>
      </w:r>
      <w:r w:rsidR="008B5C78" w:rsidRPr="003C0842">
        <w:t xml:space="preserve"> Międzysojusznicz</w:t>
      </w:r>
      <w:r w:rsidR="00053D3F" w:rsidRPr="003C0842">
        <w:t>a Komisja</w:t>
      </w:r>
      <w:r w:rsidR="008B5C78" w:rsidRPr="003C0842">
        <w:t xml:space="preserve"> Plebiscytow</w:t>
      </w:r>
      <w:r w:rsidR="00053D3F" w:rsidRPr="003C0842">
        <w:t>a w</w:t>
      </w:r>
      <w:r w:rsidR="008B5C78" w:rsidRPr="003C0842">
        <w:t xml:space="preserve"> czerwcu 1921 r. wymusiła zaprzestanie ofensywy przeciwko uczestnikom III powstania, którzy </w:t>
      </w:r>
      <w:r w:rsidR="001A6219" w:rsidRPr="003C0842">
        <w:t xml:space="preserve">podnieśli przecież rękę na </w:t>
      </w:r>
      <w:r w:rsidR="00053D3F" w:rsidRPr="003C0842">
        <w:t>własne</w:t>
      </w:r>
      <w:r w:rsidR="001A6219" w:rsidRPr="003C0842">
        <w:t xml:space="preserve"> państw</w:t>
      </w:r>
      <w:r w:rsidR="00053D3F" w:rsidRPr="003C0842">
        <w:t>o</w:t>
      </w:r>
      <w:r w:rsidR="001A6219" w:rsidRPr="003C0842">
        <w:t xml:space="preserve">. Trwające wiele miesięcy zmagania w sprawie losów Górnego Śląska stały się trwałym składnikiem </w:t>
      </w:r>
      <w:r w:rsidR="00B11B2A" w:rsidRPr="003C0842">
        <w:t>ogólno</w:t>
      </w:r>
      <w:r w:rsidR="0091624C">
        <w:t>nie</w:t>
      </w:r>
      <w:r w:rsidR="001A6219" w:rsidRPr="003C0842">
        <w:t>mieckiej świadomości, zdominowanej wrogością do wszystkiego i wszystkich, którzy uczestniczyli w powzięciu tej</w:t>
      </w:r>
      <w:r w:rsidR="00422B30" w:rsidRPr="003C0842">
        <w:t>,</w:t>
      </w:r>
      <w:r w:rsidR="001A6219" w:rsidRPr="003C0842">
        <w:t xml:space="preserve"> tak bolesnej dla nich decyzji. </w:t>
      </w:r>
    </w:p>
    <w:p w:rsidR="00720F59" w:rsidRPr="003C0842" w:rsidRDefault="001A6219" w:rsidP="00111348">
      <w:pPr>
        <w:spacing w:line="360" w:lineRule="auto"/>
        <w:ind w:firstLine="709"/>
      </w:pPr>
      <w:r w:rsidRPr="003C0842">
        <w:t>Wśród nich była też Liga Narodów, która przez niemal rok poszukiwała rozwiązani</w:t>
      </w:r>
      <w:r w:rsidR="00422B30" w:rsidRPr="003C0842">
        <w:t>a</w:t>
      </w:r>
      <w:r w:rsidRPr="003C0842">
        <w:t xml:space="preserve"> możliwego do przyjęcia przez obie strony. Decyzje wypracowane w Genewie i przyjęte przez Konferencję Ambasadorów 20 października 1921 r. wywołały w Niemczech powszechny lament i złość. Z drugiej strony nie brakowało głosów, że rozwiązanie wówczas przyjęte, jak również polsko-niemiecka konwencja górnośląska </w:t>
      </w:r>
      <w:r w:rsidR="00B11B2A" w:rsidRPr="003C0842">
        <w:t>o</w:t>
      </w:r>
      <w:r w:rsidRPr="003C0842">
        <w:t>pracowana pod nadzorem przedstawicieli Ligi</w:t>
      </w:r>
      <w:r w:rsidR="00B11B2A" w:rsidRPr="003C0842">
        <w:t>,</w:t>
      </w:r>
      <w:r w:rsidRPr="003C0842">
        <w:t xml:space="preserve"> znalazły się pośród jej znaczących, stosunkowo trwałych sukcesów</w:t>
      </w:r>
      <w:r w:rsidR="00D12CE8" w:rsidRPr="003C0842">
        <w:rPr>
          <w:rStyle w:val="Odwoanieprzypisudolnego"/>
          <w:rFonts w:ascii="Times New Roman" w:hAnsi="Times New Roman"/>
          <w:sz w:val="24"/>
        </w:rPr>
        <w:footnoteReference w:id="120"/>
      </w:r>
      <w:r w:rsidRPr="003C0842">
        <w:t>.</w:t>
      </w:r>
    </w:p>
    <w:p w:rsidR="00E25880" w:rsidRPr="003C0842" w:rsidRDefault="00D12CE8" w:rsidP="00302F9A">
      <w:pPr>
        <w:spacing w:line="360" w:lineRule="auto"/>
        <w:ind w:firstLine="709"/>
      </w:pPr>
      <w:r w:rsidRPr="003C0842">
        <w:t xml:space="preserve">Protesty i zabiegi odnośnie </w:t>
      </w:r>
      <w:r w:rsidR="00C35DD3" w:rsidRPr="003C0842">
        <w:t xml:space="preserve">do </w:t>
      </w:r>
      <w:r w:rsidRPr="003C0842">
        <w:t>przynależności Górnego Śląska znalazły się też wśród zdecydowanych i jednoznacznie formułowanych punktów niemieckiego oporu przeciwko terytorialnym zmianom po I wojnie światowej. Przypominając o doznanej niesprawiedliwości</w:t>
      </w:r>
      <w:r w:rsidR="00C35DD3" w:rsidRPr="003C0842">
        <w:t>,</w:t>
      </w:r>
      <w:r w:rsidRPr="003C0842">
        <w:t xml:space="preserve"> niemieccy przywódcy dbali o stonowany stosunek do Genewy</w:t>
      </w:r>
      <w:r w:rsidR="0091624C">
        <w:t>,</w:t>
      </w:r>
      <w:r w:rsidRPr="003C0842">
        <w:t xml:space="preserve"> deklarując pro foro externo wolę pozytywnej współpracy. Jednocześnie kolejne rządy w Berlinie</w:t>
      </w:r>
      <w:r w:rsidR="00C35DD3" w:rsidRPr="003C0842">
        <w:t>,</w:t>
      </w:r>
      <w:r w:rsidRPr="003C0842">
        <w:t xml:space="preserve"> akceptując na ogół „wizerunkowy” kierunek aktywności Niemców </w:t>
      </w:r>
      <w:r w:rsidR="00CA19BD" w:rsidRPr="003C0842">
        <w:t xml:space="preserve">w różnych </w:t>
      </w:r>
      <w:r w:rsidR="00CA19BD" w:rsidRPr="003C0842">
        <w:lastRenderedPageBreak/>
        <w:t>genewskich organizacjach, instytucjach czy przedsięwzięciach</w:t>
      </w:r>
      <w:r w:rsidR="00302F9A" w:rsidRPr="003C0842">
        <w:t>,</w:t>
      </w:r>
      <w:r w:rsidR="00CA19BD" w:rsidRPr="003C0842">
        <w:t xml:space="preserve"> liczyły na ich przychylność i dobrą pamięć, kiedy sprawa ich akcesji dojrzeje.</w:t>
      </w:r>
    </w:p>
    <w:p w:rsidR="00E25880" w:rsidRPr="003C0842" w:rsidRDefault="00E25880" w:rsidP="00111348">
      <w:pPr>
        <w:spacing w:line="360" w:lineRule="auto"/>
        <w:ind w:firstLine="709"/>
      </w:pPr>
    </w:p>
    <w:p w:rsidR="00E25880" w:rsidRPr="003C0842" w:rsidRDefault="00E25880" w:rsidP="00111348">
      <w:pPr>
        <w:spacing w:line="360" w:lineRule="auto"/>
        <w:ind w:firstLine="709"/>
      </w:pPr>
    </w:p>
    <w:p w:rsidR="00E05216" w:rsidRPr="003C0842" w:rsidRDefault="00E25880" w:rsidP="00111348">
      <w:pPr>
        <w:spacing w:line="360" w:lineRule="auto"/>
        <w:ind w:firstLine="0"/>
        <w:outlineLvl w:val="0"/>
        <w:rPr>
          <w:b/>
        </w:rPr>
      </w:pPr>
      <w:r w:rsidRPr="003C0842">
        <w:rPr>
          <w:b/>
        </w:rPr>
        <w:t>2</w:t>
      </w:r>
      <w:r w:rsidR="00E05216" w:rsidRPr="003C0842">
        <w:rPr>
          <w:b/>
        </w:rPr>
        <w:t>. Techniczna obecność Niemców w Genewie</w:t>
      </w:r>
    </w:p>
    <w:p w:rsidR="00E05216" w:rsidRPr="003C0842" w:rsidRDefault="00E05216" w:rsidP="00111348">
      <w:pPr>
        <w:spacing w:line="360" w:lineRule="auto"/>
        <w:ind w:firstLine="709"/>
      </w:pPr>
    </w:p>
    <w:p w:rsidR="00E05216" w:rsidRPr="003C0842" w:rsidRDefault="00E25880" w:rsidP="00111348">
      <w:pPr>
        <w:spacing w:line="360" w:lineRule="auto"/>
        <w:ind w:firstLine="709"/>
        <w:outlineLvl w:val="0"/>
      </w:pPr>
      <w:r w:rsidRPr="003C0842">
        <w:t>a</w:t>
      </w:r>
      <w:r w:rsidR="0080192E">
        <w:t>.</w:t>
      </w:r>
      <w:r w:rsidR="00E05216" w:rsidRPr="003C0842">
        <w:t xml:space="preserve"> Międzynaro</w:t>
      </w:r>
      <w:r w:rsidR="00C35DD3" w:rsidRPr="003C0842">
        <w:t>dowa Organizacja Pracy</w:t>
      </w:r>
    </w:p>
    <w:p w:rsidR="00E05216" w:rsidRPr="003C0842" w:rsidRDefault="00E05216" w:rsidP="00111348">
      <w:pPr>
        <w:spacing w:line="360" w:lineRule="auto"/>
        <w:ind w:firstLine="709"/>
      </w:pPr>
    </w:p>
    <w:p w:rsidR="00CC79DE" w:rsidRPr="003C0842" w:rsidRDefault="00E05216" w:rsidP="00111348">
      <w:pPr>
        <w:spacing w:line="360" w:lineRule="auto"/>
        <w:ind w:firstLine="709"/>
      </w:pPr>
      <w:r w:rsidRPr="003C0842">
        <w:t xml:space="preserve">Pozycja gospodarcza i społeczno-polityczna państw centralnych, w tym zwłaszcza Niemiec, w sposób naturalny popychała je w kierunku współdziałania z Międzynarodową Organizacją Pracy (MOP). Była to </w:t>
      </w:r>
      <w:r w:rsidR="00053D3F" w:rsidRPr="003C0842">
        <w:t xml:space="preserve">integralna z LN, ale zarazem </w:t>
      </w:r>
      <w:r w:rsidRPr="003C0842">
        <w:t xml:space="preserve">wyodrębniona struktura skoncentrowana na sprawach gospodarczo-społecznych, </w:t>
      </w:r>
      <w:r w:rsidR="00302F9A" w:rsidRPr="003C0842">
        <w:t xml:space="preserve">zwłaszcza </w:t>
      </w:r>
      <w:r w:rsidRPr="003C0842">
        <w:t>warunk</w:t>
      </w:r>
      <w:r w:rsidR="00053D3F" w:rsidRPr="003C0842">
        <w:t>ach</w:t>
      </w:r>
      <w:r w:rsidRPr="003C0842">
        <w:t xml:space="preserve"> i </w:t>
      </w:r>
      <w:r w:rsidR="00B11B2A" w:rsidRPr="003C0842">
        <w:t xml:space="preserve">czasie </w:t>
      </w:r>
      <w:r w:rsidRPr="003C0842">
        <w:t>pracy, ubezpiecze</w:t>
      </w:r>
      <w:r w:rsidR="00053D3F" w:rsidRPr="003C0842">
        <w:t>niach</w:t>
      </w:r>
      <w:r w:rsidRPr="003C0842">
        <w:t xml:space="preserve">, równego traktowania kobiet i mężczyzn, ochrony dzieci, wolności związkowych. Miała ona służyć wyrównywaniu ogromnych różnic występujących w tych </w:t>
      </w:r>
      <w:r w:rsidR="00302F9A" w:rsidRPr="003C0842">
        <w:t>sprawach</w:t>
      </w:r>
      <w:r w:rsidRPr="003C0842">
        <w:t xml:space="preserve"> oraz </w:t>
      </w:r>
      <w:r w:rsidR="00053D3F" w:rsidRPr="003C0842">
        <w:t xml:space="preserve">dążyć do </w:t>
      </w:r>
      <w:r w:rsidRPr="003C0842">
        <w:t xml:space="preserve">międzynarodowego dialogu świata pracy, pracodawców i przedstawicieli rządów. </w:t>
      </w:r>
      <w:r w:rsidR="00982F7B" w:rsidRPr="003C0842">
        <w:t>Na coroczne Konfer</w:t>
      </w:r>
      <w:r w:rsidR="007F1AE6" w:rsidRPr="003C0842">
        <w:t xml:space="preserve">encje Ogólne MOP każde z państw </w:t>
      </w:r>
      <w:r w:rsidR="00982F7B" w:rsidRPr="003C0842">
        <w:t>członków delegowało 4 przedstawicieli</w:t>
      </w:r>
      <w:r w:rsidR="000517DA" w:rsidRPr="003C0842">
        <w:t xml:space="preserve"> – </w:t>
      </w:r>
      <w:r w:rsidR="00B11B2A" w:rsidRPr="003C0842">
        <w:t>dwóch</w:t>
      </w:r>
      <w:r w:rsidR="00982F7B" w:rsidRPr="003C0842">
        <w:t xml:space="preserve"> reprezentowało rząd</w:t>
      </w:r>
      <w:r w:rsidR="00B11B2A" w:rsidRPr="003C0842">
        <w:t xml:space="preserve">, jeden pracodawców i jeden </w:t>
      </w:r>
      <w:r w:rsidR="00982F7B" w:rsidRPr="003C0842">
        <w:t>pracowników</w:t>
      </w:r>
      <w:r w:rsidR="00982F7B" w:rsidRPr="003C0842">
        <w:rPr>
          <w:rStyle w:val="Odwoanieprzypisudolnego"/>
          <w:rFonts w:ascii="Times New Roman" w:hAnsi="Times New Roman"/>
          <w:sz w:val="24"/>
        </w:rPr>
        <w:footnoteReference w:id="121"/>
      </w:r>
      <w:r w:rsidR="00982F7B" w:rsidRPr="003C0842">
        <w:t>. Jakkolwiek twórcy Ligi sytuowali MOP jako jej część integralną, to jednak wszechobecna rywalizacja wśród zwycięzców powodowała, że stopniowo obie te instytucje ewoluowały w</w:t>
      </w:r>
      <w:r w:rsidR="00B11B2A" w:rsidRPr="003C0842">
        <w:t xml:space="preserve"> kierunku odrębności. Uwypuklał</w:t>
      </w:r>
      <w:r w:rsidR="00982F7B" w:rsidRPr="003C0842">
        <w:t xml:space="preserve"> to wyb</w:t>
      </w:r>
      <w:r w:rsidR="00B11B2A" w:rsidRPr="003C0842">
        <w:t>ó</w:t>
      </w:r>
      <w:r w:rsidR="00982F7B" w:rsidRPr="003C0842">
        <w:t>r na stanowisko dyrektora generalnego MOP francuskiego polityka Alberta Thomasa. W roli lidera prac przygotowawczych zdystansował on sekretarza generalnego LN</w:t>
      </w:r>
      <w:r w:rsidR="00302F9A" w:rsidRPr="003C0842">
        <w:t>,</w:t>
      </w:r>
      <w:r w:rsidR="00F672ED" w:rsidRPr="003C0842">
        <w:t>zwołując na 29 października 1919 r. I Konferencję MOP do Waszyngtonu. Przez miesiąc ścierały się</w:t>
      </w:r>
      <w:r w:rsidR="00053D3F" w:rsidRPr="003C0842">
        <w:t xml:space="preserve">tam </w:t>
      </w:r>
      <w:r w:rsidR="00F672ED" w:rsidRPr="003C0842">
        <w:t>poglądy delegatów reprezentujących 40 państw, w tym po 25 pracodawców i robotników i 73 rządowych</w:t>
      </w:r>
      <w:r w:rsidR="00F672ED" w:rsidRPr="003C0842">
        <w:rPr>
          <w:rStyle w:val="Odwoanieprzypisudolnego"/>
          <w:rFonts w:ascii="Times New Roman" w:hAnsi="Times New Roman"/>
          <w:sz w:val="24"/>
        </w:rPr>
        <w:footnoteReference w:id="122"/>
      </w:r>
      <w:r w:rsidR="00982F7B" w:rsidRPr="003C0842">
        <w:t xml:space="preserve">. </w:t>
      </w:r>
    </w:p>
    <w:p w:rsidR="00BB0F5F" w:rsidRPr="003C0842" w:rsidRDefault="00CC79DE" w:rsidP="00111348">
      <w:pPr>
        <w:spacing w:line="360" w:lineRule="auto"/>
        <w:ind w:firstLine="709"/>
      </w:pPr>
      <w:r w:rsidRPr="003C0842">
        <w:t>Wśród wielu kontrowersji inauguracyjnego spotkania było przyjęcie do organizacji Niemiec i Au</w:t>
      </w:r>
      <w:r w:rsidR="00250D89" w:rsidRPr="003C0842">
        <w:t>strii, które taką wolę zgłosiły. Zamiar t</w:t>
      </w:r>
      <w:r w:rsidR="00053D3F" w:rsidRPr="003C0842">
        <w:t>en</w:t>
      </w:r>
      <w:r w:rsidR="00250D89" w:rsidRPr="003C0842">
        <w:t xml:space="preserve"> był jednak sprzeczny z art. 387 traktatu wersalskiego, który mówił, że każdy członek Ligi jest zarazem członkiem MOP. </w:t>
      </w:r>
      <w:r w:rsidR="00BB0F5F" w:rsidRPr="003C0842">
        <w:t>A</w:t>
      </w:r>
      <w:r w:rsidR="00250D89" w:rsidRPr="003C0842">
        <w:t>ni Austria, ani Niemcy nie spełniały tego warunku</w:t>
      </w:r>
      <w:r w:rsidR="00BB0F5F" w:rsidRPr="003C0842">
        <w:t xml:space="preserve">. </w:t>
      </w:r>
      <w:r w:rsidR="00053D3F" w:rsidRPr="003C0842">
        <w:t xml:space="preserve">O </w:t>
      </w:r>
      <w:r w:rsidR="00E16F31" w:rsidRPr="003C0842">
        <w:t>losach</w:t>
      </w:r>
      <w:r w:rsidR="00053D3F" w:rsidRPr="003C0842">
        <w:t xml:space="preserve"> wniosku p</w:t>
      </w:r>
      <w:r w:rsidR="00BB0F5F" w:rsidRPr="003C0842">
        <w:t>rzesądził</w:t>
      </w:r>
      <w:r w:rsidR="00250D89" w:rsidRPr="003C0842">
        <w:t xml:space="preserve"> nacisk delegacji </w:t>
      </w:r>
      <w:r w:rsidR="00250D89" w:rsidRPr="003C0842">
        <w:lastRenderedPageBreak/>
        <w:t>robotniczych Szwajcarii i państw skandynawskich</w:t>
      </w:r>
      <w:r w:rsidR="00BB0F5F" w:rsidRPr="003C0842">
        <w:t>, które groziły wycofaniem z obrad delegatów robotniczych związanych z II Międzynarodówką</w:t>
      </w:r>
      <w:r w:rsidR="009A4B86" w:rsidRPr="003C0842">
        <w:t>.</w:t>
      </w:r>
      <w:r w:rsidR="00BB0F5F" w:rsidRPr="003C0842">
        <w:t xml:space="preserve">Albert Thomas </w:t>
      </w:r>
      <w:r w:rsidR="00E16F31" w:rsidRPr="003C0842">
        <w:t xml:space="preserve">nie bez trudu </w:t>
      </w:r>
      <w:r w:rsidR="00BB0F5F" w:rsidRPr="003C0842">
        <w:t xml:space="preserve">uzyskał poparcie </w:t>
      </w:r>
      <w:r w:rsidR="00E16F31" w:rsidRPr="003C0842">
        <w:t>rodak</w:t>
      </w:r>
      <w:r w:rsidR="00302F9A" w:rsidRPr="003C0842">
        <w:t>ów</w:t>
      </w:r>
      <w:r w:rsidR="00E16F31" w:rsidRPr="003C0842">
        <w:t xml:space="preserve"> reprezentując</w:t>
      </w:r>
      <w:r w:rsidR="00302F9A" w:rsidRPr="003C0842">
        <w:t xml:space="preserve">ych </w:t>
      </w:r>
      <w:r w:rsidR="00BB0F5F" w:rsidRPr="003C0842">
        <w:t>Francj</w:t>
      </w:r>
      <w:r w:rsidR="00E16F31" w:rsidRPr="003C0842">
        <w:t>ę. T</w:t>
      </w:r>
      <w:r w:rsidR="00302F9A" w:rsidRPr="003C0842">
        <w:t>ak więc</w:t>
      </w:r>
      <w:r w:rsidR="009A4B86" w:rsidRPr="003C0842">
        <w:t>30 października oba państwa</w:t>
      </w:r>
      <w:r w:rsidR="00B15F12" w:rsidRPr="003C0842">
        <w:t xml:space="preserve"> z grupy pokonanych </w:t>
      </w:r>
      <w:r w:rsidR="009A4B86" w:rsidRPr="003C0842">
        <w:t xml:space="preserve">stały się członkami MOP. </w:t>
      </w:r>
      <w:r w:rsidR="00250D89" w:rsidRPr="003C0842">
        <w:t>Chociaż</w:t>
      </w:r>
      <w:r w:rsidR="00B15F12" w:rsidRPr="003C0842">
        <w:t xml:space="preserve"> ich</w:t>
      </w:r>
      <w:r w:rsidR="00250D89" w:rsidRPr="003C0842">
        <w:t xml:space="preserve"> delegaci nie mogli dotrzeć na czas, to jednak zaproszenie został</w:t>
      </w:r>
      <w:r w:rsidR="00BB0F5F" w:rsidRPr="003C0842">
        <w:t>o</w:t>
      </w:r>
      <w:r w:rsidR="00250D89" w:rsidRPr="003C0842">
        <w:t xml:space="preserve"> wysłane</w:t>
      </w:r>
      <w:r w:rsidR="00BB0F5F" w:rsidRPr="003C0842">
        <w:t xml:space="preserve">. </w:t>
      </w:r>
    </w:p>
    <w:p w:rsidR="00477022" w:rsidRPr="003C0842" w:rsidRDefault="00250D89" w:rsidP="00111348">
      <w:pPr>
        <w:spacing w:line="360" w:lineRule="auto"/>
        <w:ind w:firstLine="709"/>
      </w:pPr>
      <w:r w:rsidRPr="003C0842">
        <w:t xml:space="preserve">Precedens ten, jedyny </w:t>
      </w:r>
      <w:r w:rsidR="00E16F31" w:rsidRPr="003C0842">
        <w:t xml:space="preserve">tego rodzaju </w:t>
      </w:r>
      <w:r w:rsidRPr="003C0842">
        <w:t xml:space="preserve">w dziejach Ligi, był </w:t>
      </w:r>
      <w:r w:rsidR="00E16F31" w:rsidRPr="003C0842">
        <w:t>źródłem</w:t>
      </w:r>
      <w:r w:rsidRPr="003C0842">
        <w:t xml:space="preserve"> niechętnych komentarzy. Za faworyzowanie nowo przyjętych uznawano np. urzędowe publikacje MOP w wersji niemieckiej, obok obowiązujących w całej organizacji języków angielskiego i francuskiego</w:t>
      </w:r>
      <w:r w:rsidR="009A4B86" w:rsidRPr="003C0842">
        <w:rPr>
          <w:rStyle w:val="Odwoanieprzypisudolnego"/>
          <w:rFonts w:ascii="Times New Roman" w:hAnsi="Times New Roman"/>
          <w:sz w:val="24"/>
        </w:rPr>
        <w:footnoteReference w:id="123"/>
      </w:r>
      <w:r w:rsidRPr="003C0842">
        <w:t xml:space="preserve">. </w:t>
      </w:r>
      <w:r w:rsidR="00477022" w:rsidRPr="003C0842">
        <w:t xml:space="preserve">Aktywność ta wynikała z nacisków przedstawicieli robotników w MOP, aby wiadomości o ich działalności docierały bezpośrednio do najbardziej zainteresowanych, w zrozumiałym dla nich języku. To w MOP najwcześniej i najostrzej wystąpił problem komunikacji między delegatami, niektórzy </w:t>
      </w:r>
      <w:r w:rsidR="007F1AE6" w:rsidRPr="003C0842">
        <w:t>bowiem</w:t>
      </w:r>
      <w:r w:rsidR="00477022" w:rsidRPr="003C0842">
        <w:t xml:space="preserve">nie znali żadnego z dwóch obowiązujących języków lub znali je słabo. </w:t>
      </w:r>
      <w:r w:rsidR="00AB2D72" w:rsidRPr="003C0842">
        <w:t>Zmiany</w:t>
      </w:r>
      <w:r w:rsidR="007F1AE6" w:rsidRPr="003C0842">
        <w:t>,</w:t>
      </w:r>
      <w:r w:rsidR="00AB2D72" w:rsidRPr="003C0842">
        <w:t xml:space="preserve"> jakie zachodziły w czasie wojny i po niej</w:t>
      </w:r>
      <w:r w:rsidR="00B15F12" w:rsidRPr="003C0842">
        <w:t>,</w:t>
      </w:r>
      <w:r w:rsidR="00AB2D72" w:rsidRPr="003C0842">
        <w:t xml:space="preserve"> wyrażające się dopływem do polityki i urzędów państwowych osób „z ludu” (głównie z partii socjaldemokratycznych) oraz szeroko pojęta demokratyzacja relacji międzynarodowych, wyostrzyły problem „pośredników językowych”. Zjawisko to wystąpiło zresztą już podczas konferencji pokojowej w </w:t>
      </w:r>
      <w:r w:rsidR="00B15F12" w:rsidRPr="003C0842">
        <w:t>P</w:t>
      </w:r>
      <w:r w:rsidR="00AB2D72" w:rsidRPr="003C0842">
        <w:t>aryżu,gdzie pojawiła się funkcja oficjalnego tłumacza, którym był Paul Mantoux</w:t>
      </w:r>
      <w:r w:rsidR="00AB2D72" w:rsidRPr="003C0842">
        <w:rPr>
          <w:rStyle w:val="Odwoanieprzypisudolnego"/>
          <w:rFonts w:ascii="Times New Roman" w:hAnsi="Times New Roman"/>
          <w:sz w:val="24"/>
        </w:rPr>
        <w:footnoteReference w:id="124"/>
      </w:r>
      <w:r w:rsidR="00AB2D72" w:rsidRPr="003C0842">
        <w:t>.</w:t>
      </w:r>
    </w:p>
    <w:p w:rsidR="00477022" w:rsidRPr="003C0842" w:rsidRDefault="00F76E01" w:rsidP="00111348">
      <w:pPr>
        <w:spacing w:line="360" w:lineRule="auto"/>
        <w:ind w:firstLine="709"/>
      </w:pPr>
      <w:r w:rsidRPr="003C0842">
        <w:t>Nie było też przypadkiem, że to właśnie w Niemczech, gdzie po wojnie dokonywała się wymiana elit</w:t>
      </w:r>
      <w:r w:rsidR="00B15F12" w:rsidRPr="003C0842">
        <w:t>y</w:t>
      </w:r>
      <w:r w:rsidRPr="003C0842">
        <w:t xml:space="preserve"> władzy</w:t>
      </w:r>
      <w:r w:rsidR="00B15F12" w:rsidRPr="003C0842">
        <w:t>,</w:t>
      </w:r>
      <w:r w:rsidRPr="003C0842">
        <w:t xml:space="preserve"> dostrzeżono potrzebę kształcenia tłumaczy konferencyjnych w trybie konsek</w:t>
      </w:r>
      <w:r w:rsidR="001430C2" w:rsidRPr="003C0842">
        <w:t>u</w:t>
      </w:r>
      <w:r w:rsidRPr="003C0842">
        <w:t>t</w:t>
      </w:r>
      <w:r w:rsidR="001430C2" w:rsidRPr="003C0842">
        <w:t>yw</w:t>
      </w:r>
      <w:r w:rsidRPr="003C0842">
        <w:t>nym, zdanie po zdaniu, choć także większe fragmenty lub całe wystąpienia</w:t>
      </w:r>
      <w:r w:rsidRPr="003C0842">
        <w:rPr>
          <w:rStyle w:val="Odwoanieprzypisudolnego"/>
          <w:rFonts w:ascii="Times New Roman" w:hAnsi="Times New Roman"/>
          <w:sz w:val="24"/>
        </w:rPr>
        <w:footnoteReference w:id="125"/>
      </w:r>
      <w:r w:rsidRPr="003C0842">
        <w:t>.</w:t>
      </w:r>
      <w:r w:rsidR="00AA59A1" w:rsidRPr="003C0842">
        <w:t xml:space="preserve"> Wymóg tłumaczenia każdego przemówienia na dwa oficjalne języki nie tylko poważnie wydłużał każde obrady, ale także negatywnie wpływał na charakter dyskusji i dynamikę zdarzeń. W 1925 r. </w:t>
      </w:r>
      <w:r w:rsidR="00D52D36" w:rsidRPr="003C0842">
        <w:t xml:space="preserve">tłumacz z Bostonu Edward Filene opracował metodę </w:t>
      </w:r>
      <w:r w:rsidR="00AA59A1" w:rsidRPr="003C0842">
        <w:lastRenderedPageBreak/>
        <w:t>tłumaczenia quasi</w:t>
      </w:r>
      <w:r w:rsidR="007F1AE6" w:rsidRPr="003C0842">
        <w:t>-</w:t>
      </w:r>
      <w:r w:rsidR="00AA59A1" w:rsidRPr="003C0842">
        <w:t>symultanicznego,</w:t>
      </w:r>
      <w:r w:rsidR="00D52D36" w:rsidRPr="003C0842">
        <w:t xml:space="preserve"> którą testowano</w:t>
      </w:r>
      <w:r w:rsidR="00164D91" w:rsidRPr="003C0842">
        <w:t xml:space="preserve"> z powodzeniem </w:t>
      </w:r>
      <w:r w:rsidR="00AA59A1" w:rsidRPr="003C0842">
        <w:t>w MOP</w:t>
      </w:r>
      <w:r w:rsidR="00164D91" w:rsidRPr="003C0842">
        <w:t xml:space="preserve">. </w:t>
      </w:r>
      <w:r w:rsidR="00A24871" w:rsidRPr="003C0842">
        <w:t>Jesús Baigorri-Jalon podaje, że p</w:t>
      </w:r>
      <w:r w:rsidR="00164D91" w:rsidRPr="003C0842">
        <w:t xml:space="preserve">odczas konferencji MBP w 1928 r. słuchacze mogli porozumiewać się w siedmiu różnych </w:t>
      </w:r>
      <w:r w:rsidR="00A24871" w:rsidRPr="003C0842">
        <w:t>językach</w:t>
      </w:r>
      <w:r w:rsidR="00AA59A1" w:rsidRPr="003C0842">
        <w:rPr>
          <w:rStyle w:val="Odwoanieprzypisudolnego"/>
          <w:rFonts w:ascii="Times New Roman" w:hAnsi="Times New Roman"/>
          <w:sz w:val="24"/>
        </w:rPr>
        <w:footnoteReference w:id="126"/>
      </w:r>
      <w:r w:rsidR="00AA59A1" w:rsidRPr="003C0842">
        <w:t>.</w:t>
      </w:r>
    </w:p>
    <w:p w:rsidR="00E25880" w:rsidRPr="003C0842" w:rsidRDefault="005A2D2A" w:rsidP="00C36A56">
      <w:pPr>
        <w:spacing w:line="360" w:lineRule="auto"/>
        <w:ind w:firstLine="709"/>
      </w:pPr>
      <w:r w:rsidRPr="003C0842">
        <w:t>Kongresy MOP podobnie jak obrady jego organów wykonawczych wywoływały powszechne zainteresowanie</w:t>
      </w:r>
      <w:r w:rsidR="007F1AE6" w:rsidRPr="003C0842">
        <w:t>, zwłaszcza</w:t>
      </w:r>
      <w:r w:rsidRPr="003C0842">
        <w:t xml:space="preserve"> że tematem nagminnie dyskutowanym była długość dnia pracy. Konwencja przyjęta podczas pierwszego kongresu w Waszyngtonie mówiła o 8-godzinnym dniu pracy. Tymczasem w Niemczech (nie tylko zresztą) we wszystkich gałęziach przemysłu obowiązywał 10-godzinny dzień pracy. Pojawiające się od czasu do czasu pogłoski o zmianie tej sytuacji okazywały się jedynie kolejnym wszczęciem dyskusji przez przedstawicieli grupy robotników. Powoływano się przy tym nie tyle na zapisy art. 23 Paktu, który mówił o zadaniach Ligi w sferze spraw socjalno-społecznych, ile na część XIII traktatu wersalskiego zatytułowanego „Praca” (art. 387</w:t>
      </w:r>
      <w:r w:rsidR="00167772" w:rsidRPr="003C0842">
        <w:t>-</w:t>
      </w:r>
      <w:r w:rsidRPr="003C0842">
        <w:t xml:space="preserve">426). Mówiło się tam pięknie o sprawiedliwości społecznej, harmonii powszechnej, ludzkich warunkach pracy, polepszeniu losu robotników jako </w:t>
      </w:r>
      <w:r w:rsidR="00B11B2A" w:rsidRPr="003C0842">
        <w:t xml:space="preserve">elementu (nieraz </w:t>
      </w:r>
      <w:r w:rsidRPr="003C0842">
        <w:t>warunk</w:t>
      </w:r>
      <w:r w:rsidR="00B11B2A" w:rsidRPr="003C0842">
        <w:t>u)</w:t>
      </w:r>
      <w:r w:rsidRPr="003C0842">
        <w:t xml:space="preserve"> współdecydując</w:t>
      </w:r>
      <w:r w:rsidR="00B11B2A" w:rsidRPr="003C0842">
        <w:t>ego</w:t>
      </w:r>
      <w:r w:rsidRPr="003C0842">
        <w:t xml:space="preserve"> o powszechnym pokoju. </w:t>
      </w:r>
      <w:r w:rsidR="001B34F0" w:rsidRPr="003C0842">
        <w:t xml:space="preserve">Członkowie MOP byli zobowiązani do uczestniczenia w realizacji tych celów, znajdujących zresztą </w:t>
      </w:r>
      <w:r w:rsidR="008579B1" w:rsidRPr="003C0842">
        <w:t>masową</w:t>
      </w:r>
      <w:r w:rsidR="001B34F0" w:rsidRPr="003C0842">
        <w:t xml:space="preserve"> aprobatę i przykuwającą do nowych organizacji życzliwą uwagę. To jeden z powodów rozrostu ilościowego komitetów, komisji i organów ekspercko-doradczych podejmujących coraz liczniejsze i rozleglejsze</w:t>
      </w:r>
      <w:r w:rsidR="000517DA" w:rsidRPr="003C0842">
        <w:t xml:space="preserve"> – </w:t>
      </w:r>
      <w:r w:rsidR="001B34F0" w:rsidRPr="003C0842">
        <w:t>merytorycznie i terytorialnie</w:t>
      </w:r>
      <w:r w:rsidR="000517DA" w:rsidRPr="003C0842">
        <w:t xml:space="preserve"> – </w:t>
      </w:r>
      <w:r w:rsidR="001B34F0" w:rsidRPr="003C0842">
        <w:t>działania w obszarze spraw społecznych.</w:t>
      </w:r>
    </w:p>
    <w:p w:rsidR="00E25880" w:rsidRPr="003C0842" w:rsidRDefault="00E25880" w:rsidP="00111348">
      <w:pPr>
        <w:spacing w:line="360" w:lineRule="auto"/>
        <w:ind w:firstLine="709"/>
      </w:pPr>
    </w:p>
    <w:p w:rsidR="001B34F0" w:rsidRPr="003C0842" w:rsidRDefault="0080192E" w:rsidP="00111348">
      <w:pPr>
        <w:spacing w:line="360" w:lineRule="auto"/>
        <w:ind w:firstLine="709"/>
        <w:outlineLvl w:val="0"/>
      </w:pPr>
      <w:r>
        <w:t>b.</w:t>
      </w:r>
      <w:r w:rsidR="001B34F0" w:rsidRPr="003C0842">
        <w:t xml:space="preserve"> Aktywność społeczno-humanitarna</w:t>
      </w:r>
    </w:p>
    <w:p w:rsidR="001B34F0" w:rsidRPr="003C0842" w:rsidRDefault="001B34F0" w:rsidP="00111348">
      <w:pPr>
        <w:spacing w:line="360" w:lineRule="auto"/>
        <w:ind w:firstLine="709"/>
      </w:pPr>
    </w:p>
    <w:p w:rsidR="001B34F0" w:rsidRPr="003C0842" w:rsidRDefault="001B34F0" w:rsidP="00111348">
      <w:pPr>
        <w:spacing w:line="360" w:lineRule="auto"/>
        <w:ind w:firstLine="709"/>
      </w:pPr>
      <w:r w:rsidRPr="003C0842">
        <w:t>Stopniowo organizujący się Sekretariat LN przyciągał do Londynu, od jesieni 1920 r. do Genewy ludzi z licznych i różnych organizacji społecznych o zabarwieniu humanitarnym, którzy literalnie odczytywali wskazania zawarte w Pakcie Ligi czy też traktatach pokojowych.</w:t>
      </w:r>
      <w:r w:rsidR="00F32317" w:rsidRPr="003C0842">
        <w:t xml:space="preserve"> Zainteresowanie to, jak również troska o odpowiedni „image”, a także świadomość wielkich zadań stojących przed cywilizacją dziesiątkowaną przez brak higieny, epidemie, wielką śmiertelność noworodków,</w:t>
      </w:r>
      <w:r w:rsidR="008579B1" w:rsidRPr="003C0842">
        <w:t xml:space="preserve"> alkoholizm, </w:t>
      </w:r>
      <w:r w:rsidR="00F32317" w:rsidRPr="003C0842">
        <w:t xml:space="preserve">narkotyki itp. powodowało, że wśród 11 działających w permanencji sekcji Sekretariatu </w:t>
      </w:r>
      <w:r w:rsidR="008579B1" w:rsidRPr="003C0842">
        <w:t xml:space="preserve">nie mogło zabraknąć agend </w:t>
      </w:r>
      <w:r w:rsidR="00F32317" w:rsidRPr="003C0842">
        <w:t xml:space="preserve">zajmujących się sprawami o </w:t>
      </w:r>
      <w:r w:rsidR="00F32317" w:rsidRPr="003C0842">
        <w:lastRenderedPageBreak/>
        <w:t xml:space="preserve">charakterze społecznym. Chodzi głównie o Sekcję Higieny oraz Sekcję do Spraw Społecznych i Handlu Opium, </w:t>
      </w:r>
      <w:r w:rsidR="00881BDA" w:rsidRPr="003C0842">
        <w:t>chociaż</w:t>
      </w:r>
      <w:r w:rsidR="00F32317" w:rsidRPr="003C0842">
        <w:t xml:space="preserve"> również Sekcje Mandatów, WspółpracyIntelektualnej, a także Sekcję Informacyjną. Pamięta</w:t>
      </w:r>
      <w:r w:rsidR="00B11B2A" w:rsidRPr="003C0842">
        <w:t>ć trzeba</w:t>
      </w:r>
      <w:r w:rsidR="00F32317" w:rsidRPr="003C0842">
        <w:t>, że głównym celem</w:t>
      </w:r>
      <w:r w:rsidR="00881BDA" w:rsidRPr="003C0842">
        <w:t xml:space="preserve"> Sekretariatu(a więc i sekcji) </w:t>
      </w:r>
      <w:r w:rsidR="00F32317" w:rsidRPr="003C0842">
        <w:t>było organizowanie i wspieranie statutowych organów Ligi, które były powołane do realizacji określo</w:t>
      </w:r>
      <w:r w:rsidR="007B5AB0" w:rsidRPr="003C0842">
        <w:t xml:space="preserve">nych zadań, nie tylko ogólnych, </w:t>
      </w:r>
      <w:r w:rsidR="00F32317" w:rsidRPr="003C0842">
        <w:t>wymienionych przez Pakt, ale także wynikających z potrzeb chwili. Spośród trzech organizacji technicznych będących elementami struktury LN</w:t>
      </w:r>
      <w:r w:rsidR="00197AE1" w:rsidRPr="003C0842">
        <w:t xml:space="preserve"> (</w:t>
      </w:r>
      <w:r w:rsidR="00D8658F" w:rsidRPr="003C0842">
        <w:t xml:space="preserve">pierwsza </w:t>
      </w:r>
      <w:r w:rsidR="00197AE1" w:rsidRPr="003C0842">
        <w:t xml:space="preserve">Komunikacji i Tranzytu oraz </w:t>
      </w:r>
      <w:r w:rsidR="00D8658F" w:rsidRPr="003C0842">
        <w:t>druga Ekonomiczna</w:t>
      </w:r>
      <w:r w:rsidR="00197AE1" w:rsidRPr="003C0842">
        <w:t xml:space="preserve"> i Finansow</w:t>
      </w:r>
      <w:r w:rsidR="00D8658F" w:rsidRPr="003C0842">
        <w:t>a</w:t>
      </w:r>
      <w:r w:rsidR="00197AE1" w:rsidRPr="003C0842">
        <w:t>) owa trzecia</w:t>
      </w:r>
      <w:r w:rsidR="000517DA" w:rsidRPr="003C0842">
        <w:t xml:space="preserve"> – </w:t>
      </w:r>
      <w:r w:rsidR="00197AE1" w:rsidRPr="003C0842">
        <w:t xml:space="preserve">Organizacji Zdrowia, przykuwała szczególną, choć często emocjonalną uwagę, zwłaszcza różnych organizacji humanitarnych, religijnych, kobiecych itd. Sekcja Higieny, na której </w:t>
      </w:r>
      <w:r w:rsidR="007F1AE6" w:rsidRPr="003C0842">
        <w:t xml:space="preserve">czele </w:t>
      </w:r>
      <w:r w:rsidR="00197AE1" w:rsidRPr="003C0842">
        <w:t>stał dr Ludwik Rajchman</w:t>
      </w:r>
      <w:r w:rsidR="000517DA" w:rsidRPr="003C0842">
        <w:t xml:space="preserve"> – </w:t>
      </w:r>
      <w:r w:rsidR="00197AE1" w:rsidRPr="003C0842">
        <w:t>jedyny obywatel Polski piastujący tak wysokie stanowisko w Sekretariacie Ligi i to przez cały okres jej istnienia</w:t>
      </w:r>
      <w:r w:rsidR="007F1AE6" w:rsidRPr="003C0842">
        <w:t>–</w:t>
      </w:r>
      <w:r w:rsidR="00197AE1" w:rsidRPr="003C0842">
        <w:t xml:space="preserve"> należała do najliczniejszych i w 1926 r. miała 39 pracowników. Sekcja ta</w:t>
      </w:r>
      <w:r w:rsidR="00881BDA" w:rsidRPr="003C0842">
        <w:t>,</w:t>
      </w:r>
      <w:r w:rsidR="00197AE1" w:rsidRPr="003C0842">
        <w:t xml:space="preserve"> jako całość</w:t>
      </w:r>
      <w:r w:rsidR="00881BDA" w:rsidRPr="003C0842">
        <w:t>,</w:t>
      </w:r>
      <w:r w:rsidR="00197AE1" w:rsidRPr="003C0842">
        <w:t xml:space="preserve"> była jednocześnie sekretariatem dla Organizacji Zdrowia</w:t>
      </w:r>
      <w:r w:rsidR="00197AE1" w:rsidRPr="003C0842">
        <w:rPr>
          <w:rStyle w:val="Odwoanieprzypisudolnego"/>
          <w:rFonts w:ascii="Times New Roman" w:hAnsi="Times New Roman"/>
          <w:sz w:val="24"/>
        </w:rPr>
        <w:footnoteReference w:id="127"/>
      </w:r>
      <w:r w:rsidR="00197AE1" w:rsidRPr="003C0842">
        <w:t>.</w:t>
      </w:r>
      <w:r w:rsidR="00850036" w:rsidRPr="003C0842">
        <w:t xml:space="preserve">Postępujące zainteresowanie tym obszarem życia społecznego </w:t>
      </w:r>
      <w:r w:rsidR="00546A6B" w:rsidRPr="003C0842">
        <w:t xml:space="preserve">powodowało </w:t>
      </w:r>
      <w:r w:rsidR="00850036" w:rsidRPr="003C0842">
        <w:t xml:space="preserve">wzmagający się </w:t>
      </w:r>
      <w:r w:rsidR="00546A6B" w:rsidRPr="003C0842">
        <w:t>nacisk na zwoływanie pod szyldem LN różnych spotkań</w:t>
      </w:r>
      <w:r w:rsidR="00D8658F" w:rsidRPr="003C0842">
        <w:t>,</w:t>
      </w:r>
      <w:r w:rsidR="00546A6B" w:rsidRPr="003C0842">
        <w:t xml:space="preserve"> pączkujących nowymi komisjami przyoblekanymi w ocean słów.</w:t>
      </w:r>
    </w:p>
    <w:p w:rsidR="00546A6B" w:rsidRPr="003C0842" w:rsidRDefault="00431C03" w:rsidP="00111348">
      <w:pPr>
        <w:spacing w:line="360" w:lineRule="auto"/>
        <w:ind w:firstLine="709"/>
      </w:pPr>
      <w:r w:rsidRPr="003C0842">
        <w:t>Na przełomie wojny i pokoju, w dobie nadal trwającej wędrówki ludów, przeciągającego się powrotu jeńców wojennych zwłaszcza ze wschodu</w:t>
      </w:r>
      <w:r w:rsidRPr="003C0842">
        <w:rPr>
          <w:rStyle w:val="Odwoanieprzypisudolnego"/>
          <w:rFonts w:ascii="Times New Roman" w:hAnsi="Times New Roman"/>
          <w:sz w:val="24"/>
        </w:rPr>
        <w:footnoteReference w:id="128"/>
      </w:r>
      <w:r w:rsidRPr="003C0842">
        <w:t>, gdzie także swoje wielkie żniwo zbierała „hiszpanka”</w:t>
      </w:r>
      <w:r w:rsidR="00717EBA" w:rsidRPr="003C0842">
        <w:rPr>
          <w:rStyle w:val="Odwoanieprzypisudolnego"/>
          <w:rFonts w:ascii="Times New Roman" w:hAnsi="Times New Roman"/>
          <w:sz w:val="24"/>
        </w:rPr>
        <w:footnoteReference w:id="129"/>
      </w:r>
      <w:r w:rsidRPr="003C0842">
        <w:t xml:space="preserve"> utrzymywał się strach przed chorobami i epidemiami kojarzonymi z biedą, brudem, zacofaniem. </w:t>
      </w:r>
      <w:r w:rsidR="00717EBA" w:rsidRPr="003C0842">
        <w:t>Nie było przypadkiem, że Rada Ligi już na drugiej sesji 13 lutego 1920 r., nawiązując do prac prowadzonych przy wsparciu rządu brytyjskiego</w:t>
      </w:r>
      <w:r w:rsidR="00850036" w:rsidRPr="003C0842">
        <w:t>,uznała za potrzebne wyłonienie</w:t>
      </w:r>
      <w:r w:rsidR="00717EBA" w:rsidRPr="003C0842">
        <w:t xml:space="preserve"> ekspertów w zakresie higieny międzynarodowej dla </w:t>
      </w:r>
      <w:r w:rsidR="00850036" w:rsidRPr="003C0842">
        <w:t xml:space="preserve">powstania </w:t>
      </w:r>
      <w:r w:rsidR="00717EBA" w:rsidRPr="003C0842">
        <w:t>działające</w:t>
      </w:r>
      <w:r w:rsidR="00850036" w:rsidRPr="003C0842">
        <w:t>go w</w:t>
      </w:r>
      <w:r w:rsidR="00717EBA" w:rsidRPr="003C0842">
        <w:t xml:space="preserve"> permanencji</w:t>
      </w:r>
      <w:r w:rsidR="00D8658F" w:rsidRPr="003C0842">
        <w:t>ciała</w:t>
      </w:r>
      <w:r w:rsidR="00850036" w:rsidRPr="003C0842">
        <w:t>,</w:t>
      </w:r>
      <w:r w:rsidR="00717EBA" w:rsidRPr="003C0842">
        <w:t xml:space="preserve"> zgodnie z</w:t>
      </w:r>
      <w:r w:rsidR="00D8658F" w:rsidRPr="003C0842">
        <w:t>e wskazaniami</w:t>
      </w:r>
      <w:r w:rsidR="00717EBA" w:rsidRPr="003C0842">
        <w:t xml:space="preserve"> art. 23 Paktu</w:t>
      </w:r>
      <w:r w:rsidR="00717EBA" w:rsidRPr="003C0842">
        <w:rPr>
          <w:rStyle w:val="Odwoanieprzypisudolnego"/>
          <w:rFonts w:ascii="Times New Roman" w:hAnsi="Times New Roman"/>
          <w:sz w:val="24"/>
        </w:rPr>
        <w:footnoteReference w:id="130"/>
      </w:r>
      <w:r w:rsidR="00717EBA" w:rsidRPr="003C0842">
        <w:t>.</w:t>
      </w:r>
      <w:r w:rsidR="00434496" w:rsidRPr="003C0842">
        <w:t xml:space="preserve"> Konferencja </w:t>
      </w:r>
      <w:r w:rsidR="00850036" w:rsidRPr="003C0842">
        <w:t xml:space="preserve">taka </w:t>
      </w:r>
      <w:r w:rsidR="007F1AE6" w:rsidRPr="003C0842">
        <w:t>odbył</w:t>
      </w:r>
      <w:r w:rsidR="00434496" w:rsidRPr="003C0842">
        <w:t>a</w:t>
      </w:r>
      <w:r w:rsidR="007F1AE6" w:rsidRPr="003C0842">
        <w:t xml:space="preserve"> się</w:t>
      </w:r>
      <w:r w:rsidR="00434496" w:rsidRPr="003C0842">
        <w:t xml:space="preserve"> w kwietniu w Londynie</w:t>
      </w:r>
      <w:r w:rsidR="00850036" w:rsidRPr="003C0842">
        <w:t>. Z</w:t>
      </w:r>
      <w:r w:rsidR="00434496" w:rsidRPr="003C0842">
        <w:t xml:space="preserve">alecała zwrócenie szczególnej uwagi na szerzącą się w Polsce epidemię tyfusu. Nagłośnione ryzyko rozprzestrzenienia się epidemii do Niemiec i na zachód </w:t>
      </w:r>
      <w:r w:rsidR="00881BDA" w:rsidRPr="003C0842">
        <w:t>spełniło pozytywną rolę.</w:t>
      </w:r>
      <w:r w:rsidR="00FC374E" w:rsidRPr="003C0842">
        <w:t>S</w:t>
      </w:r>
      <w:r w:rsidR="00434496" w:rsidRPr="003C0842">
        <w:t>pecjaln</w:t>
      </w:r>
      <w:r w:rsidR="00FC374E" w:rsidRPr="003C0842">
        <w:t>a</w:t>
      </w:r>
      <w:r w:rsidR="00434496" w:rsidRPr="003C0842">
        <w:t xml:space="preserve"> rezolucj</w:t>
      </w:r>
      <w:r w:rsidR="00FC374E" w:rsidRPr="003C0842">
        <w:t>a</w:t>
      </w:r>
      <w:r w:rsidR="00434496" w:rsidRPr="003C0842">
        <w:t xml:space="preserve"> I Zgromadzenia</w:t>
      </w:r>
      <w:r w:rsidR="00FC374E" w:rsidRPr="003C0842">
        <w:t xml:space="preserve"> z </w:t>
      </w:r>
      <w:r w:rsidR="00434496" w:rsidRPr="003C0842">
        <w:t>10 grudnia 1920 r. u</w:t>
      </w:r>
      <w:r w:rsidR="00FC374E" w:rsidRPr="003C0842">
        <w:t>sankcjonowała</w:t>
      </w:r>
      <w:r w:rsidR="00434496" w:rsidRPr="003C0842">
        <w:t xml:space="preserve"> powstanie Organizacji Hig</w:t>
      </w:r>
      <w:r w:rsidR="00FC374E" w:rsidRPr="003C0842">
        <w:t xml:space="preserve">ieny. Równolegle prowadzono </w:t>
      </w:r>
      <w:r w:rsidR="00434496" w:rsidRPr="003C0842">
        <w:t xml:space="preserve">rozpoznanie sytuacji epidemiologicznej w całym regionie będącym szczególnie podatnym na </w:t>
      </w:r>
      <w:r w:rsidR="00434496" w:rsidRPr="003C0842">
        <w:lastRenderedPageBreak/>
        <w:t>inkubację groźnych chorób. Opublikowany w lutym 1922 r. raport Sekcji Higieny przedstawiał szczegółową st</w:t>
      </w:r>
      <w:r w:rsidR="007F1AE6" w:rsidRPr="003C0842">
        <w:t>atystykę zachorowań na tyfus, dyze</w:t>
      </w:r>
      <w:r w:rsidR="00434496" w:rsidRPr="003C0842">
        <w:t>nterię, cholerę azjatycką, gorączkę (</w:t>
      </w:r>
      <w:r w:rsidR="00434496" w:rsidRPr="003C0842">
        <w:rPr>
          <w:i/>
        </w:rPr>
        <w:t>Fievre</w:t>
      </w:r>
      <w:r w:rsidR="00434496" w:rsidRPr="003C0842">
        <w:t xml:space="preserve">), szkorbut </w:t>
      </w:r>
      <w:r w:rsidR="007F1AE6" w:rsidRPr="003C0842">
        <w:t>–</w:t>
      </w:r>
      <w:r w:rsidR="00434496" w:rsidRPr="003C0842">
        <w:t xml:space="preserve">w </w:t>
      </w:r>
      <w:r w:rsidR="00FC374E" w:rsidRPr="003C0842">
        <w:t xml:space="preserve">newralgicznych rejonach: </w:t>
      </w:r>
      <w:r w:rsidR="00434496" w:rsidRPr="003C0842">
        <w:t>Rosji, Polsce, Konstantynopolu, Esto</w:t>
      </w:r>
      <w:r w:rsidR="00F02433" w:rsidRPr="003C0842">
        <w:t>nii, Łotwie, Finlandii i Czecho</w:t>
      </w:r>
      <w:r w:rsidR="00434496" w:rsidRPr="003C0842">
        <w:t>słowacji</w:t>
      </w:r>
      <w:r w:rsidR="00434496" w:rsidRPr="003C0842">
        <w:rPr>
          <w:rStyle w:val="Odwoanieprzypisudolnego"/>
          <w:rFonts w:ascii="Times New Roman" w:hAnsi="Times New Roman"/>
          <w:sz w:val="24"/>
        </w:rPr>
        <w:footnoteReference w:id="131"/>
      </w:r>
      <w:r w:rsidR="00434496" w:rsidRPr="003C0842">
        <w:t>.</w:t>
      </w:r>
    </w:p>
    <w:p w:rsidR="00F02433" w:rsidRPr="003C0842" w:rsidRDefault="00881BDA" w:rsidP="00111348">
      <w:pPr>
        <w:spacing w:line="360" w:lineRule="auto"/>
        <w:ind w:firstLine="709"/>
      </w:pPr>
      <w:r w:rsidRPr="003C0842">
        <w:t>P</w:t>
      </w:r>
      <w:r w:rsidR="00F02433" w:rsidRPr="003C0842">
        <w:t>onur</w:t>
      </w:r>
      <w:r w:rsidRPr="003C0842">
        <w:t>ą rzeczywistość wzmagały dane</w:t>
      </w:r>
      <w:r w:rsidR="00F02433" w:rsidRPr="003C0842">
        <w:t xml:space="preserve"> statystyc</w:t>
      </w:r>
      <w:r w:rsidRPr="003C0842">
        <w:t xml:space="preserve">zne, </w:t>
      </w:r>
      <w:r w:rsidR="00F02433" w:rsidRPr="003C0842">
        <w:t>opinie</w:t>
      </w:r>
      <w:r w:rsidRPr="003C0842">
        <w:t xml:space="preserve"> i</w:t>
      </w:r>
      <w:r w:rsidR="00F02433" w:rsidRPr="003C0842">
        <w:t xml:space="preserve"> ilustracje pokazujące dominujący w tych rejonach poziom cywilizacyjny. Wśród szczególnie aktywnych organizatorów i autorów raportu był dr Ludwik Rajchman, od kilku lat związany z londyńskim środowiskiem epidemiologicznym. To z jego inicjatywy rząd polski 15 lutego 1922 r. wystąpił do Rady Ligi z wnioskiem o zorganizowanie w Warszawie konferencji europejskiej celem uzgodnienia wspólnego postępowania wobec szerzących się epidemii. Organizowana w wielkim pośpiechu konferencja została sfinansowana ze środków Ligi. Odstraszające warunki pogodowe spowodowały, że do Warszawy przybyli przedstawiciele około 10 państw na 30 zapowiadanych, w tym Ukraina i Wolne Miasto Gdańsk, które jako państwa uznania międzynarodowego nie </w:t>
      </w:r>
      <w:r w:rsidR="007F1AE6" w:rsidRPr="003C0842">
        <w:t>m</w:t>
      </w:r>
      <w:r w:rsidR="00F02433" w:rsidRPr="003C0842">
        <w:t>iały</w:t>
      </w:r>
      <w:r w:rsidR="00D562D1" w:rsidRPr="003C0842">
        <w:rPr>
          <w:rStyle w:val="Odwoanieprzypisudolnego"/>
          <w:rFonts w:ascii="Times New Roman" w:hAnsi="Times New Roman"/>
          <w:sz w:val="24"/>
        </w:rPr>
        <w:footnoteReference w:id="132"/>
      </w:r>
      <w:r w:rsidR="00F02433" w:rsidRPr="003C0842">
        <w:t>.</w:t>
      </w:r>
    </w:p>
    <w:p w:rsidR="00CA4CBC" w:rsidRPr="003C0842" w:rsidRDefault="00E22DA9" w:rsidP="00111348">
      <w:pPr>
        <w:spacing w:line="360" w:lineRule="auto"/>
        <w:ind w:firstLine="709"/>
      </w:pPr>
      <w:r w:rsidRPr="003C0842">
        <w:t>Główny organizator konferencji, która odbyła się w dniach 20-28 lutego 1922 r.</w:t>
      </w:r>
      <w:r w:rsidR="00881BDA" w:rsidRPr="003C0842">
        <w:t>,</w:t>
      </w:r>
      <w:r w:rsidRPr="003C0842">
        <w:t xml:space="preserve"> był </w:t>
      </w:r>
      <w:r w:rsidR="004C3891" w:rsidRPr="003C0842">
        <w:t>od</w:t>
      </w:r>
      <w:r w:rsidR="00881BDA" w:rsidRPr="003C0842">
        <w:t xml:space="preserve"> kilku</w:t>
      </w:r>
      <w:r w:rsidRPr="003C0842">
        <w:t xml:space="preserve"> miesięcy dyrektor</w:t>
      </w:r>
      <w:r w:rsidR="00A012CF" w:rsidRPr="003C0842">
        <w:t>em</w:t>
      </w:r>
      <w:r w:rsidRPr="003C0842">
        <w:t xml:space="preserve"> sek</w:t>
      </w:r>
      <w:r w:rsidR="004C3891" w:rsidRPr="003C0842">
        <w:t>cji zdrowia Sekretariatu i jedn</w:t>
      </w:r>
      <w:r w:rsidR="00A012CF" w:rsidRPr="003C0842">
        <w:t>ą</w:t>
      </w:r>
      <w:r w:rsidRPr="003C0842">
        <w:t xml:space="preserve"> z </w:t>
      </w:r>
      <w:r w:rsidR="00A012CF" w:rsidRPr="003C0842">
        <w:t xml:space="preserve">ważnych </w:t>
      </w:r>
      <w:r w:rsidRPr="003C0842">
        <w:t xml:space="preserve">osób działających w </w:t>
      </w:r>
      <w:r w:rsidR="004C3891" w:rsidRPr="003C0842">
        <w:t>obszarze</w:t>
      </w:r>
      <w:r w:rsidRPr="003C0842">
        <w:t xml:space="preserve"> epidemiologi</w:t>
      </w:r>
      <w:r w:rsidR="00A012CF" w:rsidRPr="003C0842">
        <w:t>i</w:t>
      </w:r>
      <w:r w:rsidRPr="003C0842">
        <w:rPr>
          <w:rStyle w:val="Odwoanieprzypisudolnego"/>
          <w:rFonts w:ascii="Times New Roman" w:hAnsi="Times New Roman"/>
          <w:sz w:val="24"/>
        </w:rPr>
        <w:footnoteReference w:id="133"/>
      </w:r>
      <w:r w:rsidRPr="003C0842">
        <w:t xml:space="preserve">. </w:t>
      </w:r>
      <w:r w:rsidR="0091624C">
        <w:t>W</w:t>
      </w:r>
      <w:r w:rsidR="007F1AE6" w:rsidRPr="003C0842">
        <w:t>śród</w:t>
      </w:r>
      <w:r w:rsidRPr="003C0842">
        <w:t xml:space="preserve"> punktów obrad było poznanie sytuacji w państwach regionu, w tym Rosji.</w:t>
      </w:r>
      <w:r w:rsidR="004C3891" w:rsidRPr="003C0842">
        <w:t xml:space="preserve"> W październiku 1921 r</w:t>
      </w:r>
      <w:r w:rsidR="00A012CF" w:rsidRPr="003C0842">
        <w:t xml:space="preserve">. </w:t>
      </w:r>
      <w:r w:rsidR="004C3891" w:rsidRPr="003C0842">
        <w:t>w towarzystwie wojskowego medyka brytyjskiego Normana F. White’a odwiedził Moskwę.</w:t>
      </w:r>
      <w:r w:rsidR="00A012CF" w:rsidRPr="003C0842">
        <w:t xml:space="preserve"> Jej efektem były d</w:t>
      </w:r>
      <w:r w:rsidR="00CA4CBC" w:rsidRPr="003C0842">
        <w:t>ramatyczn</w:t>
      </w:r>
      <w:r w:rsidR="00A012CF" w:rsidRPr="003C0842">
        <w:t xml:space="preserve">e słowa wypowiedziane podczas warszawskiego spotkania. </w:t>
      </w:r>
      <w:r w:rsidR="004D7133" w:rsidRPr="003C0842">
        <w:t>M</w:t>
      </w:r>
      <w:r w:rsidR="00A012CF" w:rsidRPr="003C0842">
        <w:t>ówi</w:t>
      </w:r>
      <w:r w:rsidR="004D7133" w:rsidRPr="003C0842">
        <w:t>ono</w:t>
      </w:r>
      <w:r w:rsidR="00A012CF" w:rsidRPr="003C0842">
        <w:t xml:space="preserve"> o </w:t>
      </w:r>
      <w:r w:rsidR="00CA4CBC" w:rsidRPr="003C0842">
        <w:t>piln</w:t>
      </w:r>
      <w:r w:rsidR="00A012CF" w:rsidRPr="003C0842">
        <w:t>ej</w:t>
      </w:r>
      <w:r w:rsidR="00CA4CBC" w:rsidRPr="003C0842">
        <w:t xml:space="preserve"> koniecznoś</w:t>
      </w:r>
      <w:r w:rsidR="00A012CF" w:rsidRPr="003C0842">
        <w:t>ci</w:t>
      </w:r>
      <w:r w:rsidR="00CA4CBC" w:rsidRPr="003C0842">
        <w:t xml:space="preserve"> wzmocnienia personelu medycznego w Rosji</w:t>
      </w:r>
      <w:r w:rsidR="00A012CF" w:rsidRPr="003C0842">
        <w:t>,</w:t>
      </w:r>
      <w:r w:rsidR="00CA4CBC" w:rsidRPr="003C0842">
        <w:t xml:space="preserve"> m.in. poprzez stworzenie w Moskwie i Charkowie regionalnych centrów higieny publicznej. </w:t>
      </w:r>
      <w:r w:rsidR="00A012CF" w:rsidRPr="003C0842">
        <w:t>Apelując i z</w:t>
      </w:r>
      <w:r w:rsidR="00CA4CBC" w:rsidRPr="003C0842">
        <w:t>alecając rozwój bieżącej współpracy epidemiologów regionu</w:t>
      </w:r>
      <w:r w:rsidR="00404624" w:rsidRPr="003C0842">
        <w:t>,</w:t>
      </w:r>
      <w:r w:rsidR="00CA4CBC" w:rsidRPr="003C0842">
        <w:t xml:space="preserve"> podkreślano konieczność wzmocnienia obiegu informacji o zachorowaniach nie tylko w Rosji i państwach z nią graniczących, ale także dalej położonych</w:t>
      </w:r>
      <w:r w:rsidR="000517DA" w:rsidRPr="003C0842">
        <w:t xml:space="preserve"> – </w:t>
      </w:r>
      <w:r w:rsidR="00CA4CBC" w:rsidRPr="003C0842">
        <w:t xml:space="preserve">bałkańskich oraz </w:t>
      </w:r>
      <w:r w:rsidR="0091624C">
        <w:t>w Niemczech</w:t>
      </w:r>
      <w:r w:rsidR="00CA4CBC" w:rsidRPr="003C0842">
        <w:t xml:space="preserve">.Obecność w Warszawie przedstawicieli Republiki Weimarskiej została uwypuklona w comiesięcznej publikacji Sekretariatu z </w:t>
      </w:r>
      <w:r w:rsidR="00CA4CBC" w:rsidRPr="003C0842">
        <w:lastRenderedPageBreak/>
        <w:t xml:space="preserve">podkreśleniem integracyjnej funkcji Ligi, która potrafi </w:t>
      </w:r>
      <w:r w:rsidR="00E571A4" w:rsidRPr="003C0842">
        <w:t>wokół ważnych spraw skupić także państwa nie będące formalnie jej członkami</w:t>
      </w:r>
      <w:r w:rsidR="00E571A4" w:rsidRPr="003C0842">
        <w:rPr>
          <w:rStyle w:val="Odwoanieprzypisudolnego"/>
          <w:rFonts w:ascii="Times New Roman" w:hAnsi="Times New Roman"/>
          <w:sz w:val="24"/>
        </w:rPr>
        <w:footnoteReference w:id="134"/>
      </w:r>
      <w:r w:rsidR="00E571A4" w:rsidRPr="003C0842">
        <w:t>.</w:t>
      </w:r>
    </w:p>
    <w:p w:rsidR="00645578" w:rsidRPr="003C0842" w:rsidRDefault="003256A5" w:rsidP="00111348">
      <w:pPr>
        <w:spacing w:line="360" w:lineRule="auto"/>
        <w:ind w:firstLine="709"/>
      </w:pPr>
      <w:r w:rsidRPr="003C0842">
        <w:t>Za sprawę natura</w:t>
      </w:r>
      <w:r w:rsidR="004B223D" w:rsidRPr="003C0842">
        <w:t>lną uznawano, że przedstawiciele szanowanej medycyn</w:t>
      </w:r>
      <w:r w:rsidR="00D8658F" w:rsidRPr="003C0842">
        <w:t>y</w:t>
      </w:r>
      <w:r w:rsidR="004B223D" w:rsidRPr="003C0842">
        <w:t xml:space="preserve"> niemieckiej uczestniczyli w różnych konferencjach dotyczących epidemiologii, zwłaszcza gdy w grę wchodziła unifikacja badań laboratoryjnych i standaryzacja oznaczeń w chorobach zakaźnych (np. wenerycznych). Przełomowe znaczenie miała konferencja ekspertów laboratoryjnych w Kopenhadze w dniach 19 listopada</w:t>
      </w:r>
      <w:r w:rsidR="000517DA" w:rsidRPr="003C0842">
        <w:t xml:space="preserve"> – </w:t>
      </w:r>
      <w:r w:rsidR="004D7133" w:rsidRPr="003C0842">
        <w:t xml:space="preserve">3 grudnia 1923 r., </w:t>
      </w:r>
      <w:r w:rsidR="004B223D" w:rsidRPr="003C0842">
        <w:t>gdzie przedstawiciele z 8 państw, w tym Niemiec i Polski zajmowali się ujednoliceniem metod laboratoryjnych i diagnostyką syfilisu</w:t>
      </w:r>
      <w:r w:rsidR="004B223D" w:rsidRPr="003C0842">
        <w:rPr>
          <w:rStyle w:val="Odwoanieprzypisudolnego"/>
          <w:rFonts w:ascii="Times New Roman" w:hAnsi="Times New Roman"/>
          <w:sz w:val="24"/>
        </w:rPr>
        <w:footnoteReference w:id="135"/>
      </w:r>
      <w:r w:rsidR="004B223D" w:rsidRPr="003C0842">
        <w:t>.</w:t>
      </w:r>
      <w:r w:rsidR="006A1FAD" w:rsidRPr="003C0842">
        <w:t>Z merytorycznego punktu widzenia naturalne włączenie Niemiec do działalności Ligi w obszarze zdrowia było pożądane i oczekiwane. W zasadzie nie wyobrażano sobie poważnej debaty nad opanowaniem epidemii chorób zakaźnych w Europie Wschodniej bez aktywnego udziału Niemiec</w:t>
      </w:r>
      <w:r w:rsidR="006A1FAD" w:rsidRPr="003C0842">
        <w:rPr>
          <w:rStyle w:val="Odwoanieprzypisudolnego"/>
          <w:rFonts w:ascii="Times New Roman" w:hAnsi="Times New Roman"/>
          <w:sz w:val="24"/>
        </w:rPr>
        <w:footnoteReference w:id="136"/>
      </w:r>
      <w:r w:rsidR="006A1FAD" w:rsidRPr="003C0842">
        <w:t>.</w:t>
      </w:r>
    </w:p>
    <w:p w:rsidR="00645578" w:rsidRPr="003C0842" w:rsidRDefault="00645578" w:rsidP="00111348">
      <w:pPr>
        <w:spacing w:line="360" w:lineRule="auto"/>
        <w:ind w:firstLine="709"/>
      </w:pPr>
    </w:p>
    <w:p w:rsidR="006A1FAD" w:rsidRPr="003C0842" w:rsidRDefault="00404624" w:rsidP="00111348">
      <w:pPr>
        <w:spacing w:line="360" w:lineRule="auto"/>
        <w:ind w:firstLine="709"/>
        <w:outlineLvl w:val="0"/>
      </w:pPr>
      <w:r w:rsidRPr="003C0842">
        <w:t>c</w:t>
      </w:r>
      <w:r w:rsidR="0080192E">
        <w:t>.</w:t>
      </w:r>
      <w:r w:rsidR="006A1FAD" w:rsidRPr="003C0842">
        <w:t>Prawa kobiet</w:t>
      </w:r>
    </w:p>
    <w:p w:rsidR="006A1FAD" w:rsidRPr="003C0842" w:rsidRDefault="006A1FAD" w:rsidP="00111348">
      <w:pPr>
        <w:spacing w:line="360" w:lineRule="auto"/>
        <w:ind w:firstLine="709"/>
      </w:pPr>
    </w:p>
    <w:p w:rsidR="006A1FAD" w:rsidRPr="003C0842" w:rsidRDefault="008121C4" w:rsidP="00111348">
      <w:pPr>
        <w:spacing w:line="360" w:lineRule="auto"/>
        <w:ind w:firstLine="709"/>
      </w:pPr>
      <w:r w:rsidRPr="003C0842">
        <w:t>Prace z zakresu higieny były realizowane ze świadomością</w:t>
      </w:r>
      <w:r w:rsidR="00DF518A" w:rsidRPr="003C0842">
        <w:t xml:space="preserve"> ograniczonych </w:t>
      </w:r>
      <w:r w:rsidR="00D8658F" w:rsidRPr="003C0842">
        <w:t xml:space="preserve">obiektywnie </w:t>
      </w:r>
      <w:r w:rsidR="00DF518A" w:rsidRPr="003C0842">
        <w:t>możliwości oraz ich</w:t>
      </w:r>
      <w:r w:rsidRPr="003C0842">
        <w:t xml:space="preserve"> wielkiej zależności od </w:t>
      </w:r>
      <w:r w:rsidR="00D8658F" w:rsidRPr="003C0842">
        <w:t xml:space="preserve">różnic </w:t>
      </w:r>
      <w:r w:rsidRPr="003C0842">
        <w:t xml:space="preserve">o </w:t>
      </w:r>
      <w:r w:rsidR="00DF518A" w:rsidRPr="003C0842">
        <w:t xml:space="preserve">charakterze </w:t>
      </w:r>
      <w:r w:rsidRPr="003C0842">
        <w:t>cywilizacyjnym</w:t>
      </w:r>
      <w:r w:rsidR="00D8658F" w:rsidRPr="003C0842">
        <w:t>, zarówno w wymiarze lokalnym i regionalnym, jak i kontynentalnym</w:t>
      </w:r>
      <w:r w:rsidRPr="003C0842">
        <w:t>. To samo można powiedzieć o wysiłkach w sprawie ochrony dzieciństwa oraz</w:t>
      </w:r>
      <w:r w:rsidR="00D8658F" w:rsidRPr="003C0842">
        <w:t xml:space="preserve"> zmagań o</w:t>
      </w:r>
      <w:r w:rsidRPr="003C0842">
        <w:t xml:space="preserve"> równe </w:t>
      </w:r>
      <w:r w:rsidR="00D8658F" w:rsidRPr="003C0842">
        <w:t>traktowanie. M</w:t>
      </w:r>
      <w:r w:rsidRPr="003C0842">
        <w:t>ówiono</w:t>
      </w:r>
      <w:r w:rsidR="00D8658F" w:rsidRPr="003C0842">
        <w:t xml:space="preserve"> na te tematy </w:t>
      </w:r>
      <w:r w:rsidRPr="003C0842">
        <w:t>od d</w:t>
      </w:r>
      <w:r w:rsidR="00DF518A" w:rsidRPr="003C0842">
        <w:t>ziesięcioleci</w:t>
      </w:r>
      <w:r w:rsidRPr="003C0842">
        <w:t>, a expresis verbis w deklaracji niepodległości Stanów Zjednoczonych (1776</w:t>
      </w:r>
      <w:r w:rsidR="00613794" w:rsidRPr="003C0842">
        <w:t xml:space="preserve"> r.</w:t>
      </w:r>
      <w:r w:rsidRPr="003C0842">
        <w:t>) czy deklaracji praw człowieka rewolucji francuskiej (1789</w:t>
      </w:r>
      <w:r w:rsidR="00613794" w:rsidRPr="003C0842">
        <w:t xml:space="preserve"> r.</w:t>
      </w:r>
      <w:r w:rsidRPr="003C0842">
        <w:t xml:space="preserve">). </w:t>
      </w:r>
      <w:r w:rsidR="00D8658F" w:rsidRPr="003C0842">
        <w:t>Jed</w:t>
      </w:r>
      <w:r w:rsidR="006437BD" w:rsidRPr="003C0842">
        <w:t>n</w:t>
      </w:r>
      <w:r w:rsidR="00D8658F" w:rsidRPr="003C0842">
        <w:t>akowoż</w:t>
      </w:r>
      <w:r w:rsidR="00B26A81" w:rsidRPr="003C0842">
        <w:t xml:space="preserve">z </w:t>
      </w:r>
      <w:r w:rsidRPr="003C0842">
        <w:t>realizacją tych</w:t>
      </w:r>
      <w:r w:rsidR="00D8658F" w:rsidRPr="003C0842">
        <w:t>,</w:t>
      </w:r>
      <w:r w:rsidRPr="003C0842">
        <w:t xml:space="preserve"> jakoby oczywistych oczekiwań</w:t>
      </w:r>
      <w:r w:rsidR="00D8658F" w:rsidRPr="003C0842">
        <w:t>,</w:t>
      </w:r>
      <w:r w:rsidRPr="003C0842">
        <w:t xml:space="preserve"> cyw</w:t>
      </w:r>
      <w:r w:rsidR="00D8658F" w:rsidRPr="003C0842">
        <w:t>ilizacja nie bardzo sobie radzi</w:t>
      </w:r>
      <w:r w:rsidR="00B26A81" w:rsidRPr="003C0842">
        <w:t>ła</w:t>
      </w:r>
      <w:r w:rsidR="00D8658F" w:rsidRPr="003C0842">
        <w:t>.</w:t>
      </w:r>
      <w:r w:rsidRPr="003C0842">
        <w:t xml:space="preserve"> Udział LN, </w:t>
      </w:r>
      <w:r w:rsidR="00B26A81" w:rsidRPr="003C0842">
        <w:t>struktury</w:t>
      </w:r>
      <w:r w:rsidR="00DF518A" w:rsidRPr="003C0842">
        <w:t xml:space="preserve">tworu </w:t>
      </w:r>
      <w:r w:rsidR="008A54BE" w:rsidRPr="003C0842">
        <w:t xml:space="preserve">zasadniczo </w:t>
      </w:r>
      <w:r w:rsidRPr="003C0842">
        <w:t>uniwersalne</w:t>
      </w:r>
      <w:r w:rsidR="00B26A81" w:rsidRPr="003C0842">
        <w:t>j</w:t>
      </w:r>
      <w:r w:rsidR="00FE0899" w:rsidRPr="003C0842">
        <w:t xml:space="preserve"> o dużym prestiżu międzynarodowym</w:t>
      </w:r>
      <w:r w:rsidR="00DF518A" w:rsidRPr="003C0842">
        <w:t>,</w:t>
      </w:r>
      <w:r w:rsidR="00FE0899" w:rsidRPr="003C0842">
        <w:t xml:space="preserve"> w upowszechnianiu zasady równości płci </w:t>
      </w:r>
      <w:r w:rsidR="00B26A81" w:rsidRPr="003C0842">
        <w:t>nie był mały</w:t>
      </w:r>
      <w:r w:rsidR="00D8658F" w:rsidRPr="003C0842">
        <w:t>.</w:t>
      </w:r>
      <w:r w:rsidR="00B26A81" w:rsidRPr="003C0842">
        <w:t xml:space="preserve">Widać to było już w </w:t>
      </w:r>
      <w:r w:rsidR="008A54BE" w:rsidRPr="003C0842">
        <w:t>Pakcie Ligi</w:t>
      </w:r>
      <w:r w:rsidR="00B26A81" w:rsidRPr="003C0842">
        <w:t>, gdzie widniało stwierdzenie</w:t>
      </w:r>
      <w:r w:rsidR="008A54BE" w:rsidRPr="003C0842">
        <w:t xml:space="preserve">, że </w:t>
      </w:r>
      <w:r w:rsidR="00FE0899" w:rsidRPr="003C0842">
        <w:t>wszystkie stanowiska w Lidze są na równi dostępne dla mężczyzn i kobiet (art. 7).</w:t>
      </w:r>
    </w:p>
    <w:p w:rsidR="00FE0899" w:rsidRPr="003C0842" w:rsidRDefault="001F0F58" w:rsidP="00111348">
      <w:pPr>
        <w:spacing w:line="360" w:lineRule="auto"/>
        <w:ind w:firstLine="709"/>
      </w:pPr>
      <w:r w:rsidRPr="003C0842">
        <w:t xml:space="preserve">Odniesienia równościowe z punktu widzenia płci widoczne w debacie tworzącej </w:t>
      </w:r>
      <w:r w:rsidR="00D8658F" w:rsidRPr="003C0842">
        <w:t xml:space="preserve">się </w:t>
      </w:r>
      <w:r w:rsidRPr="003C0842">
        <w:t>Lig</w:t>
      </w:r>
      <w:r w:rsidR="00D8658F" w:rsidRPr="003C0842">
        <w:t>i</w:t>
      </w:r>
      <w:r w:rsidRPr="003C0842">
        <w:t xml:space="preserve"> Narodów były w istotnej części skutkiem</w:t>
      </w:r>
      <w:r w:rsidR="00613794" w:rsidRPr="003C0842">
        <w:t xml:space="preserve"> ogromnego wzrostu aktywności zawodowej kobiet podczas „wielkiej wojny”</w:t>
      </w:r>
      <w:r w:rsidR="00B26A81" w:rsidRPr="003C0842">
        <w:t xml:space="preserve">. Kobiety zajmowały miejsca mężczyzn, których wciągnęła </w:t>
      </w:r>
      <w:r w:rsidR="00B26A81" w:rsidRPr="003C0842">
        <w:lastRenderedPageBreak/>
        <w:t>wojenna zawierucha. W fabrykach i innych miejscach aktywności zawodowej kobiet</w:t>
      </w:r>
      <w:r w:rsidR="005F2A2D" w:rsidRPr="003C0842">
        <w:t xml:space="preserve"> upowszechniały</w:t>
      </w:r>
      <w:r w:rsidR="00B26A81" w:rsidRPr="003C0842">
        <w:t xml:space="preserve"> się </w:t>
      </w:r>
      <w:r w:rsidR="008A54BE" w:rsidRPr="003C0842">
        <w:t>egalitarystyczn</w:t>
      </w:r>
      <w:r w:rsidR="00B26A81" w:rsidRPr="003C0842">
        <w:t>a</w:t>
      </w:r>
      <w:r w:rsidR="005F2A2D" w:rsidRPr="003C0842">
        <w:t>hasła, niejednokrotnie także</w:t>
      </w:r>
      <w:r w:rsidRPr="003C0842">
        <w:t>nacisk</w:t>
      </w:r>
      <w:r w:rsidR="005F2A2D" w:rsidRPr="003C0842">
        <w:t>i</w:t>
      </w:r>
      <w:r w:rsidRPr="003C0842">
        <w:t xml:space="preserve"> ze strony organizacji kobiecych, głównie brytyjskich i amerykańskich. </w:t>
      </w:r>
      <w:r w:rsidR="008A54BE" w:rsidRPr="003C0842">
        <w:t>P</w:t>
      </w:r>
      <w:r w:rsidRPr="003C0842">
        <w:t>o</w:t>
      </w:r>
      <w:r w:rsidR="008A54BE" w:rsidRPr="003C0842">
        <w:t>pularyzowano</w:t>
      </w:r>
      <w:r w:rsidRPr="003C0842">
        <w:t xml:space="preserve"> kobiet</w:t>
      </w:r>
      <w:r w:rsidR="008A54BE" w:rsidRPr="003C0842">
        <w:t>y</w:t>
      </w:r>
      <w:r w:rsidRPr="003C0842">
        <w:t>, któr</w:t>
      </w:r>
      <w:r w:rsidR="008A54BE" w:rsidRPr="003C0842">
        <w:t>e zjednały sobie uznanie z tytułu</w:t>
      </w:r>
      <w:r w:rsidR="00613794" w:rsidRPr="003C0842">
        <w:t>działalnoś</w:t>
      </w:r>
      <w:r w:rsidR="008A54BE" w:rsidRPr="003C0842">
        <w:t xml:space="preserve">ci </w:t>
      </w:r>
      <w:r w:rsidRPr="003C0842">
        <w:t>społeczn</w:t>
      </w:r>
      <w:r w:rsidR="005F2A2D" w:rsidRPr="003C0842">
        <w:t>ej</w:t>
      </w:r>
      <w:r w:rsidR="008A54BE" w:rsidRPr="003C0842">
        <w:t>.</w:t>
      </w:r>
      <w:r w:rsidRPr="003C0842">
        <w:t xml:space="preserve"> Międzynarodową sławę zdobyła</w:t>
      </w:r>
      <w:r w:rsidR="008A54BE" w:rsidRPr="003C0842">
        <w:t xml:space="preserve"> np.</w:t>
      </w:r>
      <w:r w:rsidR="005F2A2D" w:rsidRPr="003C0842">
        <w:t>a</w:t>
      </w:r>
      <w:r w:rsidRPr="003C0842">
        <w:t>meryka</w:t>
      </w:r>
      <w:r w:rsidR="00FA58D2" w:rsidRPr="003C0842">
        <w:t>ńs</w:t>
      </w:r>
      <w:r w:rsidRPr="003C0842">
        <w:t>ka</w:t>
      </w:r>
      <w:r w:rsidR="005F2A2D" w:rsidRPr="003C0842">
        <w:t xml:space="preserve"> lekarka</w:t>
      </w:r>
      <w:r w:rsidRPr="003C0842">
        <w:t xml:space="preserve"> Sara Josephin</w:t>
      </w:r>
      <w:r w:rsidR="006437BD" w:rsidRPr="003C0842">
        <w:t>e Ba</w:t>
      </w:r>
      <w:r w:rsidRPr="003C0842">
        <w:t>ker,</w:t>
      </w:r>
      <w:r w:rsidR="005F2A2D" w:rsidRPr="003C0842">
        <w:t xml:space="preserve"> która</w:t>
      </w:r>
      <w:r w:rsidR="007372D3" w:rsidRPr="003C0842">
        <w:t xml:space="preserve"> doprowadz</w:t>
      </w:r>
      <w:r w:rsidR="005F2A2D" w:rsidRPr="003C0842">
        <w:t>iła</w:t>
      </w:r>
      <w:r w:rsidR="007372D3" w:rsidRPr="003C0842">
        <w:t xml:space="preserve"> do </w:t>
      </w:r>
      <w:r w:rsidR="008A54BE" w:rsidRPr="003C0842">
        <w:t>likwidacji</w:t>
      </w:r>
      <w:r w:rsidR="007372D3" w:rsidRPr="003C0842">
        <w:t xml:space="preserve"> w Nowym Jorku</w:t>
      </w:r>
      <w:r w:rsidRPr="003C0842">
        <w:t xml:space="preserve"> tzw. kuchni Piekła (Hell’s K</w:t>
      </w:r>
      <w:r w:rsidR="00613794" w:rsidRPr="003C0842">
        <w:t>i</w:t>
      </w:r>
      <w:r w:rsidRPr="003C0842">
        <w:t>tchen)</w:t>
      </w:r>
      <w:r w:rsidR="005F2A2D" w:rsidRPr="003C0842">
        <w:t>przypisanej do</w:t>
      </w:r>
      <w:r w:rsidR="00613794" w:rsidRPr="003C0842">
        <w:t>slums</w:t>
      </w:r>
      <w:r w:rsidR="005F2A2D" w:rsidRPr="003C0842">
        <w:t>ów</w:t>
      </w:r>
      <w:r w:rsidRPr="003C0842">
        <w:t xml:space="preserve"> o szczególnie wysokiej śmi</w:t>
      </w:r>
      <w:r w:rsidR="007372D3" w:rsidRPr="003C0842">
        <w:t>ertelności</w:t>
      </w:r>
      <w:r w:rsidRPr="003C0842">
        <w:t xml:space="preserve"> noworodków.</w:t>
      </w:r>
      <w:r w:rsidR="007372D3" w:rsidRPr="003C0842">
        <w:t>Kampanię tę kontynuowała po</w:t>
      </w:r>
      <w:r w:rsidR="00DA5304" w:rsidRPr="003C0842">
        <w:t xml:space="preserve"> przystąpieniu Stanów Zjednoczonych do wojny</w:t>
      </w:r>
      <w:r w:rsidR="007372D3" w:rsidRPr="003C0842">
        <w:t xml:space="preserve">. W </w:t>
      </w:r>
      <w:r w:rsidR="00DA5304" w:rsidRPr="003C0842">
        <w:t>wywiad</w:t>
      </w:r>
      <w:r w:rsidR="007372D3" w:rsidRPr="003C0842">
        <w:t>ach prasowych twierdziła nawet</w:t>
      </w:r>
      <w:r w:rsidR="00DA5304" w:rsidRPr="003C0842">
        <w:t xml:space="preserve">, że bezpieczniej być na pierwszej linii frontu, niż urodzić się w Stanach Zjednoczonych, gdzie śmiertelność niemowląt wynosiła </w:t>
      </w:r>
      <w:r w:rsidR="005F2A2D" w:rsidRPr="003C0842">
        <w:t xml:space="preserve">wówczas </w:t>
      </w:r>
      <w:r w:rsidR="00DA5304" w:rsidRPr="003C0842">
        <w:t xml:space="preserve">12%, podczas gdy na froncie 4%. Ta nosząca się po męsku </w:t>
      </w:r>
      <w:r w:rsidR="00527DA2" w:rsidRPr="003C0842">
        <w:t>(</w:t>
      </w:r>
      <w:r w:rsidR="00DA5304" w:rsidRPr="003C0842">
        <w:t>„women</w:t>
      </w:r>
      <w:r w:rsidR="000517DA" w:rsidRPr="003C0842">
        <w:t xml:space="preserve"> – </w:t>
      </w:r>
      <w:r w:rsidR="00DA5304" w:rsidRPr="003C0842">
        <w:t>oriented women”</w:t>
      </w:r>
      <w:r w:rsidR="00DA5304" w:rsidRPr="003C0842">
        <w:rPr>
          <w:rStyle w:val="Odwoanieprzypisudolnego"/>
          <w:rFonts w:ascii="Times New Roman" w:hAnsi="Times New Roman"/>
          <w:sz w:val="24"/>
        </w:rPr>
        <w:footnoteReference w:id="137"/>
      </w:r>
      <w:r w:rsidR="00527DA2" w:rsidRPr="003C0842">
        <w:t>)</w:t>
      </w:r>
      <w:r w:rsidR="00DA5304" w:rsidRPr="003C0842">
        <w:t xml:space="preserve"> była pierwszą kobietą, która reprezentowała Stany Zjednoczone jako lekarz w Komisji Zdrowia Ligi Narodów.</w:t>
      </w:r>
    </w:p>
    <w:p w:rsidR="00DA5304" w:rsidRPr="003C0842" w:rsidRDefault="00DA5304" w:rsidP="00111348">
      <w:pPr>
        <w:spacing w:line="360" w:lineRule="auto"/>
        <w:ind w:firstLine="709"/>
      </w:pPr>
      <w:r w:rsidRPr="003C0842">
        <w:t xml:space="preserve">Obszarem szczególnej walki </w:t>
      </w:r>
      <w:r w:rsidR="007372D3" w:rsidRPr="003C0842">
        <w:t xml:space="preserve">kobiet </w:t>
      </w:r>
      <w:r w:rsidRPr="003C0842">
        <w:t xml:space="preserve">było żądanie </w:t>
      </w:r>
      <w:r w:rsidR="007372D3" w:rsidRPr="003C0842">
        <w:t xml:space="preserve">równości w zakresie </w:t>
      </w:r>
      <w:r w:rsidRPr="003C0842">
        <w:t xml:space="preserve">prawa wyborczego. </w:t>
      </w:r>
      <w:r w:rsidR="00137C86" w:rsidRPr="003C0842">
        <w:t xml:space="preserve">Tradycyjne </w:t>
      </w:r>
      <w:r w:rsidR="007372D3" w:rsidRPr="003C0842">
        <w:t xml:space="preserve">zaangażowanie w tym obszarze angielskich środowisk kobiecych </w:t>
      </w:r>
      <w:r w:rsidR="00137C86" w:rsidRPr="003C0842">
        <w:t xml:space="preserve">(ruch sufrażystek) powodowało, że adresatem </w:t>
      </w:r>
      <w:r w:rsidR="00536225" w:rsidRPr="003C0842">
        <w:t>różnych</w:t>
      </w:r>
      <w:r w:rsidR="00137C86" w:rsidRPr="003C0842">
        <w:t xml:space="preserve"> apeli i memoriałów był p</w:t>
      </w:r>
      <w:r w:rsidRPr="003C0842">
        <w:t>remier Lloyd George</w:t>
      </w:r>
      <w:r w:rsidR="00BB1015" w:rsidRPr="003C0842">
        <w:t xml:space="preserve">. Wyłom dokonany już przed wojną przez Nową Zelandię i Australię </w:t>
      </w:r>
      <w:r w:rsidR="00137C86" w:rsidRPr="003C0842">
        <w:t xml:space="preserve">utrudniał utrzymanie </w:t>
      </w:r>
      <w:r w:rsidR="00BB1015" w:rsidRPr="003C0842">
        <w:t>dominując</w:t>
      </w:r>
      <w:r w:rsidR="00137C86" w:rsidRPr="003C0842">
        <w:t>ej</w:t>
      </w:r>
      <w:r w:rsidR="00BB1015" w:rsidRPr="003C0842">
        <w:t xml:space="preserve"> w Londynie postaw</w:t>
      </w:r>
      <w:r w:rsidR="00137C86" w:rsidRPr="003C0842">
        <w:t>y</w:t>
      </w:r>
      <w:r w:rsidR="00BB1015" w:rsidRPr="003C0842">
        <w:t xml:space="preserve"> zachowawcz</w:t>
      </w:r>
      <w:r w:rsidR="00137C86" w:rsidRPr="003C0842">
        <w:t>ej</w:t>
      </w:r>
      <w:r w:rsidR="00BB1015" w:rsidRPr="003C0842">
        <w:rPr>
          <w:rStyle w:val="Odwoanieprzypisudolnego"/>
          <w:rFonts w:ascii="Times New Roman" w:hAnsi="Times New Roman"/>
          <w:sz w:val="24"/>
        </w:rPr>
        <w:footnoteReference w:id="138"/>
      </w:r>
      <w:r w:rsidR="00BB1015" w:rsidRPr="003C0842">
        <w:t xml:space="preserve">. Niemniej jednak rząd zaangażował się w </w:t>
      </w:r>
      <w:r w:rsidR="00FA58D2" w:rsidRPr="003C0842">
        <w:t>silne poparcie udzielone Rachel</w:t>
      </w:r>
      <w:r w:rsidR="00BB1015" w:rsidRPr="003C0842">
        <w:t>Crowdy jako kandydatki na stanowisko dyrektora sekcji socjalnej Sekretariatu.</w:t>
      </w:r>
      <w:r w:rsidR="008A6AC1" w:rsidRPr="003C0842">
        <w:t xml:space="preserve">Eric </w:t>
      </w:r>
      <w:r w:rsidR="00527DA2" w:rsidRPr="003C0842">
        <w:t xml:space="preserve">Drummond </w:t>
      </w:r>
      <w:r w:rsidR="00BB1015" w:rsidRPr="003C0842">
        <w:t xml:space="preserve">przystał na takie rozwiązanie tym chętniej, że </w:t>
      </w:r>
      <w:r w:rsidR="007C042B" w:rsidRPr="003C0842">
        <w:t>wypełnione zostało tym samym zalecenie Paktu o równym dostępie do pracy w Lidze bez różnicy płci. Był to zarazem gest nie przynoszący</w:t>
      </w:r>
      <w:r w:rsidR="00137C86" w:rsidRPr="003C0842">
        <w:t xml:space="preserve">Sekretariatowi </w:t>
      </w:r>
      <w:r w:rsidR="007C042B" w:rsidRPr="003C0842">
        <w:t>chwały</w:t>
      </w:r>
      <w:r w:rsidR="00FA58D2" w:rsidRPr="003C0842">
        <w:t>,</w:t>
      </w:r>
      <w:r w:rsidR="008A6AC1" w:rsidRPr="003C0842">
        <w:t>zważywszy</w:t>
      </w:r>
      <w:r w:rsidR="00137C86" w:rsidRPr="003C0842">
        <w:t xml:space="preserve">, że </w:t>
      </w:r>
      <w:r w:rsidR="007C042B" w:rsidRPr="003C0842">
        <w:t>Rachel Crowdy była jedyną kobietą w dziejach Ligi, która otrzymała t</w:t>
      </w:r>
      <w:r w:rsidR="00137C86" w:rsidRPr="003C0842">
        <w:t>ej rangi</w:t>
      </w:r>
      <w:r w:rsidR="007C042B" w:rsidRPr="003C0842">
        <w:t xml:space="preserve"> stanowisko</w:t>
      </w:r>
      <w:r w:rsidR="00167DF5" w:rsidRPr="003C0842">
        <w:rPr>
          <w:rStyle w:val="Odwoanieprzypisudolnego"/>
          <w:rFonts w:ascii="Times New Roman" w:hAnsi="Times New Roman"/>
          <w:sz w:val="24"/>
        </w:rPr>
        <w:footnoteReference w:id="139"/>
      </w:r>
      <w:r w:rsidR="00167DF5" w:rsidRPr="003C0842">
        <w:t>.</w:t>
      </w:r>
    </w:p>
    <w:p w:rsidR="00DA5304" w:rsidRPr="003C0842" w:rsidRDefault="00B22AA2" w:rsidP="00111348">
      <w:pPr>
        <w:spacing w:line="360" w:lineRule="auto"/>
        <w:ind w:firstLine="709"/>
      </w:pPr>
      <w:r w:rsidRPr="003C0842">
        <w:t xml:space="preserve">Formalne podejście do „reprezentacji” kobiet wśród pracowników Sekretariatu można dostrzec także w „odwiecznych” debatach o handlu kobietami, z wszystkimi tego konsekwencjami. Powszechną nośność tego problemu podkreślił art. 23 Paktu, który nakładał </w:t>
      </w:r>
      <w:r w:rsidRPr="003C0842">
        <w:lastRenderedPageBreak/>
        <w:t xml:space="preserve">na Ligę obowiązek </w:t>
      </w:r>
      <w:r w:rsidR="00C00AF7" w:rsidRPr="003C0842">
        <w:t>„</w:t>
      </w:r>
      <w:r w:rsidRPr="003C0842">
        <w:t xml:space="preserve">ogólnego nadzoru nad </w:t>
      </w:r>
      <w:r w:rsidR="00C00AF7" w:rsidRPr="003C0842">
        <w:t>porozumieniami</w:t>
      </w:r>
      <w:r w:rsidRPr="003C0842">
        <w:t xml:space="preserve"> w sprawie handlu kobietami i dziećmi</w:t>
      </w:r>
      <w:r w:rsidR="00C00AF7" w:rsidRPr="003C0842">
        <w:t>”</w:t>
      </w:r>
      <w:r w:rsidRPr="003C0842">
        <w:t xml:space="preserve">, łącząc to z handlem opium i innymi środkami odurzającymi. Problem postawiony w czasie I Zgromadzenia LN został rozwinięty podczas konferencji międzynarodowej zwołanej na 30 czerwca 1921 r. Do udziału w niej zgłosili się przedstawiciele 34 państw, w tym Niemcy. Podstawą prac były konwencje z </w:t>
      </w:r>
      <w:r w:rsidR="00C80F92">
        <w:t>lat</w:t>
      </w:r>
      <w:r w:rsidRPr="003C0842">
        <w:t xml:space="preserve"> 1904 i 1910, które zostały ratyfikowane przez pewną grupę państw już przed wojną. Istotną nowością </w:t>
      </w:r>
      <w:r w:rsidR="00C00AF7" w:rsidRPr="003C0842">
        <w:t xml:space="preserve">nowej </w:t>
      </w:r>
      <w:r w:rsidRPr="003C0842">
        <w:t>konwencji było</w:t>
      </w:r>
      <w:r w:rsidR="00C00AF7" w:rsidRPr="003C0842">
        <w:t xml:space="preserve"> objęcie ochroną wszystkie </w:t>
      </w:r>
      <w:r w:rsidRPr="003C0842">
        <w:t>kobiet</w:t>
      </w:r>
      <w:r w:rsidR="00C00AF7" w:rsidRPr="003C0842">
        <w:t>y</w:t>
      </w:r>
      <w:r w:rsidR="00594ECF" w:rsidRPr="003C0842">
        <w:t>i dzie</w:t>
      </w:r>
      <w:r w:rsidR="00C00AF7" w:rsidRPr="003C0842">
        <w:t>ci</w:t>
      </w:r>
      <w:r w:rsidRPr="003C0842">
        <w:t>, a nie tylko</w:t>
      </w:r>
      <w:r w:rsidR="000517DA" w:rsidRPr="003C0842">
        <w:t xml:space="preserve"> – </w:t>
      </w:r>
      <w:r w:rsidRPr="003C0842">
        <w:t>jak to było wcześniej</w:t>
      </w:r>
      <w:r w:rsidR="000517DA" w:rsidRPr="003C0842">
        <w:t xml:space="preserve"> –</w:t>
      </w:r>
      <w:r w:rsidR="00023F9E" w:rsidRPr="003C0842">
        <w:t>kobiet</w:t>
      </w:r>
      <w:r w:rsidR="00C00AF7" w:rsidRPr="003C0842">
        <w:t>y</w:t>
      </w:r>
      <w:r w:rsidR="00023F9E" w:rsidRPr="003C0842">
        <w:t xml:space="preserve"> biał</w:t>
      </w:r>
      <w:r w:rsidR="00C00AF7" w:rsidRPr="003C0842">
        <w:t>e</w:t>
      </w:r>
      <w:r w:rsidR="00023F9E" w:rsidRPr="003C0842">
        <w:t>. Mówiono również o opiece nad dziećmi, a nie tylko nad nieletnimi dziewczętami</w:t>
      </w:r>
      <w:r w:rsidR="00EA61C0" w:rsidRPr="003C0842">
        <w:rPr>
          <w:rStyle w:val="Odwoanieprzypisudolnego"/>
          <w:rFonts w:ascii="Times New Roman" w:hAnsi="Times New Roman"/>
          <w:sz w:val="24"/>
        </w:rPr>
        <w:footnoteReference w:id="140"/>
      </w:r>
      <w:r w:rsidR="00023F9E" w:rsidRPr="003C0842">
        <w:t xml:space="preserve">. </w:t>
      </w:r>
      <w:r w:rsidR="00FD5401" w:rsidRPr="003C0842">
        <w:t>Nowa k</w:t>
      </w:r>
      <w:r w:rsidR="00023F9E" w:rsidRPr="003C0842">
        <w:t xml:space="preserve">onwencja </w:t>
      </w:r>
      <w:r w:rsidR="00FD5401" w:rsidRPr="003C0842">
        <w:t xml:space="preserve">przyjęta 30 września 1921 r. i rekomendowana członkom Ligi </w:t>
      </w:r>
      <w:r w:rsidR="00023F9E" w:rsidRPr="003C0842">
        <w:t xml:space="preserve">przewidywała </w:t>
      </w:r>
      <w:r w:rsidR="00FD5401" w:rsidRPr="003C0842">
        <w:t xml:space="preserve">ściganie i karanie osobników zajmujących się handlem dziećmi i kobietami, a także czynów przygotowawczych, czyli </w:t>
      </w:r>
      <w:r w:rsidR="00023F9E" w:rsidRPr="003C0842">
        <w:t>zarówno samego przestęp</w:t>
      </w:r>
      <w:r w:rsidR="00FD5401" w:rsidRPr="003C0842">
        <w:t>stwa</w:t>
      </w:r>
      <w:r w:rsidR="00BB533B" w:rsidRPr="003C0842">
        <w:t>,</w:t>
      </w:r>
      <w:r w:rsidR="00FD5401" w:rsidRPr="003C0842">
        <w:t xml:space="preserve"> jak </w:t>
      </w:r>
      <w:r w:rsidR="00BB533B" w:rsidRPr="003C0842">
        <w:t>i</w:t>
      </w:r>
      <w:r w:rsidR="00FD5401" w:rsidRPr="003C0842">
        <w:t xml:space="preserve"> jego usiłowania</w:t>
      </w:r>
      <w:r w:rsidR="00023F9E" w:rsidRPr="003C0842">
        <w:t>.</w:t>
      </w:r>
      <w:r w:rsidR="00FD5401" w:rsidRPr="003C0842">
        <w:t xml:space="preserve"> Strony konwencji zobowiązywały się do nadzoru nad biurami pośrednictwa pracy, urzędami imigracyjnymi i emigracyjnymi oraz ochroną kobiet i dzieci poszukujących pracy w innych krajach.</w:t>
      </w:r>
      <w:r w:rsidR="00023F9E" w:rsidRPr="003C0842">
        <w:t xml:space="preserve">Wiązało się to z rozpowszechnionym procederem </w:t>
      </w:r>
      <w:r w:rsidR="00E84B36" w:rsidRPr="003C0842">
        <w:t>wychodźstwa</w:t>
      </w:r>
      <w:r w:rsidR="00EA61C0" w:rsidRPr="003C0842">
        <w:t xml:space="preserve"> młodych kobiet „na służbę” do Europy Zachodniej. Wagę problematyki podkreślało powołanie przez Radę LN specjalnej komisji doradczej złożonej z 9 państw oraz 5 dużych stowarzyszeń międzynarodowych szczególnie zaangażowanych w walkę z handlem „żywym towarem”</w:t>
      </w:r>
      <w:r w:rsidR="00242B1B" w:rsidRPr="003C0842">
        <w:rPr>
          <w:rStyle w:val="Odwoanieprzypisudolnego"/>
          <w:rFonts w:ascii="Times New Roman" w:hAnsi="Times New Roman"/>
          <w:sz w:val="24"/>
        </w:rPr>
        <w:footnoteReference w:id="141"/>
      </w:r>
      <w:r w:rsidR="00EA61C0" w:rsidRPr="003C0842">
        <w:t>.</w:t>
      </w:r>
    </w:p>
    <w:p w:rsidR="00EA61C0" w:rsidRPr="003C0842" w:rsidRDefault="00DF294F" w:rsidP="00111348">
      <w:pPr>
        <w:spacing w:line="360" w:lineRule="auto"/>
        <w:ind w:firstLine="709"/>
      </w:pPr>
      <w:r w:rsidRPr="003C0842">
        <w:t xml:space="preserve">Przedstawiciel Niemiec mimo pojawiających się sugestii nie znalazł się wśród członków owej komisji, mimo że tradycyjnie już, zwłaszcza port w Hamburgu </w:t>
      </w:r>
      <w:r w:rsidR="00D20BC6" w:rsidRPr="003C0842">
        <w:t xml:space="preserve">(także Ryga i Gdańsk) </w:t>
      </w:r>
      <w:r w:rsidRPr="003C0842">
        <w:t xml:space="preserve">był miejscem zaokrętowania dziewcząt ze wschodu Europy na statki angielskie, którymi płynęły do Ameryki, głównie Brazylii i Argentyny. </w:t>
      </w:r>
      <w:r w:rsidR="003C2982" w:rsidRPr="003C0842">
        <w:t xml:space="preserve">Nie przeszkodziło toRepublice Weimarskiej znaleźć </w:t>
      </w:r>
      <w:r w:rsidRPr="003C0842">
        <w:t>się wśród pierwszych państw, które związały się z konwencją</w:t>
      </w:r>
      <w:r w:rsidR="006C4BFE" w:rsidRPr="003C0842">
        <w:rPr>
          <w:rStyle w:val="Odwoanieprzypisudolnego"/>
          <w:rFonts w:ascii="Times New Roman" w:hAnsi="Times New Roman"/>
          <w:sz w:val="24"/>
        </w:rPr>
        <w:footnoteReference w:id="142"/>
      </w:r>
      <w:r w:rsidRPr="003C0842">
        <w:t>.</w:t>
      </w:r>
    </w:p>
    <w:p w:rsidR="00897F35" w:rsidRPr="003C0842" w:rsidRDefault="00897F35" w:rsidP="00111348">
      <w:pPr>
        <w:spacing w:line="360" w:lineRule="auto"/>
        <w:ind w:firstLine="709"/>
      </w:pPr>
      <w:r w:rsidRPr="003C0842">
        <w:t xml:space="preserve">Praktyczne efekty konwencji były skromne, podobnie jak doroczne spotkania komisji, które przemieniały się w tygodniowe rozważania dotyczące sposobów przeciwdziałania złu, w różnych jego wymiarach i płaszczyznach. Osiągnięcie konsensusu okazywało się nieraz </w:t>
      </w:r>
      <w:r w:rsidRPr="003C0842">
        <w:lastRenderedPageBreak/>
        <w:t>niemożliwe. Duży wysiłek członków komisji, został włożony w ograniczenie działalności domów publicznych poprzez próbę zablokowania zatrudniania w nich cudzoziemek.</w:t>
      </w:r>
      <w:r w:rsidR="00536225" w:rsidRPr="003C0842">
        <w:t>Zasadniczo g</w:t>
      </w:r>
      <w:r w:rsidR="0097555E" w:rsidRPr="003C0842">
        <w:t xml:space="preserve">odzono się, że </w:t>
      </w:r>
      <w:r w:rsidRPr="003C0842">
        <w:t>do czasu wprowadzenia reglamentacji urzędowej n</w:t>
      </w:r>
      <w:r w:rsidR="0097555E" w:rsidRPr="003C0842">
        <w:t xml:space="preserve">ależy przeciwdziałać temu, aby </w:t>
      </w:r>
      <w:r w:rsidRPr="003C0842">
        <w:t>cudzoziemk</w:t>
      </w:r>
      <w:r w:rsidR="0097555E" w:rsidRPr="003C0842">
        <w:t>i nie pełniły</w:t>
      </w:r>
      <w:r w:rsidRPr="003C0842">
        <w:t xml:space="preserve"> obowią</w:t>
      </w:r>
      <w:r w:rsidR="0097555E" w:rsidRPr="003C0842">
        <w:t>zków służącej ani nie wykonywały</w:t>
      </w:r>
      <w:r w:rsidRPr="003C0842">
        <w:t xml:space="preserve"> obowiązków prostytutki w domach publicznych.</w:t>
      </w:r>
      <w:r w:rsidR="00EC6D31" w:rsidRPr="003C0842">
        <w:t>Senator Stanisław Posner, który uczestniczył w żyw</w:t>
      </w:r>
      <w:r w:rsidR="007842D5" w:rsidRPr="003C0842">
        <w:t xml:space="preserve">ejo tym </w:t>
      </w:r>
      <w:r w:rsidR="00EC6D31" w:rsidRPr="003C0842">
        <w:t xml:space="preserve">dyskusji </w:t>
      </w:r>
      <w:r w:rsidR="007842D5" w:rsidRPr="003C0842">
        <w:t xml:space="preserve">głównie mężczyzn, </w:t>
      </w:r>
      <w:r w:rsidR="00EC6D31" w:rsidRPr="003C0842">
        <w:t xml:space="preserve">odnotowuje sprzeciw na </w:t>
      </w:r>
      <w:r w:rsidR="007842D5" w:rsidRPr="003C0842">
        <w:t xml:space="preserve">powyższy </w:t>
      </w:r>
      <w:r w:rsidR="00EC6D31" w:rsidRPr="003C0842">
        <w:t xml:space="preserve">punkt delegata Francji, co </w:t>
      </w:r>
      <w:r w:rsidR="00536225" w:rsidRPr="003C0842">
        <w:t>zachęciło do</w:t>
      </w:r>
      <w:r w:rsidR="00AC0508" w:rsidRPr="003C0842">
        <w:t xml:space="preserve"> powstrzymania</w:t>
      </w:r>
      <w:r w:rsidR="00EC6D31" w:rsidRPr="003C0842">
        <w:t xml:space="preserve"> się od głosu przedstawicieli Hiszpanii i Rumunii. W tej sytuacji Rada, a później Zgromadzenie przekazały stanowisko Komisji do wiadomości członkom Ligi, wzywając ich do przekazania do Genewy informacji o stanie spraw</w:t>
      </w:r>
      <w:r w:rsidR="000517DA" w:rsidRPr="003C0842">
        <w:t xml:space="preserve"> – </w:t>
      </w:r>
      <w:r w:rsidR="00EC6D31" w:rsidRPr="003C0842">
        <w:t xml:space="preserve">istnieniu i koncesjonowaniu domów publicznych na ich terenie. Napiętnowany delegat francuski zapewniał w kuluarach, że jest przeciwnikiem reglamentacji, ale instrukcje otrzymane w ministerstwie spraw zagranicznych nakazały mu obronę zasad, na których zbudowana została za czasów Napoleona I francuska </w:t>
      </w:r>
      <w:r w:rsidR="00EC6D31" w:rsidRPr="003C0842">
        <w:rPr>
          <w:i/>
        </w:rPr>
        <w:t>police de moeurs</w:t>
      </w:r>
      <w:r w:rsidR="00EC6D31" w:rsidRPr="003C0842">
        <w:t xml:space="preserve"> (policja moralności)</w:t>
      </w:r>
      <w:r w:rsidR="00EC6D31" w:rsidRPr="003C0842">
        <w:rPr>
          <w:rStyle w:val="Odwoanieprzypisudolnego"/>
          <w:rFonts w:ascii="Times New Roman" w:hAnsi="Times New Roman"/>
          <w:sz w:val="24"/>
        </w:rPr>
        <w:footnoteReference w:id="143"/>
      </w:r>
      <w:r w:rsidR="00EC6D31" w:rsidRPr="003C0842">
        <w:t>.</w:t>
      </w:r>
    </w:p>
    <w:p w:rsidR="007842D5" w:rsidRPr="003C0842" w:rsidRDefault="00536225" w:rsidP="00111348">
      <w:pPr>
        <w:spacing w:line="360" w:lineRule="auto"/>
        <w:ind w:firstLine="709"/>
      </w:pPr>
      <w:r w:rsidRPr="003C0842">
        <w:t xml:space="preserve">Wiele godzin </w:t>
      </w:r>
      <w:r w:rsidR="00146ECE" w:rsidRPr="003C0842">
        <w:t xml:space="preserve">rozmów </w:t>
      </w:r>
      <w:r w:rsidRPr="003C0842">
        <w:t>i tony zapisanego</w:t>
      </w:r>
      <w:r w:rsidR="00BE38FF" w:rsidRPr="003C0842">
        <w:t xml:space="preserve"> papieru to główny efekt </w:t>
      </w:r>
      <w:r w:rsidR="00146ECE" w:rsidRPr="003C0842">
        <w:t>napiętnowani</w:t>
      </w:r>
      <w:r w:rsidR="00BE38FF" w:rsidRPr="003C0842">
        <w:t>a</w:t>
      </w:r>
      <w:r w:rsidR="00146ECE" w:rsidRPr="003C0842">
        <w:t xml:space="preserve"> handlu chińskimi niewolnicami, któr</w:t>
      </w:r>
      <w:r w:rsidR="009C2730" w:rsidRPr="003C0842">
        <w:t xml:space="preserve">e ze służących w krótkim czasie stawały się </w:t>
      </w:r>
      <w:r w:rsidR="00D20BC6" w:rsidRPr="003C0842">
        <w:t>swoistymi, pozbawionymi jakichkolwiek praw</w:t>
      </w:r>
      <w:r w:rsidR="009C2730" w:rsidRPr="003C0842">
        <w:t>konkubinami.</w:t>
      </w:r>
      <w:r w:rsidR="00146ECE" w:rsidRPr="003C0842">
        <w:t xml:space="preserve"> Szczególnie aktywne na tym polu brytyjskie środowiska kobiece kolejne opinie, stanowiska czy rez</w:t>
      </w:r>
      <w:r w:rsidR="00BE38FF" w:rsidRPr="003C0842">
        <w:t>olucje zapisywały na swoje dobro</w:t>
      </w:r>
      <w:r w:rsidR="00146ECE" w:rsidRPr="003C0842">
        <w:t xml:space="preserve">, ale </w:t>
      </w:r>
      <w:r w:rsidR="008A6AC1" w:rsidRPr="003C0842">
        <w:t>stan faktyczny</w:t>
      </w:r>
      <w:r w:rsidR="00AC0508" w:rsidRPr="003C0842">
        <w:t xml:space="preserve"> się</w:t>
      </w:r>
      <w:r w:rsidR="00146ECE" w:rsidRPr="003C0842">
        <w:t xml:space="preserve"> nie </w:t>
      </w:r>
      <w:r w:rsidR="008A6AC1" w:rsidRPr="003C0842">
        <w:t>zmieniał</w:t>
      </w:r>
      <w:r w:rsidR="00146ECE" w:rsidRPr="003C0842">
        <w:rPr>
          <w:rStyle w:val="Odwoanieprzypisudolnego"/>
          <w:rFonts w:ascii="Times New Roman" w:hAnsi="Times New Roman"/>
          <w:sz w:val="24"/>
        </w:rPr>
        <w:footnoteReference w:id="144"/>
      </w:r>
      <w:r w:rsidR="009C2730" w:rsidRPr="003C0842">
        <w:t>.</w:t>
      </w:r>
    </w:p>
    <w:p w:rsidR="00AC0508" w:rsidRPr="003C0842" w:rsidRDefault="003A0E6A" w:rsidP="00111348">
      <w:pPr>
        <w:spacing w:line="360" w:lineRule="auto"/>
        <w:ind w:firstLine="709"/>
      </w:pPr>
      <w:r w:rsidRPr="003C0842">
        <w:t>Pokrętne drogi towarzyszące inicjatywom LN w obszarze obyczajowości (oczywiście ani nowe, ani specjalnie od</w:t>
      </w:r>
      <w:r w:rsidR="00D20BC6" w:rsidRPr="003C0842">
        <w:t>krywcze</w:t>
      </w:r>
      <w:r w:rsidRPr="003C0842">
        <w:t>) można odnaleźć także w debacie na temat zwalczania publikacji obscenicznych. Zainicjował ją rząd francuski</w:t>
      </w:r>
      <w:r w:rsidR="00AC0508" w:rsidRPr="003C0842">
        <w:t>,</w:t>
      </w:r>
      <w:r w:rsidRPr="003C0842">
        <w:t xml:space="preserve"> biorąc za </w:t>
      </w:r>
      <w:r w:rsidR="008853A2" w:rsidRPr="003C0842">
        <w:t>podstawę</w:t>
      </w:r>
      <w:r w:rsidRPr="003C0842">
        <w:t xml:space="preserve"> projekt konwencji z 1910 r. Według znowelizowanego w 1923 r. dokumentu karze miały podlegać osoby produkujące, handlujące lub posiadające i udostępniające publicznie pisma, obrazy, grawery, rysunki, szkice, afisze, znaki, zdjęcia, filmy oraz inne obiekty obsceniczne.</w:t>
      </w:r>
      <w:r w:rsidR="006D616E" w:rsidRPr="003C0842">
        <w:t xml:space="preserve"> Konwencję 12 września 1923 r. podpisali </w:t>
      </w:r>
      <w:r w:rsidR="00AB786D" w:rsidRPr="003C0842">
        <w:t xml:space="preserve">przedstawiciele 30 państw, na ogół mniej znani z działalności na forum Ligi. Jakkolwiek konwencje przyjmowane pod auspicjami Ligi </w:t>
      </w:r>
      <w:r w:rsidR="00AB786D" w:rsidRPr="003C0842">
        <w:lastRenderedPageBreak/>
        <w:t xml:space="preserve">Narodów podlegały ratyfikacji przez zainteresowane państwa, to jednak </w:t>
      </w:r>
      <w:r w:rsidR="008A6AC1" w:rsidRPr="003C0842">
        <w:t>już pr</w:t>
      </w:r>
      <w:r w:rsidR="00D20BC6" w:rsidRPr="003C0842">
        <w:t xml:space="preserve">zy podpisywaniu tego dokumentu </w:t>
      </w:r>
      <w:r w:rsidR="00AB786D" w:rsidRPr="003C0842">
        <w:t xml:space="preserve">przedstawiciel Syjamu </w:t>
      </w:r>
      <w:r w:rsidR="00817A9F" w:rsidRPr="003C0842">
        <w:t>i</w:t>
      </w:r>
      <w:r w:rsidR="00AB786D" w:rsidRPr="003C0842">
        <w:t xml:space="preserve"> Danii złożyli specjalne zastrzeżenia. Z kolei delegaci Wielkiej Brytanii</w:t>
      </w:r>
      <w:r w:rsidR="00817A9F" w:rsidRPr="003C0842">
        <w:t>oświadczyli</w:t>
      </w:r>
      <w:r w:rsidR="00AB786D" w:rsidRPr="003C0842">
        <w:t>, że ich podpisy nie angażują w żaden sposób obszarów kolonialnych i zamorskich</w:t>
      </w:r>
      <w:r w:rsidR="00AB786D" w:rsidRPr="003C0842">
        <w:rPr>
          <w:rStyle w:val="Odwoanieprzypisudolnego"/>
          <w:rFonts w:ascii="Times New Roman" w:hAnsi="Times New Roman"/>
          <w:sz w:val="24"/>
        </w:rPr>
        <w:footnoteReference w:id="145"/>
      </w:r>
      <w:r w:rsidR="00AB786D" w:rsidRPr="003C0842">
        <w:t>.</w:t>
      </w:r>
    </w:p>
    <w:p w:rsidR="00242B1B" w:rsidRPr="003C0842" w:rsidRDefault="00242B1B" w:rsidP="000163BF">
      <w:pPr>
        <w:spacing w:line="360" w:lineRule="auto"/>
        <w:ind w:firstLine="709"/>
        <w:rPr>
          <w:rFonts w:eastAsia="MTSY"/>
        </w:rPr>
      </w:pPr>
      <w:r w:rsidRPr="003C0842">
        <w:rPr>
          <w:color w:val="333333"/>
        </w:rPr>
        <w:t xml:space="preserve">Przejawem </w:t>
      </w:r>
      <w:r w:rsidR="00BE38FF" w:rsidRPr="003C0842">
        <w:rPr>
          <w:color w:val="333333"/>
        </w:rPr>
        <w:t>racjonalnego</w:t>
      </w:r>
      <w:r w:rsidRPr="003C0842">
        <w:rPr>
          <w:color w:val="333333"/>
        </w:rPr>
        <w:t xml:space="preserve"> patrzenia </w:t>
      </w:r>
      <w:r w:rsidR="00BE38FF" w:rsidRPr="003C0842">
        <w:rPr>
          <w:color w:val="333333"/>
        </w:rPr>
        <w:t xml:space="preserve">na sprawy społeczno-obyczajowe </w:t>
      </w:r>
      <w:r w:rsidR="007E7D73" w:rsidRPr="003C0842">
        <w:rPr>
          <w:color w:val="333333"/>
        </w:rPr>
        <w:t xml:space="preserve">pod flagą </w:t>
      </w:r>
      <w:r w:rsidRPr="003C0842">
        <w:rPr>
          <w:color w:val="333333"/>
        </w:rPr>
        <w:t>LN były przeprowadzone na masową skalę badania związane z procederem handlu kobietami. Projekty te, dyskutowane w konfliktowej atmosferze w latach 1923-1924, zyskały silne wparcie Rockefeller’s Bureau of Social Hygiene, mające siedzibę w Nowym Jorku.</w:t>
      </w:r>
      <w:r w:rsidRPr="003C0842">
        <w:rPr>
          <w:rStyle w:val="hps"/>
          <w:color w:val="333333"/>
        </w:rPr>
        <w:t xml:space="preserve"> Specjalny zespółekspertów wskazany przez Radę LN składał się z kilkunastu osób z różnych części świata</w:t>
      </w:r>
      <w:r w:rsidR="00164234" w:rsidRPr="003C0842">
        <w:rPr>
          <w:rStyle w:val="hps"/>
          <w:color w:val="333333"/>
        </w:rPr>
        <w:t>–</w:t>
      </w:r>
      <w:r w:rsidRPr="003C0842">
        <w:rPr>
          <w:rStyle w:val="hps"/>
          <w:color w:val="333333"/>
        </w:rPr>
        <w:t xml:space="preserve"> utytułowanych i znanych. P</w:t>
      </w:r>
      <w:r w:rsidRPr="003C0842">
        <w:rPr>
          <w:color w:val="333333"/>
        </w:rPr>
        <w:t>rzewodniczącym zostałd</w:t>
      </w:r>
      <w:r w:rsidRPr="003C0842">
        <w:rPr>
          <w:rStyle w:val="hps"/>
          <w:color w:val="333333"/>
        </w:rPr>
        <w:t>r WilliamSnow,profesorzdrowia publicznegona Uniwersytecie Stanforda</w:t>
      </w:r>
      <w:r w:rsidRPr="003C0842">
        <w:rPr>
          <w:color w:val="333333"/>
        </w:rPr>
        <w:t xml:space="preserve">, </w:t>
      </w:r>
      <w:r w:rsidRPr="003C0842">
        <w:rPr>
          <w:rStyle w:val="hps"/>
          <w:color w:val="333333"/>
        </w:rPr>
        <w:t>od1916</w:t>
      </w:r>
      <w:r w:rsidR="00AC0508" w:rsidRPr="003C0842">
        <w:rPr>
          <w:rStyle w:val="hps"/>
          <w:color w:val="333333"/>
        </w:rPr>
        <w:t xml:space="preserve"> r.</w:t>
      </w:r>
      <w:r w:rsidRPr="003C0842">
        <w:rPr>
          <w:color w:val="333333"/>
        </w:rPr>
        <w:t xml:space="preserve">, prezes </w:t>
      </w:r>
      <w:r w:rsidRPr="003C0842">
        <w:rPr>
          <w:rStyle w:val="hps"/>
          <w:color w:val="333333"/>
        </w:rPr>
        <w:t>ASHA (</w:t>
      </w:r>
      <w:r w:rsidRPr="003C0842">
        <w:t>American Social Hygiene Association)</w:t>
      </w:r>
      <w:r w:rsidRPr="003C0842">
        <w:rPr>
          <w:rStyle w:val="hps"/>
          <w:color w:val="333333"/>
        </w:rPr>
        <w:t xml:space="preserve"> a j</w:t>
      </w:r>
      <w:r w:rsidRPr="003C0842">
        <w:t xml:space="preserve">ego zastępcą księżna </w:t>
      </w:r>
      <w:r w:rsidRPr="003C0842">
        <w:rPr>
          <w:rStyle w:val="hps"/>
          <w:color w:val="333333"/>
        </w:rPr>
        <w:t>Cristina GiustianiBandini,przywódcakatolickiego ruchukobiecego</w:t>
      </w:r>
      <w:r w:rsidRPr="003C0842">
        <w:rPr>
          <w:rStyle w:val="Odwoanieprzypisudolnego"/>
          <w:rFonts w:ascii="Times New Roman" w:hAnsi="Times New Roman"/>
          <w:color w:val="333333"/>
          <w:sz w:val="24"/>
        </w:rPr>
        <w:footnoteReference w:id="146"/>
      </w:r>
      <w:r w:rsidRPr="003C0842">
        <w:rPr>
          <w:rStyle w:val="hps"/>
          <w:color w:val="333333"/>
        </w:rPr>
        <w:t>. Osiągnięcie konsensusu zarówno co do charakteru jak i zakresu badań było trudne.Amerykanie i</w:t>
      </w:r>
      <w:r w:rsidRPr="003C0842">
        <w:t xml:space="preserve"> Brytyjczycy opowiadali się np. za utrzymaniem </w:t>
      </w:r>
      <w:r w:rsidRPr="003C0842">
        <w:rPr>
          <w:rStyle w:val="hps"/>
          <w:color w:val="333333"/>
        </w:rPr>
        <w:t>systemu</w:t>
      </w:r>
      <w:r w:rsidRPr="003C0842">
        <w:rPr>
          <w:rStyle w:val="hps"/>
          <w:i/>
          <w:color w:val="333333"/>
        </w:rPr>
        <w:t>maişonstolèré</w:t>
      </w:r>
      <w:r w:rsidRPr="003C0842">
        <w:rPr>
          <w:rStyle w:val="hpsatn"/>
          <w:color w:val="333333"/>
        </w:rPr>
        <w:t>(</w:t>
      </w:r>
      <w:r w:rsidRPr="003C0842">
        <w:t xml:space="preserve">licencjonowane </w:t>
      </w:r>
      <w:r w:rsidRPr="003C0842">
        <w:rPr>
          <w:rStyle w:val="hps"/>
          <w:color w:val="333333"/>
        </w:rPr>
        <w:t xml:space="preserve">domy publiczne). Badaniom niechętne były zwłaszcza państwa mogące być z różnych powodów napiętnowane. Można mówić o zjawisku powszechnym, skoro badaniami, które rozpoczęto jesienią 1924 r.planowano objąć 76 państw.Zdołano przebadać sytuację w 28 państwach, 112 miastach z Europy, </w:t>
      </w:r>
      <w:r w:rsidR="00D237EF" w:rsidRPr="003C0842">
        <w:rPr>
          <w:rStyle w:val="hps"/>
          <w:color w:val="333333"/>
        </w:rPr>
        <w:t>regionuśródziemnomorskiego</w:t>
      </w:r>
      <w:r w:rsidRPr="003C0842">
        <w:rPr>
          <w:rStyle w:val="hps"/>
          <w:color w:val="333333"/>
        </w:rPr>
        <w:t xml:space="preserve"> i Ameryki Południowej. Zaangażowanie</w:t>
      </w:r>
      <w:r w:rsidRPr="003C0842">
        <w:t xml:space="preserve">Johna D. Rockefellera </w:t>
      </w:r>
      <w:r w:rsidR="000163BF" w:rsidRPr="003C0842">
        <w:t>jun</w:t>
      </w:r>
      <w:r w:rsidRPr="003C0842">
        <w:t xml:space="preserve">. pozwoliło kontynuować badania w Azji. </w:t>
      </w:r>
      <w:r w:rsidRPr="003C0842">
        <w:rPr>
          <w:rStyle w:val="hps"/>
          <w:color w:val="333333"/>
        </w:rPr>
        <w:t>Zgromadzony materiał, spisany w 14 językach był olbrzymi: uzyskano odpowiedzi 6500</w:t>
      </w:r>
      <w:r w:rsidRPr="003C0842">
        <w:t xml:space="preserve"> osób</w:t>
      </w:r>
      <w:r w:rsidRPr="003C0842">
        <w:rPr>
          <w:rStyle w:val="hps"/>
          <w:color w:val="333333"/>
        </w:rPr>
        <w:t>, w tym5</w:t>
      </w:r>
      <w:r w:rsidR="00DA3C5A" w:rsidRPr="003C0842">
        <w:rPr>
          <w:rStyle w:val="hps"/>
          <w:color w:val="333333"/>
        </w:rPr>
        <w:t xml:space="preserve"> tys.</w:t>
      </w:r>
      <w:r w:rsidRPr="003C0842">
        <w:rPr>
          <w:rStyle w:val="hps"/>
          <w:color w:val="333333"/>
        </w:rPr>
        <w:t xml:space="preserve">od prostytutek i osób z międzynarodowegopodziemia. </w:t>
      </w:r>
      <w:r w:rsidR="007E7D73" w:rsidRPr="003C0842">
        <w:rPr>
          <w:rStyle w:val="hps"/>
          <w:color w:val="333333"/>
        </w:rPr>
        <w:t>Materiał ten d</w:t>
      </w:r>
      <w:r w:rsidRPr="003C0842">
        <w:rPr>
          <w:rStyle w:val="hps"/>
          <w:color w:val="333333"/>
        </w:rPr>
        <w:t>ostępny warchiwachLigi Narodóww Genewie i RockefellerArchives wNowym Jorku</w:t>
      </w:r>
      <w:r w:rsidRPr="003C0842">
        <w:t>, pozwalał i nadal umożliwia pogłębione badania o charakterze historyczno-społeczno-etnol</w:t>
      </w:r>
      <w:r w:rsidR="000163BF" w:rsidRPr="003C0842">
        <w:t>o</w:t>
      </w:r>
      <w:r w:rsidRPr="003C0842">
        <w:t>gicznym</w:t>
      </w:r>
      <w:r w:rsidRPr="003C0842">
        <w:rPr>
          <w:rStyle w:val="Odwoanieprzypisudolnego"/>
          <w:rFonts w:ascii="Times New Roman" w:hAnsi="Times New Roman"/>
          <w:color w:val="333333"/>
          <w:sz w:val="24"/>
        </w:rPr>
        <w:footnoteReference w:id="147"/>
      </w:r>
      <w:r w:rsidR="000163BF" w:rsidRPr="003C0842">
        <w:t xml:space="preserve">. </w:t>
      </w:r>
      <w:r w:rsidRPr="003C0842">
        <w:t>Ogromny wysiłek i zaangażowanie w tym obszarze nie przekładało się na zmiany zgodnie ze skromnymi nawet oczekiwaniami.</w:t>
      </w:r>
    </w:p>
    <w:p w:rsidR="00AB786D" w:rsidRPr="003C0842" w:rsidRDefault="00AB786D" w:rsidP="00111348">
      <w:pPr>
        <w:spacing w:line="360" w:lineRule="auto"/>
        <w:ind w:firstLine="709"/>
      </w:pPr>
    </w:p>
    <w:p w:rsidR="00AB786D" w:rsidRPr="003C0842" w:rsidRDefault="0080192E" w:rsidP="00111348">
      <w:pPr>
        <w:spacing w:line="360" w:lineRule="auto"/>
        <w:ind w:firstLine="709"/>
        <w:outlineLvl w:val="0"/>
      </w:pPr>
      <w:r>
        <w:t>d.</w:t>
      </w:r>
      <w:r w:rsidR="00C3342D" w:rsidRPr="003C0842">
        <w:t>Handel narkotykami</w:t>
      </w:r>
    </w:p>
    <w:p w:rsidR="00AB786D" w:rsidRPr="003C0842" w:rsidRDefault="00AB786D" w:rsidP="00111348">
      <w:pPr>
        <w:spacing w:line="360" w:lineRule="auto"/>
        <w:ind w:firstLine="709"/>
      </w:pPr>
    </w:p>
    <w:p w:rsidR="00DF507F" w:rsidRPr="003C0842" w:rsidRDefault="00AB786D" w:rsidP="00111348">
      <w:pPr>
        <w:spacing w:line="360" w:lineRule="auto"/>
        <w:ind w:firstLine="709"/>
      </w:pPr>
      <w:r w:rsidRPr="003C0842">
        <w:lastRenderedPageBreak/>
        <w:t xml:space="preserve">Dostrzegalne w wielu pracach ligowych komplikowanie spraw już </w:t>
      </w:r>
      <w:r w:rsidR="0065640B" w:rsidRPr="003C0842">
        <w:t>przedyskutowanych i zasadniczo uzgodnionych podyktowane było często konfliktem interesów. Ochoczo skrywano je za parawan formalno-prawnych zastrzeżeń lub proceduraln</w:t>
      </w:r>
      <w:r w:rsidR="00D20BC6" w:rsidRPr="003C0842">
        <w:t>ych kruczków, nieraz niezamierzonego</w:t>
      </w:r>
      <w:r w:rsidR="0065640B" w:rsidRPr="003C0842">
        <w:t xml:space="preserve"> „nieporozumienia”. Wśród problemów, które przykuwały powszechną uwagę instytucji i osób otaczających Ligę Narodów i w ogóle Genewę (jako siedzibę wielu wyspecjalizowanych międzynarodowych organizacji o charakterze społecznym) wymienić należy obrót środkami odurzającymi, zwłaszcza opium. Specyfik ten</w:t>
      </w:r>
      <w:r w:rsidR="00315BF9" w:rsidRPr="003C0842">
        <w:t>,</w:t>
      </w:r>
      <w:r w:rsidR="0065640B" w:rsidRPr="003C0842">
        <w:t xml:space="preserve"> o równo brzmiącej w głównych językach nazwie</w:t>
      </w:r>
      <w:r w:rsidR="00315BF9" w:rsidRPr="003C0842">
        <w:t>,</w:t>
      </w:r>
      <w:r w:rsidR="0065640B" w:rsidRPr="003C0842">
        <w:t>rozpowszechni</w:t>
      </w:r>
      <w:r w:rsidR="00315BF9" w:rsidRPr="003C0842">
        <w:t>ł się</w:t>
      </w:r>
      <w:r w:rsidR="0065640B" w:rsidRPr="003C0842">
        <w:t xml:space="preserve"> w XIX w. w Europie i Stanach Zjednoczonych, a zwłaszcza w Chinach, gdzie jego używanie było powszechne</w:t>
      </w:r>
      <w:r w:rsidR="00315BF9" w:rsidRPr="003C0842">
        <w:t>. Wówczas też</w:t>
      </w:r>
      <w:r w:rsidR="0065640B" w:rsidRPr="003C0842">
        <w:t xml:space="preserve"> stał się obiektem międzynarodowej kampanii z racji niepożądanych, często zgubnych konsekwencji zdrowotnych. Wykorzystywanie opium na szeroką skalę, jako panaceum na wszelkie dolegliwości cielesne (także duchowe) starano się </w:t>
      </w:r>
      <w:r w:rsidR="00D20BC6" w:rsidRPr="003C0842">
        <w:t>zatamować</w:t>
      </w:r>
      <w:r w:rsidR="0065640B" w:rsidRPr="003C0842">
        <w:t>przez system zakazów, wprowadzon</w:t>
      </w:r>
      <w:r w:rsidR="006D4C7B" w:rsidRPr="003C0842">
        <w:t xml:space="preserve">ych po raz pierwszy w Chinatown w San </w:t>
      </w:r>
      <w:r w:rsidR="00315BF9" w:rsidRPr="003C0842">
        <w:t>Francisco</w:t>
      </w:r>
      <w:r w:rsidR="006D4C7B" w:rsidRPr="003C0842">
        <w:t xml:space="preserve"> w 1876 r. Walkę ze środowiskami odurzającymi utrudniała wielka zyskowność obrotu i handlu, wspieranego zwłaszcza przez Brytyjczyków z Indii. Po I wojnie światowej do kosza pretensji wobec Niemiec doszło wskazanie ich portów jako szczególnie aktywnych w przemycie opium. Sprawę tę analizował Tymczasowy Komitet Higieny (Comité Provisoire d’Higiène) podczas sesji w dniach 20</w:t>
      </w:r>
      <w:r w:rsidR="005A5F3B">
        <w:t>-</w:t>
      </w:r>
      <w:r w:rsidR="006D4C7B" w:rsidRPr="003C0842">
        <w:t>22 października 1921 r.</w:t>
      </w:r>
      <w:r w:rsidR="000163BF" w:rsidRPr="003C0842">
        <w:t>,</w:t>
      </w:r>
      <w:r w:rsidR="006D4C7B" w:rsidRPr="003C0842">
        <w:t xml:space="preserve"> konstatując fakt kontrabandy opium pochodzącego z Niemiec. </w:t>
      </w:r>
    </w:p>
    <w:p w:rsidR="009C3B42" w:rsidRPr="003C0842" w:rsidRDefault="006D4C7B" w:rsidP="00895F6A">
      <w:pPr>
        <w:spacing w:line="360" w:lineRule="auto"/>
        <w:ind w:firstLine="709"/>
      </w:pPr>
      <w:r w:rsidRPr="003C0842">
        <w:t xml:space="preserve">Problem opium i innych środków odurzających uznany został za </w:t>
      </w:r>
      <w:r w:rsidR="00FA55B7" w:rsidRPr="003C0842">
        <w:t xml:space="preserve">szczególnie </w:t>
      </w:r>
      <w:r w:rsidRPr="003C0842">
        <w:t xml:space="preserve">ważny, </w:t>
      </w:r>
      <w:r w:rsidR="00FA55B7" w:rsidRPr="003C0842">
        <w:t>angażujący nadspodziewanie dużą część uwagi</w:t>
      </w:r>
      <w:r w:rsidR="00E033E8" w:rsidRPr="003C0842">
        <w:t xml:space="preserve"> Ligi.</w:t>
      </w:r>
      <w:r w:rsidR="00FA55B7" w:rsidRPr="003C0842">
        <w:t xml:space="preserve"> W ciągu1922 r. kilkakrotnie i to w różnych gremiach wskazywano na potrzebę utworzenia</w:t>
      </w:r>
      <w:r w:rsidRPr="003C0842">
        <w:t xml:space="preserve"> specjalnej podkomisji</w:t>
      </w:r>
      <w:r w:rsidR="00315BF9" w:rsidRPr="003C0842">
        <w:t xml:space="preserve">. </w:t>
      </w:r>
      <w:r w:rsidRPr="003C0842">
        <w:t xml:space="preserve">Rada </w:t>
      </w:r>
      <w:r w:rsidR="00315BF9" w:rsidRPr="003C0842">
        <w:t>przychyl</w:t>
      </w:r>
      <w:r w:rsidR="00D20BC6" w:rsidRPr="003C0842">
        <w:t xml:space="preserve">iła się do tego projektu </w:t>
      </w:r>
      <w:r w:rsidR="00315BF9" w:rsidRPr="003C0842">
        <w:t>30 stycznia 1923 r.</w:t>
      </w:r>
      <w:r w:rsidR="00DF507F" w:rsidRPr="003C0842">
        <w:rPr>
          <w:rStyle w:val="Odwoanieprzypisudolnego"/>
          <w:rFonts w:ascii="Times New Roman" w:hAnsi="Times New Roman"/>
          <w:sz w:val="24"/>
        </w:rPr>
        <w:footnoteReference w:id="148"/>
      </w:r>
      <w:r w:rsidR="00A16D12" w:rsidRPr="003C0842">
        <w:t xml:space="preserve">Ten obiektywnie trudny problem </w:t>
      </w:r>
      <w:r w:rsidR="00FA55B7" w:rsidRPr="003C0842">
        <w:t xml:space="preserve">także dlaLN </w:t>
      </w:r>
      <w:r w:rsidR="00A16D12" w:rsidRPr="003C0842">
        <w:t xml:space="preserve">okazał się </w:t>
      </w:r>
      <w:r w:rsidR="00E033E8" w:rsidRPr="003C0842">
        <w:t xml:space="preserve">niemożliwy do rozwiązania. Jej dorobek </w:t>
      </w:r>
      <w:r w:rsidR="009C3B42" w:rsidRPr="003C0842">
        <w:t>uznać jednak trzeba za</w:t>
      </w:r>
      <w:r w:rsidR="00E033E8" w:rsidRPr="003C0842">
        <w:t xml:space="preserve">znaczący w sensie historycznym, </w:t>
      </w:r>
      <w:r w:rsidR="009C3B42" w:rsidRPr="003C0842">
        <w:t xml:space="preserve">jako </w:t>
      </w:r>
      <w:r w:rsidR="00E033E8" w:rsidRPr="003C0842">
        <w:t xml:space="preserve">pokazujący problemy związane ze środkami odurzającymi na ówczesnym etapie </w:t>
      </w:r>
      <w:r w:rsidR="00B420FF" w:rsidRPr="003C0842">
        <w:t xml:space="preserve">rozwoju </w:t>
      </w:r>
      <w:r w:rsidR="00E033E8" w:rsidRPr="003C0842">
        <w:t xml:space="preserve">stosunków społecznych. </w:t>
      </w:r>
      <w:r w:rsidR="00B420FF" w:rsidRPr="003C0842">
        <w:t xml:space="preserve">Nie bez znaczenia były też badania i </w:t>
      </w:r>
      <w:r w:rsidR="00DF507F" w:rsidRPr="003C0842">
        <w:t>d</w:t>
      </w:r>
      <w:r w:rsidR="00B420FF" w:rsidRPr="003C0842">
        <w:t>ebaty</w:t>
      </w:r>
      <w:r w:rsidR="00DF507F" w:rsidRPr="003C0842">
        <w:t xml:space="preserve"> o</w:t>
      </w:r>
      <w:r w:rsidR="008A6AC1" w:rsidRPr="003C0842">
        <w:t xml:space="preserve"> charakterze medycznym</w:t>
      </w:r>
      <w:r w:rsidR="009C3B42" w:rsidRPr="003C0842">
        <w:t>oraz</w:t>
      </w:r>
      <w:r w:rsidR="00B420FF" w:rsidRPr="003C0842">
        <w:t xml:space="preserve"> teoretycznym</w:t>
      </w:r>
      <w:r w:rsidR="008A6AC1" w:rsidRPr="003C0842">
        <w:t xml:space="preserve">. </w:t>
      </w:r>
      <w:r w:rsidR="00B420FF" w:rsidRPr="003C0842">
        <w:t>Ich znaczenie doceniano również w Stanach Zjednoczonych. Chociażprogramowo ignorowały one Ligę, a nawet często nie reagowały na przesyłaną z Genewy korespondencję, to jednak sekretarz stanu Hughes– po konsultacji z Kongresem, zgodził się na udział w pracach opiumow</w:t>
      </w:r>
      <w:r w:rsidR="009C3B42" w:rsidRPr="003C0842">
        <w:t>ych</w:t>
      </w:r>
      <w:r w:rsidR="00B420FF" w:rsidRPr="003C0842">
        <w:t xml:space="preserve"> „nieoficjalnego obserwatora”. Aktywność Amerykanów </w:t>
      </w:r>
      <w:r w:rsidR="009C3B42" w:rsidRPr="003C0842">
        <w:t xml:space="preserve">na konferencji opiumowej (3 listopada 1924 – 19 </w:t>
      </w:r>
      <w:r w:rsidR="009C3B42" w:rsidRPr="003C0842">
        <w:lastRenderedPageBreak/>
        <w:t>lutego 1925</w:t>
      </w:r>
      <w:r w:rsidR="000163BF" w:rsidRPr="003C0842">
        <w:t xml:space="preserve"> r.</w:t>
      </w:r>
      <w:r w:rsidR="009C3B42" w:rsidRPr="003C0842">
        <w:t>)</w:t>
      </w:r>
      <w:r w:rsidR="00B420FF" w:rsidRPr="003C0842">
        <w:t xml:space="preserve"> była stosunkowo duż</w:t>
      </w:r>
      <w:r w:rsidR="009C3B42" w:rsidRPr="003C0842">
        <w:t>a</w:t>
      </w:r>
      <w:r w:rsidR="00B420FF" w:rsidRPr="003C0842">
        <w:t xml:space="preserve">, zważywszy na trwające </w:t>
      </w:r>
      <w:r w:rsidR="009C3B42" w:rsidRPr="003C0842">
        <w:t xml:space="preserve">wówczas </w:t>
      </w:r>
      <w:r w:rsidR="00164234" w:rsidRPr="003C0842">
        <w:t>–</w:t>
      </w:r>
      <w:r w:rsidR="00B420FF" w:rsidRPr="003C0842">
        <w:t xml:space="preserve"> i</w:t>
      </w:r>
      <w:r w:rsidR="009C3B42" w:rsidRPr="003C0842">
        <w:t xml:space="preserve"> przez wiele kolejnych lat </w:t>
      </w:r>
      <w:r w:rsidR="00164234" w:rsidRPr="003C0842">
        <w:t>–</w:t>
      </w:r>
      <w:r w:rsidR="009C3B42" w:rsidRPr="003C0842">
        <w:t xml:space="preserve"> nadzieje na przyciągnięcie ich do instytucji genewskiej. </w:t>
      </w:r>
    </w:p>
    <w:p w:rsidR="00A16D12" w:rsidRPr="003C0842" w:rsidRDefault="00A16D12" w:rsidP="00111348">
      <w:pPr>
        <w:spacing w:line="360" w:lineRule="auto"/>
        <w:ind w:firstLine="709"/>
      </w:pPr>
      <w:r w:rsidRPr="003C0842">
        <w:t>Amerykanieprzybyli</w:t>
      </w:r>
      <w:r w:rsidR="00DF507F" w:rsidRPr="003C0842">
        <w:t xml:space="preserve">do Genewy z </w:t>
      </w:r>
      <w:r w:rsidR="009C3B42" w:rsidRPr="003C0842">
        <w:t xml:space="preserve">nadzieją na </w:t>
      </w:r>
      <w:r w:rsidR="00DF507F" w:rsidRPr="003C0842">
        <w:t>likwidacj</w:t>
      </w:r>
      <w:r w:rsidR="009C3B42" w:rsidRPr="003C0842">
        <w:t>ę</w:t>
      </w:r>
      <w:r w:rsidR="00DF507F" w:rsidRPr="003C0842">
        <w:t xml:space="preserve"> upraw makowych, głównie w Indiach, gdzie stanowiły one monopol państwowy (a więc mieli nad nim pieczę angielscy urzędnicy). Determinacja Amerykanów była </w:t>
      </w:r>
      <w:r w:rsidR="009C3B42" w:rsidRPr="003C0842">
        <w:t>spora zważywszy, że</w:t>
      </w:r>
      <w:r w:rsidR="00DF507F" w:rsidRPr="003C0842">
        <w:t xml:space="preserve"> jedną z wielu negatywnych konsekwencji prohibicji</w:t>
      </w:r>
      <w:r w:rsidR="00315BF9" w:rsidRPr="003C0842">
        <w:t xml:space="preserve"> (obowiązującej w tym kraju już kilka lat</w:t>
      </w:r>
      <w:r w:rsidR="00E14A51" w:rsidRPr="003C0842">
        <w:rPr>
          <w:rStyle w:val="Odwoanieprzypisudolnego"/>
          <w:rFonts w:ascii="Times New Roman" w:hAnsi="Times New Roman"/>
          <w:sz w:val="24"/>
        </w:rPr>
        <w:footnoteReference w:id="149"/>
      </w:r>
      <w:r w:rsidR="00315BF9" w:rsidRPr="003C0842">
        <w:t>)</w:t>
      </w:r>
      <w:r w:rsidR="00DF507F" w:rsidRPr="003C0842">
        <w:t xml:space="preserve"> był zwiększony napływ do kraju środków odurzających jak opium, morfina czy kokaina. Zabiegali więc o zaprowadzenie kontroli nad tym </w:t>
      </w:r>
      <w:r w:rsidR="009A7079" w:rsidRPr="003C0842">
        <w:t>przemysłem poprzez jego inwentaryzację i sukcesywne zmniejszanie produkcji maku we wszystkich państwach, głównie azjatyckich.</w:t>
      </w:r>
      <w:r w:rsidR="00903CD8" w:rsidRPr="003C0842">
        <w:t xml:space="preserve"> Nabrzmiewający problem, będący także źródłem wojen (tzw. wojny opiumowe) </w:t>
      </w:r>
      <w:r w:rsidR="000A2A40" w:rsidRPr="003C0842">
        <w:t>oraz międzynarodowej rywalizacji angażującej wszystkie główne mocarstwa</w:t>
      </w:r>
      <w:r w:rsidR="000A2A40" w:rsidRPr="003C0842">
        <w:rPr>
          <w:rStyle w:val="Odwoanieprzypisudolnego"/>
          <w:rFonts w:ascii="Times New Roman" w:hAnsi="Times New Roman"/>
          <w:sz w:val="24"/>
        </w:rPr>
        <w:footnoteReference w:id="150"/>
      </w:r>
      <w:r w:rsidR="000A2A40" w:rsidRPr="003C0842">
        <w:t>,</w:t>
      </w:r>
      <w:r w:rsidR="00903CD8" w:rsidRPr="003C0842">
        <w:t xml:space="preserve">również na forum Ligi Narodów przechodził cierniową drogę. Negocjowany przez trzy miesiące projekt konwencji zobowiązywał państwa do energicznego przeciwdziałania produkcji opium i </w:t>
      </w:r>
      <w:r w:rsidR="00A561E4" w:rsidRPr="003C0842">
        <w:t xml:space="preserve">sukcesywnie </w:t>
      </w:r>
      <w:r w:rsidR="00903CD8" w:rsidRPr="003C0842">
        <w:t>zmniejszanie jej tak</w:t>
      </w:r>
      <w:r w:rsidR="00E14A51" w:rsidRPr="003C0842">
        <w:t>,</w:t>
      </w:r>
      <w:r w:rsidR="00903CD8" w:rsidRPr="003C0842">
        <w:t xml:space="preserve"> aby po 15 latach problem został rozwiązany, z zastrzeżeniem potrzeb naukowych i leczniczych.</w:t>
      </w:r>
      <w:r w:rsidR="009C3B42" w:rsidRPr="003C0842">
        <w:t>Impas powstał na tle czasu wprowadzenia w życie postanowień konwencji, która zostałaprzyjęta 19 lutego 1925 r. P</w:t>
      </w:r>
      <w:r w:rsidR="00903CD8" w:rsidRPr="003C0842">
        <w:t>rzedstawiciele Stanów Zjednoczonych i Chin domagali się, aby konwencja zaczęła obowiązywać bezpośrednio po jej podpisaniu</w:t>
      </w:r>
      <w:r w:rsidR="00633DDB" w:rsidRPr="003C0842">
        <w:t>. Celu tego nie osiągnęli. Sytuację tę tak pointował Stanisław Posner uczestniczący z ramienia Polski w pracach humanitarnych Ligi: „Wobec potężnych światowych interesów kapitalistycznych</w:t>
      </w:r>
      <w:r w:rsidR="00E14A51" w:rsidRPr="003C0842">
        <w:t>,</w:t>
      </w:r>
      <w:r w:rsidR="00633DDB" w:rsidRPr="003C0842">
        <w:t xml:space="preserve"> duch postępu moralnego, któremu Liga służy, może być bezsilny”</w:t>
      </w:r>
      <w:r w:rsidR="00633DDB" w:rsidRPr="003C0842">
        <w:rPr>
          <w:rStyle w:val="Odwoanieprzypisudolnego"/>
          <w:rFonts w:ascii="Times New Roman" w:hAnsi="Times New Roman"/>
          <w:sz w:val="24"/>
        </w:rPr>
        <w:footnoteReference w:id="151"/>
      </w:r>
      <w:r w:rsidR="00633DDB" w:rsidRPr="003C0842">
        <w:t>.</w:t>
      </w:r>
      <w:r w:rsidRPr="003C0842">
        <w:t>Delegacja USA w lutym 1925 r. opuściła Genewę bez żadnego konkretu.</w:t>
      </w:r>
      <w:r w:rsidR="00D65AA1" w:rsidRPr="003C0842">
        <w:t xml:space="preserve"> Debaty opiumowe tego czasu dokumentują publikacje liczące z górą tysiąc stron dużego formatu (</w:t>
      </w:r>
      <w:smartTag w:uri="urn:schemas-microsoft-com:office:smarttags" w:element="metricconverter">
        <w:smartTagPr>
          <w:attr w:name="ProductID" w:val="33 cm"/>
        </w:smartTagPr>
        <w:r w:rsidR="00D65AA1" w:rsidRPr="003C0842">
          <w:t>33 cm</w:t>
        </w:r>
      </w:smartTag>
      <w:r w:rsidR="00D65AA1" w:rsidRPr="003C0842">
        <w:t>).</w:t>
      </w:r>
    </w:p>
    <w:p w:rsidR="00633DDB" w:rsidRPr="003C0842" w:rsidRDefault="00633DDB" w:rsidP="00111348">
      <w:pPr>
        <w:spacing w:line="360" w:lineRule="auto"/>
        <w:ind w:firstLine="709"/>
      </w:pPr>
    </w:p>
    <w:p w:rsidR="00633DDB" w:rsidRPr="003C0842" w:rsidRDefault="000163BF" w:rsidP="00111348">
      <w:pPr>
        <w:spacing w:line="360" w:lineRule="auto"/>
        <w:ind w:firstLine="709"/>
        <w:outlineLvl w:val="0"/>
      </w:pPr>
      <w:r w:rsidRPr="003C0842">
        <w:t>e</w:t>
      </w:r>
      <w:r w:rsidR="0080192E">
        <w:t>.</w:t>
      </w:r>
      <w:r w:rsidR="00633DDB" w:rsidRPr="003C0842">
        <w:t xml:space="preserve"> Współpraca intelektualna</w:t>
      </w:r>
    </w:p>
    <w:p w:rsidR="00633DDB" w:rsidRPr="003C0842" w:rsidRDefault="00633DDB" w:rsidP="00111348">
      <w:pPr>
        <w:spacing w:line="360" w:lineRule="auto"/>
        <w:ind w:firstLine="709"/>
      </w:pPr>
    </w:p>
    <w:p w:rsidR="00633DDB" w:rsidRPr="003C0842" w:rsidRDefault="00633DDB" w:rsidP="00111348">
      <w:pPr>
        <w:spacing w:line="360" w:lineRule="auto"/>
        <w:ind w:firstLine="709"/>
      </w:pPr>
      <w:r w:rsidRPr="003C0842">
        <w:t>Udział przedstawicieli państw pokonanych</w:t>
      </w:r>
      <w:r w:rsidR="000517DA" w:rsidRPr="003C0842">
        <w:t xml:space="preserve"> – </w:t>
      </w:r>
      <w:r w:rsidRPr="003C0842">
        <w:t>zwłaszcza Niemiec</w:t>
      </w:r>
      <w:r w:rsidR="000517DA" w:rsidRPr="003C0842">
        <w:t xml:space="preserve"> – </w:t>
      </w:r>
      <w:r w:rsidRPr="003C0842">
        <w:t xml:space="preserve">w obszarze spraw społeczno-humanitarnych był dobrze oceniany przez większość osób aktywnych z rekomendacji swoich rządów lub </w:t>
      </w:r>
      <w:r w:rsidR="00A16D12" w:rsidRPr="003C0842">
        <w:t>Sekretariatu</w:t>
      </w:r>
      <w:r w:rsidRPr="003C0842">
        <w:t xml:space="preserve"> Ligi. Niejednokrotnie jednak do głosu dochodziły antyniemieckie manifestacje, w których celowali Francuzi</w:t>
      </w:r>
      <w:r w:rsidR="00D358E7" w:rsidRPr="003C0842">
        <w:t xml:space="preserve"> wspierani często przez </w:t>
      </w:r>
      <w:r w:rsidR="00D358E7" w:rsidRPr="003C0842">
        <w:lastRenderedPageBreak/>
        <w:t>mniejszych sojuszników. Swoisty alians francusko-belgijski ujawnił się przy organizacji Międzynarodowej Komisji Intelektualnej (Commission Internationale de la Coopération Intelectuelle</w:t>
      </w:r>
      <w:r w:rsidR="000517DA" w:rsidRPr="003C0842">
        <w:t xml:space="preserve"> – </w:t>
      </w:r>
      <w:r w:rsidR="00D358E7" w:rsidRPr="003C0842">
        <w:t xml:space="preserve">CICI), którą powołało II Zgromadzenie 21 września </w:t>
      </w:r>
      <w:r w:rsidR="004322AA" w:rsidRPr="003C0842">
        <w:t>1</w:t>
      </w:r>
      <w:r w:rsidR="00D358E7" w:rsidRPr="003C0842">
        <w:t xml:space="preserve">921 r. </w:t>
      </w:r>
      <w:r w:rsidR="00180F37" w:rsidRPr="003C0842">
        <w:t xml:space="preserve">Do Genewy spłynęło </w:t>
      </w:r>
      <w:r w:rsidR="00D358E7" w:rsidRPr="003C0842">
        <w:t xml:space="preserve">61 </w:t>
      </w:r>
      <w:r w:rsidR="00180F37" w:rsidRPr="003C0842">
        <w:t xml:space="preserve">nazwisk kandydatów </w:t>
      </w:r>
      <w:r w:rsidR="00D358E7" w:rsidRPr="003C0842">
        <w:t>zgłoszonych przez poszczególne państwa</w:t>
      </w:r>
      <w:r w:rsidR="00180F37" w:rsidRPr="003C0842">
        <w:t>. P</w:t>
      </w:r>
      <w:r w:rsidR="00D358E7" w:rsidRPr="003C0842">
        <w:t xml:space="preserve">o </w:t>
      </w:r>
      <w:r w:rsidR="00180F37" w:rsidRPr="003C0842">
        <w:t xml:space="preserve">niełatwych, </w:t>
      </w:r>
      <w:r w:rsidR="00D358E7" w:rsidRPr="003C0842">
        <w:t>trwający</w:t>
      </w:r>
      <w:r w:rsidR="00D65AA1" w:rsidRPr="003C0842">
        <w:t xml:space="preserve">ch kilka miesięcy konsultacjach, </w:t>
      </w:r>
      <w:r w:rsidR="00D358E7" w:rsidRPr="003C0842">
        <w:t>Rada 15 maja 1922 r. ogłosiła nazwiska 12 osób zaproszonych do udziału wpracach</w:t>
      </w:r>
      <w:r w:rsidR="00180F37" w:rsidRPr="003C0842">
        <w:t xml:space="preserve"> CICI</w:t>
      </w:r>
      <w:r w:rsidR="00D358E7" w:rsidRPr="003C0842">
        <w:t>. Przyjęta procedura miała podkreślać, że wskazano osoby, które wprawdzie miały reprezentować różne „cywilizacje”, ale nie były</w:t>
      </w:r>
      <w:r w:rsidR="00D65AA1" w:rsidRPr="003C0842">
        <w:t xml:space="preserve"> one</w:t>
      </w:r>
      <w:r w:rsidR="00D358E7" w:rsidRPr="003C0842">
        <w:t xml:space="preserve"> związane żadnymi </w:t>
      </w:r>
      <w:r w:rsidR="00D65AA1" w:rsidRPr="003C0842">
        <w:t xml:space="preserve">rządowymi </w:t>
      </w:r>
      <w:r w:rsidR="00D358E7" w:rsidRPr="003C0842">
        <w:t>instrukcjami</w:t>
      </w:r>
      <w:r w:rsidR="00AD74C5" w:rsidRPr="003C0842">
        <w:t xml:space="preserve">. Apolityczność </w:t>
      </w:r>
      <w:r w:rsidR="004322AA" w:rsidRPr="003C0842">
        <w:t>k</w:t>
      </w:r>
      <w:r w:rsidR="00AD74C5" w:rsidRPr="003C0842">
        <w:t xml:space="preserve">omisji była silnie podkreślana, podobnie jak osobisty prestiż i uznanie w środowisku intelektualnym swego kraju i poza nim. </w:t>
      </w:r>
    </w:p>
    <w:p w:rsidR="00D65AA1" w:rsidRPr="003C0842" w:rsidRDefault="00AD74C5" w:rsidP="00111348">
      <w:pPr>
        <w:spacing w:line="360" w:lineRule="auto"/>
        <w:ind w:firstLine="709"/>
      </w:pPr>
      <w:r w:rsidRPr="003C0842">
        <w:t>Zgromadzenie</w:t>
      </w:r>
      <w:r w:rsidR="000163BF" w:rsidRPr="003C0842">
        <w:t>,</w:t>
      </w:r>
      <w:r w:rsidRPr="003C0842">
        <w:t xml:space="preserve"> głosując rezolucję w sprawie utworzenia Komisji Współpracy Intelektualnej</w:t>
      </w:r>
      <w:r w:rsidR="000163BF" w:rsidRPr="003C0842">
        <w:t>,</w:t>
      </w:r>
      <w:r w:rsidRPr="003C0842">
        <w:t xml:space="preserve"> zastrzegło udział w nim kobiet. Zalecenie to zostało zrealizowane przez zaproszenie Kristine Bonnevie</w:t>
      </w:r>
      <w:r w:rsidR="000517DA" w:rsidRPr="003C0842">
        <w:t xml:space="preserve"> – </w:t>
      </w:r>
      <w:r w:rsidRPr="003C0842">
        <w:t>profesor</w:t>
      </w:r>
      <w:r w:rsidR="00180F37" w:rsidRPr="003C0842">
        <w:t>ki</w:t>
      </w:r>
      <w:r w:rsidRPr="003C0842">
        <w:t xml:space="preserve"> zoologii na Uniwersytecie Christiana (Norwegia) oraz Marii Skłodowskiej-Curie, która występowała jako profesor Sorbony, ale także jako profesor honorowy Uniwersytetu Warszawskiego. Rozwiązanie takie dogadzało szczególnie aktywnym w tym obszarze Francuzom. Jako projektodawcy powołania Komisji zapewnili sobie nie tylko jedno dodatkowe miejsce w jej składzie, ale zarazem funkcję przewodniczącego. </w:t>
      </w:r>
      <w:r w:rsidR="00E022FC" w:rsidRPr="003C0842">
        <w:t>Został nim Henri Berg</w:t>
      </w:r>
      <w:r w:rsidRPr="003C0842">
        <w:t xml:space="preserve">son, profesor </w:t>
      </w:r>
      <w:r w:rsidR="00E022FC" w:rsidRPr="003C0842">
        <w:t xml:space="preserve">filozofii w Collège de France. </w:t>
      </w:r>
      <w:r w:rsidR="00180F37" w:rsidRPr="003C0842">
        <w:t xml:space="preserve">Jego aktywa w oczach współziomków podnosiło to, że </w:t>
      </w:r>
      <w:r w:rsidR="00E022FC" w:rsidRPr="003C0842">
        <w:t xml:space="preserve">nie </w:t>
      </w:r>
      <w:r w:rsidR="00180F37" w:rsidRPr="003C0842">
        <w:t>widział</w:t>
      </w:r>
      <w:r w:rsidR="00E022FC" w:rsidRPr="003C0842">
        <w:t xml:space="preserve"> wówczas możliwości współpracy z Niemcami</w:t>
      </w:r>
      <w:r w:rsidR="00180F37" w:rsidRPr="003C0842">
        <w:t>, chociaż ten znaczący obszar kulturowy miał reprezentować w CICI Albert Einstein.</w:t>
      </w:r>
    </w:p>
    <w:p w:rsidR="00D66A2D" w:rsidRPr="003C0842" w:rsidRDefault="00180F37" w:rsidP="00111348">
      <w:pPr>
        <w:spacing w:line="360" w:lineRule="auto"/>
        <w:ind w:firstLine="709"/>
      </w:pPr>
      <w:r w:rsidRPr="003C0842">
        <w:t>Sprawa nabrała sporego rozgłosu przede wszystkim z powodu stanowiska samych Niemców. Kandydatura Einsteina, mimopopularności jego dokonań jako</w:t>
      </w:r>
      <w:r w:rsidR="003E38B6" w:rsidRPr="003C0842">
        <w:t xml:space="preserve"> uczonego, a przy tym orędownika współpracy międzynarodowej w duchu pacyfistycznym, </w:t>
      </w:r>
      <w:r w:rsidRPr="003C0842">
        <w:t xml:space="preserve">nie </w:t>
      </w:r>
      <w:r w:rsidR="00715EDA" w:rsidRPr="003C0842">
        <w:t xml:space="preserve">dogadzała zwłaszcza </w:t>
      </w:r>
      <w:r w:rsidR="003E38B6" w:rsidRPr="003C0842">
        <w:t>nacjonalist</w:t>
      </w:r>
      <w:r w:rsidR="00715EDA" w:rsidRPr="003C0842">
        <w:t>om. W</w:t>
      </w:r>
      <w:r w:rsidR="003E38B6" w:rsidRPr="003C0842">
        <w:t>ypomina</w:t>
      </w:r>
      <w:r w:rsidR="00715EDA" w:rsidRPr="003C0842">
        <w:t>li Einsteinowi</w:t>
      </w:r>
      <w:r w:rsidR="004322AA" w:rsidRPr="003C0842">
        <w:t xml:space="preserve">, że </w:t>
      </w:r>
      <w:r w:rsidR="003E38B6" w:rsidRPr="003C0842">
        <w:t>zrze</w:t>
      </w:r>
      <w:r w:rsidR="004322AA" w:rsidRPr="003C0842">
        <w:t xml:space="preserve">kł </w:t>
      </w:r>
      <w:r w:rsidR="003E38B6" w:rsidRPr="003C0842">
        <w:t>się w 1896 r. obywatelstwa niemieckiego i</w:t>
      </w:r>
      <w:r w:rsidR="00715EDA" w:rsidRPr="003C0842">
        <w:t xml:space="preserve">jako Żyd </w:t>
      </w:r>
      <w:r w:rsidR="003E38B6" w:rsidRPr="003C0842">
        <w:t>„uciek</w:t>
      </w:r>
      <w:r w:rsidR="004322AA" w:rsidRPr="003C0842">
        <w:t>ł</w:t>
      </w:r>
      <w:r w:rsidR="003E38B6" w:rsidRPr="003C0842">
        <w:t xml:space="preserve">” do Szwajcarii. </w:t>
      </w:r>
      <w:r w:rsidR="00715EDA" w:rsidRPr="003C0842">
        <w:t>Widocznej niechęci Niemców, w ogólności negatywnie usposobionych do wszelkich inicjatyw kojarzonych z LN, towarzyszyły wypady antyżydowskie, a nawet zbrodnie.DlaEinsteina wstrząsem było</w:t>
      </w:r>
      <w:r w:rsidR="003E38B6" w:rsidRPr="003C0842">
        <w:t xml:space="preserve"> zabójstwo bliskiego mu ministra spraw zagranicznych Walthera Rathena</w:t>
      </w:r>
      <w:r w:rsidR="004322AA" w:rsidRPr="003C0842">
        <w:t>u</w:t>
      </w:r>
      <w:r w:rsidR="003E38B6" w:rsidRPr="003C0842">
        <w:t>a</w:t>
      </w:r>
      <w:r w:rsidR="00C3342D" w:rsidRPr="003C0842">
        <w:t xml:space="preserve"> 24czerwca 1922 r</w:t>
      </w:r>
      <w:r w:rsidR="003E38B6" w:rsidRPr="003C0842">
        <w:t xml:space="preserve">. </w:t>
      </w:r>
      <w:r w:rsidR="00813F49" w:rsidRPr="003C0842">
        <w:t>Przesądziło to</w:t>
      </w:r>
      <w:r w:rsidR="00715EDA" w:rsidRPr="003C0842">
        <w:t xml:space="preserve"> o jego formaln</w:t>
      </w:r>
      <w:r w:rsidR="003E38B6" w:rsidRPr="003C0842">
        <w:t>e</w:t>
      </w:r>
      <w:r w:rsidR="00A7139F" w:rsidRPr="003C0842">
        <w:t>j</w:t>
      </w:r>
      <w:r w:rsidR="003E38B6" w:rsidRPr="003C0842">
        <w:t xml:space="preserve"> rezygnacj</w:t>
      </w:r>
      <w:r w:rsidR="00715EDA" w:rsidRPr="003C0842">
        <w:t>i</w:t>
      </w:r>
      <w:r w:rsidR="003E38B6" w:rsidRPr="003C0842">
        <w:t xml:space="preserve"> z członkostwa w </w:t>
      </w:r>
      <w:r w:rsidR="00715EDA" w:rsidRPr="003C0842">
        <w:t>CICI. Jeśli została</w:t>
      </w:r>
      <w:r w:rsidR="003E38B6" w:rsidRPr="003C0842">
        <w:t xml:space="preserve"> cofnięta</w:t>
      </w:r>
      <w:r w:rsidR="00715EDA" w:rsidRPr="003C0842">
        <w:t xml:space="preserve">, to </w:t>
      </w:r>
      <w:r w:rsidR="00A7139F" w:rsidRPr="003C0842">
        <w:t xml:space="preserve">istotną w </w:t>
      </w:r>
      <w:r w:rsidR="00715EDA" w:rsidRPr="003C0842">
        <w:t xml:space="preserve">tym </w:t>
      </w:r>
      <w:r w:rsidR="003E38B6" w:rsidRPr="003C0842">
        <w:t>zasłu</w:t>
      </w:r>
      <w:r w:rsidR="00715EDA" w:rsidRPr="003C0842">
        <w:t>g</w:t>
      </w:r>
      <w:r w:rsidR="00A7139F" w:rsidRPr="003C0842">
        <w:t>ę miałaMaria</w:t>
      </w:r>
      <w:r w:rsidR="003E38B6" w:rsidRPr="003C0842">
        <w:t xml:space="preserve"> Skłodowsk</w:t>
      </w:r>
      <w:r w:rsidR="00A7139F" w:rsidRPr="003C0842">
        <w:t>a</w:t>
      </w:r>
      <w:r w:rsidR="003E38B6" w:rsidRPr="003C0842">
        <w:t>-Curie, od 1923 r. wiceprzewodnicząc</w:t>
      </w:r>
      <w:r w:rsidR="00A7139F" w:rsidRPr="003C0842">
        <w:t>aK</w:t>
      </w:r>
      <w:r w:rsidR="003E38B6" w:rsidRPr="003C0842">
        <w:t>omisji</w:t>
      </w:r>
      <w:r w:rsidR="003E38B6" w:rsidRPr="003C0842">
        <w:rPr>
          <w:rStyle w:val="Odwoanieprzypisudolnego"/>
          <w:rFonts w:ascii="Times New Roman" w:hAnsi="Times New Roman"/>
          <w:sz w:val="24"/>
        </w:rPr>
        <w:footnoteReference w:id="152"/>
      </w:r>
      <w:r w:rsidR="003E38B6" w:rsidRPr="003C0842">
        <w:t>.</w:t>
      </w:r>
      <w:r w:rsidR="00813F49" w:rsidRPr="003C0842">
        <w:t xml:space="preserve"> Także w tej roli </w:t>
      </w:r>
      <w:r w:rsidR="000C7ACE" w:rsidRPr="003C0842">
        <w:t>wspiera</w:t>
      </w:r>
      <w:r w:rsidR="00813F49" w:rsidRPr="003C0842">
        <w:t>ła</w:t>
      </w:r>
      <w:r w:rsidR="000C7ACE" w:rsidRPr="003C0842">
        <w:t xml:space="preserve"> wysiłki </w:t>
      </w:r>
      <w:r w:rsidR="00AC1A61" w:rsidRPr="003C0842">
        <w:t>Einsteina oraz kilku innych członków K</w:t>
      </w:r>
      <w:r w:rsidR="000C7ACE" w:rsidRPr="003C0842">
        <w:t xml:space="preserve">omisji, w tym </w:t>
      </w:r>
      <w:r w:rsidR="00AC1A61" w:rsidRPr="003C0842">
        <w:t xml:space="preserve">jej </w:t>
      </w:r>
      <w:r w:rsidR="00AC1A61" w:rsidRPr="003C0842">
        <w:lastRenderedPageBreak/>
        <w:t>przewodniczącego</w:t>
      </w:r>
      <w:r w:rsidR="00C3342D" w:rsidRPr="003C0842">
        <w:t xml:space="preserve"> Gilberta Murraya, profesora</w:t>
      </w:r>
      <w:r w:rsidR="000C7ACE" w:rsidRPr="003C0842">
        <w:t>O</w:t>
      </w:r>
      <w:r w:rsidR="000163BF" w:rsidRPr="003C0842">
        <w:t>ks</w:t>
      </w:r>
      <w:r w:rsidR="000C7ACE" w:rsidRPr="003C0842">
        <w:t xml:space="preserve">fordu </w:t>
      </w:r>
      <w:r w:rsidR="00813F49" w:rsidRPr="003C0842">
        <w:t xml:space="preserve">i autorytetu w zakresie antycznej greki, </w:t>
      </w:r>
      <w:r w:rsidR="000C7ACE" w:rsidRPr="003C0842">
        <w:t>zmierzające do wprzęgnięcia intelektualistów niemieckich do europejskiej, światowej wspól</w:t>
      </w:r>
      <w:r w:rsidR="00A561E4" w:rsidRPr="003C0842">
        <w:t xml:space="preserve">noty naukowo-kulturowej. </w:t>
      </w:r>
      <w:r w:rsidR="00D65AA1" w:rsidRPr="003C0842">
        <w:t>Trwające</w:t>
      </w:r>
      <w:r w:rsidR="000C7ACE" w:rsidRPr="003C0842">
        <w:t xml:space="preserve"> przez cały ten czas </w:t>
      </w:r>
      <w:r w:rsidR="00AC1A61" w:rsidRPr="003C0842">
        <w:t>zainteresowanie</w:t>
      </w:r>
      <w:r w:rsidR="000C7ACE" w:rsidRPr="003C0842">
        <w:t xml:space="preserve"> kandydatur</w:t>
      </w:r>
      <w:r w:rsidR="00AC1A61" w:rsidRPr="003C0842">
        <w:t>ą</w:t>
      </w:r>
      <w:r w:rsidR="000C7ACE" w:rsidRPr="003C0842">
        <w:t xml:space="preserve"> Alberta Einsteina, </w:t>
      </w:r>
      <w:r w:rsidR="00A561E4" w:rsidRPr="003C0842">
        <w:t>ówczesnego profesora</w:t>
      </w:r>
      <w:r w:rsidR="000C7ACE" w:rsidRPr="003C0842">
        <w:t xml:space="preserve"> fizyki na Uniwersytecie Berlińskim</w:t>
      </w:r>
      <w:r w:rsidR="00A561E4" w:rsidRPr="003C0842">
        <w:t xml:space="preserve">,zrodziło </w:t>
      </w:r>
      <w:r w:rsidR="000C7ACE" w:rsidRPr="003C0842">
        <w:t xml:space="preserve">impas </w:t>
      </w:r>
      <w:r w:rsidR="00D66A2D" w:rsidRPr="003C0842">
        <w:t xml:space="preserve">trudny </w:t>
      </w:r>
      <w:r w:rsidR="000C7ACE" w:rsidRPr="003C0842">
        <w:t>do przezwyciężenia</w:t>
      </w:r>
      <w:r w:rsidR="00D66A2D" w:rsidRPr="003C0842">
        <w:t>. Z jednej strony</w:t>
      </w:r>
      <w:r w:rsidR="00AC1A61" w:rsidRPr="003C0842">
        <w:t xml:space="preserve">świeża </w:t>
      </w:r>
      <w:r w:rsidR="000C7ACE" w:rsidRPr="003C0842">
        <w:t>pamię</w:t>
      </w:r>
      <w:r w:rsidR="00D66A2D" w:rsidRPr="003C0842">
        <w:t xml:space="preserve">ćo </w:t>
      </w:r>
      <w:r w:rsidR="000C7ACE" w:rsidRPr="003C0842">
        <w:t>doświadczenia</w:t>
      </w:r>
      <w:r w:rsidR="00D66A2D" w:rsidRPr="003C0842">
        <w:t>ch</w:t>
      </w:r>
      <w:r w:rsidR="000C7ACE" w:rsidRPr="003C0842">
        <w:t xml:space="preserve"> wojny</w:t>
      </w:r>
      <w:r w:rsidR="00D66A2D" w:rsidRPr="003C0842">
        <w:t xml:space="preserve">, z drugiej niechęć </w:t>
      </w:r>
      <w:r w:rsidR="00AC1A61" w:rsidRPr="003C0842">
        <w:t xml:space="preserve">nacjonalistycznej </w:t>
      </w:r>
      <w:r w:rsidR="00D66A2D" w:rsidRPr="003C0842">
        <w:t xml:space="preserve">„opinii publicznej”, </w:t>
      </w:r>
      <w:r w:rsidR="00AC1A61" w:rsidRPr="003C0842">
        <w:t xml:space="preserve">w tym niemieckich </w:t>
      </w:r>
      <w:r w:rsidR="00D66A2D" w:rsidRPr="003C0842">
        <w:t>intelektualistów.</w:t>
      </w:r>
      <w:r w:rsidR="006B1C5A" w:rsidRPr="003C0842">
        <w:t>Einstein pojawił się dopiero n</w:t>
      </w:r>
      <w:r w:rsidR="00D66A2D" w:rsidRPr="003C0842">
        <w:t>a trzeciej plenarnej sesji CICI, tj. w końcu</w:t>
      </w:r>
      <w:r w:rsidR="006B1C5A" w:rsidRPr="003C0842">
        <w:t xml:space="preserve"> lipca 1924 r.</w:t>
      </w:r>
    </w:p>
    <w:p w:rsidR="00AD74C5" w:rsidRPr="003C0842" w:rsidRDefault="00AC1A61" w:rsidP="00111348">
      <w:pPr>
        <w:spacing w:line="360" w:lineRule="auto"/>
        <w:ind w:firstLine="709"/>
      </w:pPr>
      <w:r w:rsidRPr="003C0842">
        <w:t>Niechęć</w:t>
      </w:r>
      <w:r w:rsidR="00D66A2D" w:rsidRPr="003C0842">
        <w:t xml:space="preserve"> wobec Komisji w Niemczech</w:t>
      </w:r>
      <w:r w:rsidRPr="003C0842">
        <w:t xml:space="preserve"> była stanem trwałym. N</w:t>
      </w:r>
      <w:r w:rsidR="006B1C5A" w:rsidRPr="003C0842">
        <w:t>ie powstała</w:t>
      </w:r>
      <w:r w:rsidRPr="003C0842">
        <w:t xml:space="preserve"> tam też</w:t>
      </w:r>
      <w:r w:rsidR="006B1C5A" w:rsidRPr="003C0842">
        <w:t xml:space="preserve"> narodowa </w:t>
      </w:r>
      <w:r w:rsidR="00D66A2D" w:rsidRPr="003C0842">
        <w:t>sekcja</w:t>
      </w:r>
      <w:r w:rsidR="006B1C5A" w:rsidRPr="003C0842">
        <w:t xml:space="preserve"> współpracy intelektualnej</w:t>
      </w:r>
      <w:r w:rsidR="000163BF" w:rsidRPr="003C0842">
        <w:t>,</w:t>
      </w:r>
      <w:r w:rsidR="006B1C5A" w:rsidRPr="003C0842">
        <w:t xml:space="preserve"> jak to miało miejsce w wielu krajach</w:t>
      </w:r>
      <w:r w:rsidR="006B1C5A" w:rsidRPr="003C0842">
        <w:rPr>
          <w:rStyle w:val="Odwoanieprzypisudolnego"/>
          <w:rFonts w:ascii="Times New Roman" w:hAnsi="Times New Roman"/>
          <w:sz w:val="24"/>
        </w:rPr>
        <w:footnoteReference w:id="153"/>
      </w:r>
      <w:r w:rsidR="006B1C5A" w:rsidRPr="003C0842">
        <w:t>. Wszystkie one miały być niezależne od polityki i religii, co jednak w praktyce było trudne do wykonania. Doświadczyła tego m.in. Maria Curie</w:t>
      </w:r>
      <w:r w:rsidRPr="003C0842">
        <w:t>, tłumacząca politykom w Polsce apolityczny charakter prowadzonej działalności Komisji przekształconej w Instytut. Komplikacja polegała m.in. na tym, że</w:t>
      </w:r>
      <w:r w:rsidR="006B1C5A" w:rsidRPr="003C0842">
        <w:t xml:space="preserve"> rolę polskiej komisji współpracy intelektualnej pełniła </w:t>
      </w:r>
      <w:r w:rsidR="00813F49" w:rsidRPr="003C0842">
        <w:t>Kasa I</w:t>
      </w:r>
      <w:r w:rsidR="006B1C5A" w:rsidRPr="003C0842">
        <w:t xml:space="preserve">mienia Mianowskiego, której rada naukowa była </w:t>
      </w:r>
      <w:r w:rsidR="0030146F" w:rsidRPr="003C0842">
        <w:t>reprezentatywna pod względem naukowym, ale też polityczn</w:t>
      </w:r>
      <w:r w:rsidR="00D66A2D" w:rsidRPr="003C0842">
        <w:t>ym (</w:t>
      </w:r>
      <w:r w:rsidR="0030146F" w:rsidRPr="003C0842">
        <w:t>rządowym</w:t>
      </w:r>
      <w:r w:rsidR="00D66A2D" w:rsidRPr="003C0842">
        <w:t>)</w:t>
      </w:r>
      <w:r w:rsidR="0030146F" w:rsidRPr="003C0842">
        <w:t xml:space="preserve">. Ponadto w zarządzeniu ministra Aleksandra Skrzyńskiego z 4 kwietnia 1925 r. mówiło się o uzgadnianiu działalności naukowej i naukowo-propagandowej z polską polityką zagraniczną. </w:t>
      </w:r>
      <w:r w:rsidR="000F7405" w:rsidRPr="003C0842">
        <w:t>Wiedziano, że była to</w:t>
      </w:r>
      <w:r w:rsidR="0030146F" w:rsidRPr="003C0842">
        <w:t xml:space="preserve"> powszechna praktyka</w:t>
      </w:r>
      <w:r w:rsidR="000F7405" w:rsidRPr="003C0842">
        <w:t>, zważywszy na</w:t>
      </w:r>
      <w:r w:rsidR="0030146F" w:rsidRPr="003C0842">
        <w:t xml:space="preserve"> finansowanie krajowych komisji z budżetu</w:t>
      </w:r>
      <w:r w:rsidR="000F7405" w:rsidRPr="003C0842">
        <w:t>, najczęściej</w:t>
      </w:r>
      <w:r w:rsidR="0030146F" w:rsidRPr="003C0842">
        <w:t xml:space="preserve"> różnych resortów. Maria Skłodowska</w:t>
      </w:r>
      <w:r w:rsidR="00D66A2D" w:rsidRPr="003C0842">
        <w:t>-Curie</w:t>
      </w:r>
      <w:r w:rsidR="0030146F" w:rsidRPr="003C0842">
        <w:t xml:space="preserve"> krytykowała taką praktykę</w:t>
      </w:r>
      <w:r w:rsidR="000163BF" w:rsidRPr="003C0842">
        <w:t>,</w:t>
      </w:r>
      <w:r w:rsidR="0030146F" w:rsidRPr="003C0842">
        <w:t xml:space="preserve"> uzn</w:t>
      </w:r>
      <w:r w:rsidR="009113C5" w:rsidRPr="003C0842">
        <w:t>ając ją za błędną, a nawet szko</w:t>
      </w:r>
      <w:r w:rsidR="0030146F" w:rsidRPr="003C0842">
        <w:t xml:space="preserve">dliwą dla </w:t>
      </w:r>
      <w:r w:rsidR="000F7405" w:rsidRPr="003C0842">
        <w:t xml:space="preserve">polskich </w:t>
      </w:r>
      <w:r w:rsidR="0030146F" w:rsidRPr="003C0842">
        <w:t xml:space="preserve">interesów. </w:t>
      </w:r>
      <w:r w:rsidR="000F7405" w:rsidRPr="003C0842">
        <w:t>Akcentowała zwłaszcza</w:t>
      </w:r>
      <w:r w:rsidR="000163BF" w:rsidRPr="003C0842">
        <w:t>,</w:t>
      </w:r>
      <w:r w:rsidR="0030146F" w:rsidRPr="003C0842">
        <w:t xml:space="preserve"> aby nie robić </w:t>
      </w:r>
      <w:r w:rsidR="009113C5" w:rsidRPr="003C0842">
        <w:t xml:space="preserve">jakiegokolwiek </w:t>
      </w:r>
      <w:r w:rsidR="00A630C1" w:rsidRPr="003C0842">
        <w:t xml:space="preserve">iunctim </w:t>
      </w:r>
      <w:r w:rsidR="009113C5" w:rsidRPr="003C0842">
        <w:t>pomiędzy kandydaturą polską do Instytutu, a subwencją udzielaną przez rząd polski</w:t>
      </w:r>
      <w:r w:rsidR="009113C5" w:rsidRPr="003C0842">
        <w:rPr>
          <w:rStyle w:val="Odwoanieprzypisudolnego"/>
          <w:rFonts w:ascii="Times New Roman" w:hAnsi="Times New Roman"/>
          <w:sz w:val="24"/>
        </w:rPr>
        <w:footnoteReference w:id="154"/>
      </w:r>
      <w:r w:rsidR="009113C5" w:rsidRPr="003C0842">
        <w:t>.</w:t>
      </w:r>
    </w:p>
    <w:p w:rsidR="009113C5" w:rsidRPr="003C0842" w:rsidRDefault="009113C5" w:rsidP="00111348">
      <w:pPr>
        <w:spacing w:line="360" w:lineRule="auto"/>
        <w:ind w:firstLine="709"/>
      </w:pPr>
    </w:p>
    <w:p w:rsidR="009113C5" w:rsidRPr="003C0842" w:rsidRDefault="000163BF" w:rsidP="00111348">
      <w:pPr>
        <w:spacing w:line="360" w:lineRule="auto"/>
        <w:ind w:firstLine="709"/>
        <w:outlineLvl w:val="0"/>
      </w:pPr>
      <w:r w:rsidRPr="003C0842">
        <w:t>f</w:t>
      </w:r>
      <w:r w:rsidR="0080192E">
        <w:t>.</w:t>
      </w:r>
      <w:r w:rsidR="009113C5" w:rsidRPr="003C0842">
        <w:t xml:space="preserve"> Spory reparacyjne</w:t>
      </w:r>
    </w:p>
    <w:p w:rsidR="009113C5" w:rsidRPr="003C0842" w:rsidRDefault="009113C5" w:rsidP="00111348">
      <w:pPr>
        <w:spacing w:line="360" w:lineRule="auto"/>
        <w:ind w:firstLine="709"/>
      </w:pPr>
    </w:p>
    <w:p w:rsidR="009113C5" w:rsidRPr="003C0842" w:rsidRDefault="009113C5" w:rsidP="00111348">
      <w:pPr>
        <w:spacing w:line="360" w:lineRule="auto"/>
        <w:ind w:firstLine="709"/>
      </w:pPr>
      <w:r w:rsidRPr="003C0842">
        <w:t xml:space="preserve">Powszechne i ponadczasowe dążenie do wykorzystywania swoich obywateli będących „na służbie” międzynarodowej dla partykularnych interesów dobrze widać w sferze gospodarczej. Powojenne trudności związane z przestawieniem produkcji wojennej na pokojową wymuszały inicjatywy mające w szerszym planie przywrócenie „normalności”. </w:t>
      </w:r>
      <w:r w:rsidR="00DE4BA7" w:rsidRPr="003C0842">
        <w:t xml:space="preserve">Pojmowana w każdym z państw w sposób indywidualny zbiegała się w sporach dotyczących reparacji (odszkodowań). Polityczne zabarwienie tych dyskusji, silnie angażujących </w:t>
      </w:r>
      <w:r w:rsidR="00DE4BA7" w:rsidRPr="003C0842">
        <w:lastRenderedPageBreak/>
        <w:t>społeczeństwa zarówno z państw pokonanych</w:t>
      </w:r>
      <w:r w:rsidR="000163BF" w:rsidRPr="003C0842">
        <w:t>,</w:t>
      </w:r>
      <w:r w:rsidR="00DE4BA7" w:rsidRPr="003C0842">
        <w:t xml:space="preserve"> jak i zwycięskich, zwiększały trudności w znalezieniu</w:t>
      </w:r>
      <w:r w:rsidR="00FB13F6" w:rsidRPr="003C0842">
        <w:t xml:space="preserve"> pozytywnego</w:t>
      </w:r>
      <w:r w:rsidR="00DE4BA7" w:rsidRPr="003C0842">
        <w:t xml:space="preserve"> rozwiązania. Podjęte już w lutym 1920 r. </w:t>
      </w:r>
      <w:r w:rsidR="00DA4B03" w:rsidRPr="003C0842">
        <w:t>przygotowania do konferencji ekonomicznej zaplanowanej do Brukseli mogły zostać doprowadzone do szczęśliwego końca, kiedy Rada LN 5 sierpnia 1920 r. zadecydowała wyłączenie z programu obrad spraw</w:t>
      </w:r>
      <w:r w:rsidR="00FB13F6" w:rsidRPr="003C0842">
        <w:t>y</w:t>
      </w:r>
      <w:r w:rsidR="00DA4B03" w:rsidRPr="003C0842">
        <w:t xml:space="preserve"> aktualnie negocjowan</w:t>
      </w:r>
      <w:r w:rsidR="00FB13F6" w:rsidRPr="003C0842">
        <w:t>e</w:t>
      </w:r>
      <w:r w:rsidR="00DA4B03" w:rsidRPr="003C0842">
        <w:t xml:space="preserve"> między aliantami a </w:t>
      </w:r>
      <w:r w:rsidR="00A630C1" w:rsidRPr="003C0842">
        <w:t>Niemcami</w:t>
      </w:r>
      <w:r w:rsidR="00DA4B03" w:rsidRPr="003C0842">
        <w:rPr>
          <w:rStyle w:val="Odwoanieprzypisudolnego"/>
          <w:rFonts w:ascii="Times New Roman" w:hAnsi="Times New Roman"/>
          <w:sz w:val="24"/>
        </w:rPr>
        <w:footnoteReference w:id="155"/>
      </w:r>
      <w:r w:rsidR="00DA4B03" w:rsidRPr="003C0842">
        <w:t>.</w:t>
      </w:r>
    </w:p>
    <w:p w:rsidR="00FB13F6" w:rsidRPr="003C0842" w:rsidRDefault="00FB13F6" w:rsidP="00111348">
      <w:pPr>
        <w:spacing w:line="360" w:lineRule="auto"/>
        <w:ind w:firstLine="709"/>
      </w:pPr>
      <w:r w:rsidRPr="003C0842">
        <w:t>S</w:t>
      </w:r>
      <w:r w:rsidR="00DA4B03" w:rsidRPr="003C0842">
        <w:t>pory reparacyjnenajgoręcej komentowan</w:t>
      </w:r>
      <w:r w:rsidR="00C32141" w:rsidRPr="003C0842">
        <w:t>o</w:t>
      </w:r>
      <w:r w:rsidR="00DA4B03" w:rsidRPr="003C0842">
        <w:t xml:space="preserve"> w państwach </w:t>
      </w:r>
      <w:r w:rsidR="00062508" w:rsidRPr="003C0842">
        <w:t>rozdzielonych Renem. Satysfakcji</w:t>
      </w:r>
      <w:r w:rsidR="00DA4B03" w:rsidRPr="003C0842">
        <w:t xml:space="preserve"> Francuzów, że jednak </w:t>
      </w:r>
      <w:r w:rsidR="00212E8E" w:rsidRPr="003C0842">
        <w:rPr>
          <w:i/>
        </w:rPr>
        <w:t xml:space="preserve">Le </w:t>
      </w:r>
      <w:r w:rsidR="00DA4B03" w:rsidRPr="003C0842">
        <w:rPr>
          <w:i/>
        </w:rPr>
        <w:t>Boche p</w:t>
      </w:r>
      <w:r w:rsidR="00212E8E" w:rsidRPr="003C0842">
        <w:rPr>
          <w:i/>
        </w:rPr>
        <w:t>a</w:t>
      </w:r>
      <w:r w:rsidR="006229A1" w:rsidRPr="003C0842">
        <w:rPr>
          <w:i/>
        </w:rPr>
        <w:t>ierà</w:t>
      </w:r>
      <w:r w:rsidR="00A8551A" w:rsidRPr="003C0842">
        <w:rPr>
          <w:i/>
        </w:rPr>
        <w:t xml:space="preserve"> tout</w:t>
      </w:r>
      <w:r w:rsidR="00A8551A" w:rsidRPr="003C0842">
        <w:t xml:space="preserve"> (</w:t>
      </w:r>
      <w:r w:rsidR="00B91E1F" w:rsidRPr="003C0842">
        <w:t>„</w:t>
      </w:r>
      <w:r w:rsidR="00C32141" w:rsidRPr="003C0842">
        <w:t xml:space="preserve">Szwab zapłaci </w:t>
      </w:r>
      <w:r w:rsidR="00A8551A" w:rsidRPr="003C0842">
        <w:t>wszystko</w:t>
      </w:r>
      <w:r w:rsidR="00B91E1F" w:rsidRPr="003C0842">
        <w:t>”</w:t>
      </w:r>
      <w:r w:rsidR="00A8551A" w:rsidRPr="003C0842">
        <w:t xml:space="preserve">), </w:t>
      </w:r>
      <w:r w:rsidR="00DA4B03" w:rsidRPr="003C0842">
        <w:t>towarzyszyło ociąganie się płatnika</w:t>
      </w:r>
      <w:r w:rsidRPr="003C0842">
        <w:t>,</w:t>
      </w:r>
      <w:r w:rsidR="00DA4B03" w:rsidRPr="003C0842">
        <w:t xml:space="preserve"> skutecznie dążącego do zredukowania gigantycznych należności. </w:t>
      </w:r>
      <w:r w:rsidR="00AC41D8" w:rsidRPr="003C0842">
        <w:t>Niekończącym się sporom</w:t>
      </w:r>
      <w:r w:rsidR="00DA4B03" w:rsidRPr="003C0842">
        <w:t xml:space="preserve"> towarzyszyły </w:t>
      </w:r>
      <w:r w:rsidR="00AC41D8" w:rsidRPr="003C0842">
        <w:t xml:space="preserve">różne </w:t>
      </w:r>
      <w:r w:rsidR="00DA4B03" w:rsidRPr="003C0842">
        <w:t xml:space="preserve">akcje represyjne, </w:t>
      </w:r>
      <w:r w:rsidR="00AC41D8" w:rsidRPr="003C0842">
        <w:t>których apogeum była</w:t>
      </w:r>
      <w:r w:rsidR="00DA4B03" w:rsidRPr="003C0842">
        <w:t xml:space="preserve"> francusko-belgijska okupacja Zagłębia Ruhry rozpoczęta w styczniu 1923 r. Splot czynników o wymiarze światowym (problem żywo interesował Stany Zjednoczone będące wierzycielem państw oczekujących</w:t>
      </w:r>
      <w:r w:rsidR="00A630C1" w:rsidRPr="003C0842">
        <w:t xml:space="preserve"> z kolei</w:t>
      </w:r>
      <w:r w:rsidR="00DA4B03" w:rsidRPr="003C0842">
        <w:t xml:space="preserve"> na </w:t>
      </w:r>
      <w:r w:rsidR="000E4964" w:rsidRPr="003C0842">
        <w:t xml:space="preserve">annuitety reparacyjne pokonanych) powodował, że włączenie Niemiec w powszechny krwioobieg gospodarczy </w:t>
      </w:r>
      <w:r w:rsidR="00A8551A" w:rsidRPr="003C0842">
        <w:t>na</w:t>
      </w:r>
      <w:r w:rsidR="000E4964" w:rsidRPr="003C0842">
        <w:t>stępował</w:t>
      </w:r>
      <w:r w:rsidR="00A8551A" w:rsidRPr="003C0842">
        <w:t>o</w:t>
      </w:r>
      <w:r w:rsidR="000E4964" w:rsidRPr="003C0842">
        <w:t xml:space="preserve"> z dużymi oporami. Dotyczyło to także takich agent LN jak Organizacji Komunikacji i Tranzytu, która w świetle art. 24 Paktu oraz art. 342, 367 i 378 traktatu wersalskiego miała uwzględniać</w:t>
      </w:r>
      <w:r w:rsidR="000517DA" w:rsidRPr="003C0842">
        <w:t xml:space="preserve"> – </w:t>
      </w:r>
      <w:r w:rsidR="000E4964" w:rsidRPr="003C0842">
        <w:t>o ile to będzie możliwe</w:t>
      </w:r>
      <w:r w:rsidR="000517DA" w:rsidRPr="003C0842">
        <w:t xml:space="preserve"> – </w:t>
      </w:r>
      <w:r w:rsidR="000E4964" w:rsidRPr="003C0842">
        <w:t xml:space="preserve">interesy techniczne i położenie geograficzne ogółu państw. </w:t>
      </w:r>
    </w:p>
    <w:p w:rsidR="005B2A58" w:rsidRPr="003C0842" w:rsidRDefault="000E4964" w:rsidP="00111348">
      <w:pPr>
        <w:spacing w:line="360" w:lineRule="auto"/>
        <w:ind w:firstLine="709"/>
      </w:pPr>
      <w:r w:rsidRPr="003C0842">
        <w:t xml:space="preserve">Chociaż trudno sobie wyobrazić postęp w dziedzinie komunikacji i tranzytu europejskiego bez Niemiec, to jednak </w:t>
      </w:r>
      <w:r w:rsidR="009C1932" w:rsidRPr="003C0842">
        <w:t>problem udziału Niemiec w specjalnej k</w:t>
      </w:r>
      <w:r w:rsidR="005B2A58" w:rsidRPr="003C0842">
        <w:t>onferencji</w:t>
      </w:r>
      <w:r w:rsidRPr="003C0842">
        <w:t xml:space="preserve">, która odbyła się w </w:t>
      </w:r>
      <w:r w:rsidR="00C46C64" w:rsidRPr="003C0842">
        <w:t>Barcel</w:t>
      </w:r>
      <w:r w:rsidRPr="003C0842">
        <w:t xml:space="preserve">onie od 10 marca do 21 kwietnia 1921 r. </w:t>
      </w:r>
      <w:r w:rsidR="00C46C64" w:rsidRPr="003C0842">
        <w:t>wywołał spory. Świadczyły one</w:t>
      </w:r>
      <w:r w:rsidR="009C1932" w:rsidRPr="003C0842">
        <w:t>, jak słusznie zauważaJoachim Wintzer</w:t>
      </w:r>
      <w:r w:rsidR="00C46C64" w:rsidRPr="003C0842">
        <w:t>, że doszło d</w:t>
      </w:r>
      <w:r w:rsidR="009C1932" w:rsidRPr="003C0842">
        <w:t>o „upolitycznieni</w:t>
      </w:r>
      <w:r w:rsidR="00C46C64" w:rsidRPr="003C0842">
        <w:t>a</w:t>
      </w:r>
      <w:r w:rsidR="009C1932" w:rsidRPr="003C0842">
        <w:t xml:space="preserve"> technicznej aktywności Ligi”</w:t>
      </w:r>
      <w:r w:rsidR="009C1932" w:rsidRPr="003C0842">
        <w:rPr>
          <w:rStyle w:val="Odwoanieprzypisudolnego"/>
          <w:rFonts w:ascii="Times New Roman" w:hAnsi="Times New Roman"/>
          <w:sz w:val="24"/>
        </w:rPr>
        <w:footnoteReference w:id="156"/>
      </w:r>
      <w:r w:rsidR="009C1932" w:rsidRPr="003C0842">
        <w:t xml:space="preserve">. Nie </w:t>
      </w:r>
      <w:r w:rsidR="00565036" w:rsidRPr="003C0842">
        <w:t>było</w:t>
      </w:r>
      <w:r w:rsidR="00A337C9" w:rsidRPr="003C0842">
        <w:t>bowiem</w:t>
      </w:r>
      <w:r w:rsidR="009C1932" w:rsidRPr="003C0842">
        <w:t xml:space="preserve"> wątpliwości</w:t>
      </w:r>
      <w:r w:rsidR="00565036" w:rsidRPr="003C0842">
        <w:t>,</w:t>
      </w:r>
      <w:r w:rsidR="009C1932" w:rsidRPr="003C0842">
        <w:t xml:space="preserve"> aby </w:t>
      </w:r>
      <w:r w:rsidRPr="003C0842">
        <w:t xml:space="preserve">wśród 43 państw </w:t>
      </w:r>
      <w:r w:rsidR="009C1932" w:rsidRPr="003C0842">
        <w:t xml:space="preserve">zgłoszonych do udziału w konferencji </w:t>
      </w:r>
      <w:r w:rsidR="00A337C9" w:rsidRPr="003C0842">
        <w:t>znalazły się</w:t>
      </w:r>
      <w:r w:rsidR="009C1932" w:rsidRPr="003C0842">
        <w:t xml:space="preserve"> Austria</w:t>
      </w:r>
      <w:r w:rsidRPr="003C0842">
        <w:t xml:space="preserve"> i </w:t>
      </w:r>
      <w:r w:rsidR="00B15183" w:rsidRPr="003C0842">
        <w:t>Bułgaria</w:t>
      </w:r>
      <w:r w:rsidR="009C1932" w:rsidRPr="003C0842">
        <w:t>.</w:t>
      </w:r>
      <w:r w:rsidR="00C46C64" w:rsidRPr="003C0842">
        <w:t>Podkreślano, że r</w:t>
      </w:r>
      <w:r w:rsidR="005B2A58" w:rsidRPr="003C0842">
        <w:t xml:space="preserve">acje polityczne </w:t>
      </w:r>
      <w:r w:rsidR="00C46C64" w:rsidRPr="003C0842">
        <w:t>powinny</w:t>
      </w:r>
      <w:r w:rsidR="005B2A58" w:rsidRPr="003C0842">
        <w:t>ustąpić pola racjonalizmowi, jeśli inicjatywy LN w takich obszarach</w:t>
      </w:r>
      <w:r w:rsidR="00565036" w:rsidRPr="003C0842">
        <w:t>,</w:t>
      </w:r>
      <w:r w:rsidR="005B2A58" w:rsidRPr="003C0842">
        <w:t xml:space="preserve"> jak np. ustrój dróg wodnych, portów morskich czy tranzytu energii elektrycznej, miały dać jakikolwiek owoc. </w:t>
      </w:r>
      <w:r w:rsidR="00C46C64" w:rsidRPr="003C0842">
        <w:t>Jednak dla grupy państw, podzielających francuski punk</w:t>
      </w:r>
      <w:r w:rsidR="00565036" w:rsidRPr="003C0842">
        <w:t>t</w:t>
      </w:r>
      <w:r w:rsidR="00C46C64" w:rsidRPr="003C0842">
        <w:t xml:space="preserve"> widzenia, udział przedstawicieli Niemiec</w:t>
      </w:r>
      <w:r w:rsidR="00B15183" w:rsidRPr="003C0842">
        <w:t xml:space="preserve"> oraz Węgier</w:t>
      </w:r>
      <w:r w:rsidR="00C46C64" w:rsidRPr="003C0842">
        <w:t xml:space="preserve"> na równościowej stopie, w ówczesnych warunkach był trudny do zaakceptowania. </w:t>
      </w:r>
      <w:r w:rsidR="00896EDD" w:rsidRPr="003C0842">
        <w:t xml:space="preserve">Tak więc </w:t>
      </w:r>
      <w:r w:rsidR="00B15183" w:rsidRPr="003C0842">
        <w:t xml:space="preserve">oba te państwa </w:t>
      </w:r>
      <w:r w:rsidR="00896EDD" w:rsidRPr="003C0842">
        <w:t xml:space="preserve">nie </w:t>
      </w:r>
      <w:r w:rsidR="00B15183" w:rsidRPr="003C0842">
        <w:t xml:space="preserve">były obecnewśród pierwotnych sygnatariuszy takich </w:t>
      </w:r>
      <w:r w:rsidR="00896EDD" w:rsidRPr="003C0842">
        <w:t>dokument</w:t>
      </w:r>
      <w:r w:rsidR="00B15183" w:rsidRPr="003C0842">
        <w:t>ówprzyjętych 20 kwietnia</w:t>
      </w:r>
      <w:r w:rsidR="00565036" w:rsidRPr="003C0842">
        <w:t>,</w:t>
      </w:r>
      <w:r w:rsidR="00896EDD" w:rsidRPr="003C0842">
        <w:t>jak konwencja i statut o wolności tranzytu czy deklarac</w:t>
      </w:r>
      <w:r w:rsidR="00B15183" w:rsidRPr="003C0842">
        <w:t>ja</w:t>
      </w:r>
      <w:r w:rsidR="00896EDD" w:rsidRPr="003C0842">
        <w:t xml:space="preserve"> w sprawie uznania prawa do bandery </w:t>
      </w:r>
      <w:r w:rsidR="00B15183" w:rsidRPr="003C0842">
        <w:t>państw</w:t>
      </w:r>
      <w:r w:rsidR="00896EDD" w:rsidRPr="003C0842">
        <w:t xml:space="preserve"> pozbawionych wybrzeża </w:t>
      </w:r>
      <w:r w:rsidR="00896EDD" w:rsidRPr="003C0842">
        <w:lastRenderedPageBreak/>
        <w:t>morskiego</w:t>
      </w:r>
      <w:r w:rsidR="00B15183" w:rsidRPr="003C0842">
        <w:rPr>
          <w:rStyle w:val="Odwoanieprzypisudolnego"/>
          <w:rFonts w:ascii="Times New Roman" w:hAnsi="Times New Roman"/>
          <w:sz w:val="24"/>
        </w:rPr>
        <w:footnoteReference w:id="157"/>
      </w:r>
      <w:r w:rsidR="00896EDD" w:rsidRPr="003C0842">
        <w:t xml:space="preserve">. </w:t>
      </w:r>
      <w:r w:rsidR="00B15183" w:rsidRPr="003C0842">
        <w:t xml:space="preserve">Sytuacja ta ulegała jednak stosunkowo szybkiej zmianie. </w:t>
      </w:r>
      <w:r w:rsidR="00C46C64" w:rsidRPr="003C0842">
        <w:t>W</w:t>
      </w:r>
      <w:r w:rsidR="005B2A58" w:rsidRPr="003C0842">
        <w:t xml:space="preserve"> związku z przygotowaniami do </w:t>
      </w:r>
      <w:r w:rsidR="009C1932" w:rsidRPr="003C0842">
        <w:t>kolejnej k</w:t>
      </w:r>
      <w:r w:rsidR="005B2A58" w:rsidRPr="003C0842">
        <w:t xml:space="preserve">onferencji </w:t>
      </w:r>
      <w:r w:rsidR="009C1932" w:rsidRPr="003C0842">
        <w:t xml:space="preserve">organizowanej przez </w:t>
      </w:r>
      <w:r w:rsidR="005B2A58" w:rsidRPr="003C0842">
        <w:t>Komisj</w:t>
      </w:r>
      <w:r w:rsidR="009C1932" w:rsidRPr="003C0842">
        <w:t xml:space="preserve">ę </w:t>
      </w:r>
      <w:r w:rsidR="005B2A58" w:rsidRPr="003C0842">
        <w:t>Komunikacji i Tranzytu, która obradowała w Genewie od 5</w:t>
      </w:r>
      <w:r w:rsidR="00C46C64" w:rsidRPr="003C0842">
        <w:t xml:space="preserve"> listopada do 8 grudnia 1923 r., strona niemiecka była konsultowana. </w:t>
      </w:r>
      <w:r w:rsidR="009C1932" w:rsidRPr="003C0842">
        <w:t>Wśród 42 państw uczestniczących Niemcy reprezentował</w:t>
      </w:r>
      <w:r w:rsidR="005B2A58" w:rsidRPr="003C0842">
        <w:t xml:space="preserve"> dr</w:t>
      </w:r>
      <w:r w:rsidR="00813F49" w:rsidRPr="003C0842">
        <w:t>A</w:t>
      </w:r>
      <w:r w:rsidR="00A337C9" w:rsidRPr="003C0842">
        <w:t>rthur</w:t>
      </w:r>
      <w:r w:rsidR="005B2A58" w:rsidRPr="003C0842">
        <w:t>Seeligerw randze ministra pełnomocnego.</w:t>
      </w:r>
    </w:p>
    <w:p w:rsidR="005B2A58" w:rsidRPr="003C0842" w:rsidRDefault="005B2A58" w:rsidP="00111348">
      <w:pPr>
        <w:spacing w:line="360" w:lineRule="auto"/>
        <w:ind w:firstLine="709"/>
      </w:pPr>
      <w:r w:rsidRPr="003C0842">
        <w:t>Otw</w:t>
      </w:r>
      <w:r w:rsidR="00C46C64" w:rsidRPr="003C0842">
        <w:t xml:space="preserve">ieranie </w:t>
      </w:r>
      <w:r w:rsidR="00D91CB5" w:rsidRPr="003C0842">
        <w:t xml:space="preserve">się </w:t>
      </w:r>
      <w:r w:rsidRPr="003C0842">
        <w:t>Ligi na państwa nie będące jej członkami wymuszała także próba uporządkowania formalności celnych. Na konferencji</w:t>
      </w:r>
      <w:r w:rsidR="00B2331E" w:rsidRPr="003C0842">
        <w:t xml:space="preserve"> poświęconej</w:t>
      </w:r>
      <w:r w:rsidR="00813F49" w:rsidRPr="003C0842">
        <w:t xml:space="preserve"> tej sprawie</w:t>
      </w:r>
      <w:r w:rsidR="00B2331E" w:rsidRPr="003C0842">
        <w:t xml:space="preserve"> (15 października</w:t>
      </w:r>
      <w:r w:rsidR="000517DA" w:rsidRPr="003C0842">
        <w:t xml:space="preserve"> – </w:t>
      </w:r>
      <w:r w:rsidR="00B2331E" w:rsidRPr="003C0842">
        <w:t>3 listopada 1923 r.) przedstawiciel</w:t>
      </w:r>
      <w:r w:rsidR="00A630C1" w:rsidRPr="003C0842">
        <w:t>e</w:t>
      </w:r>
      <w:r w:rsidR="00B2331E" w:rsidRPr="003C0842">
        <w:t xml:space="preserve"> Niemiec należeli do bardzo aktywnych. Protekcjonizm celny</w:t>
      </w:r>
      <w:r w:rsidR="00D91CB5" w:rsidRPr="003C0842">
        <w:t xml:space="preserve">, </w:t>
      </w:r>
      <w:r w:rsidR="00862163" w:rsidRPr="003C0842">
        <w:t>raczejpowszechnie stosowany i często zaporowy, szczególnie</w:t>
      </w:r>
      <w:r w:rsidR="00B2331E" w:rsidRPr="003C0842">
        <w:t xml:space="preserve"> w przypadku państw chroniących powstające dopiero lub generalnie słabe gospodarki </w:t>
      </w:r>
      <w:r w:rsidR="00862163" w:rsidRPr="003C0842">
        <w:t xml:space="preserve">Europy </w:t>
      </w:r>
      <w:r w:rsidR="00565036" w:rsidRPr="003C0842">
        <w:t>Ś</w:t>
      </w:r>
      <w:r w:rsidR="00CE5D8C">
        <w:t>rodkowo-W</w:t>
      </w:r>
      <w:r w:rsidR="00B2331E" w:rsidRPr="003C0842">
        <w:t>schodni</w:t>
      </w:r>
      <w:r w:rsidR="00862163" w:rsidRPr="003C0842">
        <w:t>ej</w:t>
      </w:r>
      <w:r w:rsidR="00813F49" w:rsidRPr="003C0842">
        <w:t>,</w:t>
      </w:r>
      <w:r w:rsidR="00B2331E" w:rsidRPr="003C0842">
        <w:t xml:space="preserve"> był istotną przeszkodą w rekonstrukcji gospodarki niemieckiej</w:t>
      </w:r>
      <w:r w:rsidR="005E58E5" w:rsidRPr="003C0842">
        <w:t>, nadal dominującej w regionie</w:t>
      </w:r>
      <w:r w:rsidR="00B2331E" w:rsidRPr="003C0842">
        <w:rPr>
          <w:rStyle w:val="Odwoanieprzypisudolnego"/>
          <w:rFonts w:ascii="Times New Roman" w:hAnsi="Times New Roman"/>
          <w:sz w:val="24"/>
        </w:rPr>
        <w:footnoteReference w:id="158"/>
      </w:r>
      <w:r w:rsidR="00B2331E" w:rsidRPr="003C0842">
        <w:t>. Bierny opór podjęty w styczniu 1923 r. w następstwie okupacji Zagłębia Ruhry wstrząsnął gospodarką niemiecką</w:t>
      </w:r>
      <w:r w:rsidR="005E58E5" w:rsidRPr="003C0842">
        <w:t>,</w:t>
      </w:r>
      <w:r w:rsidR="00B2331E" w:rsidRPr="003C0842">
        <w:t xml:space="preserve"> ujawniając swą destrukcyjną siłę m.in. przez hiperinflację</w:t>
      </w:r>
      <w:r w:rsidR="00427C17" w:rsidRPr="003C0842">
        <w:t>, któr</w:t>
      </w:r>
      <w:r w:rsidR="00813F49" w:rsidRPr="003C0842">
        <w:t xml:space="preserve">ej skutki wykraczały poza granice i </w:t>
      </w:r>
      <w:r w:rsidR="00427C17" w:rsidRPr="003C0842">
        <w:t>dotykał</w:t>
      </w:r>
      <w:r w:rsidR="00813F49" w:rsidRPr="003C0842">
        <w:t>y</w:t>
      </w:r>
      <w:r w:rsidR="00427C17" w:rsidRPr="003C0842">
        <w:t xml:space="preserve"> niemal wszystkich.</w:t>
      </w:r>
    </w:p>
    <w:p w:rsidR="00C41C5A" w:rsidRPr="003C0842" w:rsidRDefault="00427C17" w:rsidP="00111348">
      <w:pPr>
        <w:spacing w:line="360" w:lineRule="auto"/>
        <w:ind w:firstLine="709"/>
      </w:pPr>
      <w:r w:rsidRPr="003C0842">
        <w:t xml:space="preserve">Pogarszająca się pozycja dewaluowanej marki utrudniała wymianę handlową w Europie oraz negatywnie oddziaływała na przepływy finansowe w ramach reparacji i długów. Do głosu doszły też racje polityczne wyzierające z porozumienia rosyjsko-niemieckiego w Rapallo w 1922 r. </w:t>
      </w:r>
      <w:r w:rsidR="00813F49" w:rsidRPr="003C0842">
        <w:t>Niemałą też</w:t>
      </w:r>
      <w:r w:rsidR="00443153" w:rsidRPr="003C0842">
        <w:t xml:space="preserve"> rolę odegrała u</w:t>
      </w:r>
      <w:r w:rsidRPr="003C0842">
        <w:t xml:space="preserve">trata przez Francję szans na gwarancje brytyjskie oraz </w:t>
      </w:r>
      <w:r w:rsidR="00C41C5A" w:rsidRPr="003C0842">
        <w:t>ujawniająca się coraz wyraźniej solidarność amerykańsko-brytyjska wobec całokształtu problemu niemieckiego. Tym samym do</w:t>
      </w:r>
      <w:r w:rsidR="00A561E4" w:rsidRPr="003C0842">
        <w:t xml:space="preserve">egoistycznej </w:t>
      </w:r>
      <w:r w:rsidR="00C41C5A" w:rsidRPr="003C0842">
        <w:t>polityki mocarstw wobec Niemi</w:t>
      </w:r>
      <w:r w:rsidR="00443153" w:rsidRPr="003C0842">
        <w:t xml:space="preserve">ec </w:t>
      </w:r>
      <w:r w:rsidR="00813F49" w:rsidRPr="003C0842">
        <w:t>doszły</w:t>
      </w:r>
      <w:r w:rsidR="00443153" w:rsidRPr="003C0842">
        <w:t xml:space="preserve"> racje gospodarcze</w:t>
      </w:r>
      <w:r w:rsidR="00C41C5A" w:rsidRPr="003C0842">
        <w:t xml:space="preserve"> zdominowane tezą, że odszkodowania powinny uwzględniać </w:t>
      </w:r>
      <w:r w:rsidR="00443153" w:rsidRPr="003C0842">
        <w:t xml:space="preserve">obiektywne </w:t>
      </w:r>
      <w:r w:rsidR="00C41C5A" w:rsidRPr="003C0842">
        <w:t xml:space="preserve">możliwości </w:t>
      </w:r>
      <w:r w:rsidR="00443153" w:rsidRPr="003C0842">
        <w:t>ekonomiczne</w:t>
      </w:r>
      <w:r w:rsidR="00C41C5A" w:rsidRPr="003C0842">
        <w:t xml:space="preserve"> Niemiec</w:t>
      </w:r>
      <w:r w:rsidR="000E467B" w:rsidRPr="003C0842">
        <w:rPr>
          <w:rStyle w:val="Odwoanieprzypisudolnego"/>
          <w:rFonts w:ascii="Times New Roman" w:hAnsi="Times New Roman"/>
          <w:sz w:val="24"/>
        </w:rPr>
        <w:footnoteReference w:id="159"/>
      </w:r>
      <w:r w:rsidR="00C41C5A" w:rsidRPr="003C0842">
        <w:t>.</w:t>
      </w:r>
      <w:r w:rsidR="005E58E5" w:rsidRPr="003C0842">
        <w:t>W</w:t>
      </w:r>
      <w:r w:rsidR="00443153" w:rsidRPr="003C0842">
        <w:t>ażne</w:t>
      </w:r>
      <w:r w:rsidR="00C41C5A" w:rsidRPr="003C0842">
        <w:t xml:space="preserve"> było </w:t>
      </w:r>
      <w:r w:rsidR="005E58E5" w:rsidRPr="003C0842">
        <w:t xml:space="preserve">też </w:t>
      </w:r>
      <w:r w:rsidR="00C41C5A" w:rsidRPr="003C0842">
        <w:t xml:space="preserve">silne włączenie się do rokowań Stanów Zjednoczonych i przejęcie przez amerykańskiego finansistę i wojskowego gen. Charlesa Dawesa steru negocjacji. </w:t>
      </w:r>
      <w:r w:rsidR="000D4582" w:rsidRPr="003C0842">
        <w:t xml:space="preserve">Rezygnacja Niemiec w październiku 1923 r. z biernego oporu i wznowienie realizacji zobowiązań reparacyjnych w sposób zasadniczy zmieniły sytuację. </w:t>
      </w:r>
      <w:r w:rsidR="00443153" w:rsidRPr="003C0842">
        <w:t>Uzgodnienie</w:t>
      </w:r>
      <w:r w:rsidR="000D4582" w:rsidRPr="003C0842">
        <w:t xml:space="preserve"> tzw.</w:t>
      </w:r>
      <w:r w:rsidR="001E5F63">
        <w:t>p</w:t>
      </w:r>
      <w:r w:rsidR="00C41C5A" w:rsidRPr="003C0842">
        <w:t>lanu</w:t>
      </w:r>
      <w:r w:rsidR="000D4582" w:rsidRPr="003C0842">
        <w:t xml:space="preserve"> Dawesa</w:t>
      </w:r>
      <w:r w:rsidR="00C41C5A" w:rsidRPr="003C0842">
        <w:t xml:space="preserve"> w połowie 1924 r. to istotna, wielka zmiana w sytuacji Europy, Niemiec, Francji i Ligi Narodów.</w:t>
      </w:r>
    </w:p>
    <w:p w:rsidR="00955627" w:rsidRPr="003C0842" w:rsidRDefault="00955627" w:rsidP="00111348">
      <w:pPr>
        <w:spacing w:line="360" w:lineRule="auto"/>
        <w:ind w:firstLine="709"/>
      </w:pPr>
    </w:p>
    <w:p w:rsidR="00955627" w:rsidRPr="003C0842" w:rsidRDefault="00955627" w:rsidP="00111348">
      <w:pPr>
        <w:spacing w:line="360" w:lineRule="auto"/>
        <w:ind w:firstLine="709"/>
      </w:pPr>
    </w:p>
    <w:p w:rsidR="00955627" w:rsidRPr="003C0842" w:rsidRDefault="00955627" w:rsidP="00111348">
      <w:pPr>
        <w:spacing w:line="360" w:lineRule="auto"/>
        <w:ind w:firstLine="709"/>
      </w:pPr>
    </w:p>
    <w:p w:rsidR="00522C18" w:rsidRPr="003C0842" w:rsidRDefault="00955627" w:rsidP="00111348">
      <w:pPr>
        <w:spacing w:line="360" w:lineRule="auto"/>
        <w:ind w:firstLine="709"/>
      </w:pPr>
      <w:r w:rsidRPr="003C0842">
        <w:t>Rozdział III</w:t>
      </w:r>
    </w:p>
    <w:p w:rsidR="00955627" w:rsidRPr="003C0842" w:rsidRDefault="00955627" w:rsidP="00111348">
      <w:pPr>
        <w:spacing w:line="360" w:lineRule="auto"/>
        <w:ind w:firstLine="709"/>
      </w:pPr>
      <w:r w:rsidRPr="003C0842">
        <w:t>Kierunek Genewa</w:t>
      </w:r>
    </w:p>
    <w:p w:rsidR="00A200B5" w:rsidRPr="003C0842" w:rsidRDefault="00A200B5" w:rsidP="00111348">
      <w:pPr>
        <w:spacing w:line="360" w:lineRule="auto"/>
        <w:ind w:firstLine="709"/>
      </w:pPr>
    </w:p>
    <w:p w:rsidR="00A200B5" w:rsidRPr="003C0842" w:rsidRDefault="00955627" w:rsidP="00111348">
      <w:pPr>
        <w:spacing w:line="360" w:lineRule="auto"/>
        <w:ind w:firstLine="0"/>
        <w:outlineLvl w:val="0"/>
        <w:rPr>
          <w:b/>
        </w:rPr>
      </w:pPr>
      <w:r w:rsidRPr="003C0842">
        <w:rPr>
          <w:b/>
        </w:rPr>
        <w:t>1</w:t>
      </w:r>
      <w:r w:rsidR="00A200B5" w:rsidRPr="003C0842">
        <w:rPr>
          <w:b/>
        </w:rPr>
        <w:t>. Oswajanie Ligi Narodów w Niemczech</w:t>
      </w:r>
    </w:p>
    <w:p w:rsidR="00A200B5" w:rsidRPr="003C0842" w:rsidRDefault="00A200B5" w:rsidP="00111348">
      <w:pPr>
        <w:spacing w:line="360" w:lineRule="auto"/>
        <w:ind w:firstLine="709"/>
      </w:pPr>
    </w:p>
    <w:p w:rsidR="000D4582" w:rsidRPr="003C0842" w:rsidRDefault="00A200B5" w:rsidP="00111348">
      <w:pPr>
        <w:spacing w:line="360" w:lineRule="auto"/>
        <w:ind w:firstLine="709"/>
      </w:pPr>
      <w:r w:rsidRPr="003C0842">
        <w:t>Udział Niemców w działalności społecznej i humanitarnej zarówno w ramach Międzynarodowej Organizacji Pracy jak i przez różne agendy związane bezpośrednio z Ligą ułatwiał stopniowe oswaj</w:t>
      </w:r>
      <w:r w:rsidR="00443153" w:rsidRPr="003C0842">
        <w:t>anie się ze stale ponawianiem planem</w:t>
      </w:r>
      <w:r w:rsidRPr="003C0842">
        <w:t xml:space="preserve"> formalnego wstąpienia do Ligi. Stopniowo przewagę zdobywali zwolennicy akcesji świadomi, że wiele kwestii nie tylko gospodarczo-społecznych, ale stricte politycznych na czele z rozbrojeniem i rewizją traktatów „nie dających się już stosować”, nie będzie można dyskutować z nadzieją na sukces, tym mniej rozwiązać bez głosu niemieckiego. Kilkuletnia historia Republiki Weimarskiej doświadczającej różnie ocenianego zaangażowania Ligi w </w:t>
      </w:r>
      <w:r w:rsidR="00D91CB5" w:rsidRPr="003C0842">
        <w:t>jej</w:t>
      </w:r>
      <w:r w:rsidRPr="003C0842">
        <w:t xml:space="preserve"> sprawy sugerowała zmianę stosunku do Genewy z totalnie krytycznej na koniunkturalną. Spośród elementów odbieranych w Niemczech z pewną nadzieją na uwagę zasługują dokonania Stałego Trybunału Sprawiedliwości Międzynarodowej. Dla tradycyjnej, często przypominanej praworządności niemieckiej, procedury sądowe miały duże znaczenie. Ich wszczęcie łączono z </w:t>
      </w:r>
      <w:r w:rsidR="00D91CB5" w:rsidRPr="003C0842">
        <w:t>wiarą</w:t>
      </w:r>
      <w:r w:rsidRPr="003C0842">
        <w:t xml:space="preserve"> na uczynienie wyrwy w prawno-międzynarodowym gorsecie stworzonym przez traktat wersalski. </w:t>
      </w:r>
    </w:p>
    <w:p w:rsidR="00A200B5" w:rsidRPr="003C0842" w:rsidRDefault="00A200B5" w:rsidP="00111348">
      <w:pPr>
        <w:spacing w:line="360" w:lineRule="auto"/>
        <w:ind w:firstLine="709"/>
      </w:pPr>
      <w:r w:rsidRPr="003C0842">
        <w:t>STSM, który zainaugurował prace w połowie 1922 r. już na następnej sesji (8 stycznia – 7 luty 1923 r.)</w:t>
      </w:r>
      <w:r w:rsidR="005E58E5" w:rsidRPr="003C0842">
        <w:t>,</w:t>
      </w:r>
      <w:r w:rsidRPr="003C0842">
        <w:t xml:space="preserve"> przyjął do rozpatrzenia sprawę, której istotą był sprzeciw Niemiec na przejście przez Kanał Kiloński okrętu angielskiego „Wimbledon”, wydzierżawionego w 1921 r. przez Francuzów do transportu broni i amunicji dla polskiej marynarki wojennej. Najkrótsza droga z F</w:t>
      </w:r>
      <w:r w:rsidR="005E58E5" w:rsidRPr="003C0842">
        <w:t>rancji do Gdańska wiodła przez k</w:t>
      </w:r>
      <w:r w:rsidRPr="003C0842">
        <w:t>anał La Manche, a następnie Kanał Kiloński, który łączył morza Północne i Bałtyckie. Nie bez znaczenia dla rozgłosu było to, że kanał ten zbudowany w końcu XIX w. nosił pierwotnie nazwę Kanał Cesarza Wilhelma (Kaiser Wilhelm Kanal) i był ogólnoniemiecką dumą. Powołując się na ogłoszoną przez Niemcy neutralnoś</w:t>
      </w:r>
      <w:r w:rsidR="00443153" w:rsidRPr="003C0842">
        <w:t>ć</w:t>
      </w:r>
      <w:r w:rsidRPr="003C0842">
        <w:t xml:space="preserve"> w wojnie polsko-rosyjskiej</w:t>
      </w:r>
      <w:r w:rsidR="00B91E1F" w:rsidRPr="003C0842">
        <w:t>,</w:t>
      </w:r>
      <w:r w:rsidRPr="003C0842">
        <w:t xml:space="preserve"> dyrektor kanału 21 marca 1921 r. odmówił zgody na wejście okrętu „Wimbledon” do kanału, gdyż jego ładunek naruszał niemiecką neutralność. Mimo interwencji ambasadora Francji, powołującego się na art. 380 traktatu wersalskiego, rząd niemiecki podtrzymał stanowisko </w:t>
      </w:r>
      <w:r w:rsidR="00443153" w:rsidRPr="003C0842">
        <w:t xml:space="preserve">zajęte przez </w:t>
      </w:r>
      <w:r w:rsidRPr="003C0842">
        <w:t xml:space="preserve">dyrektora. „Wimbledon” dotarł na miejsce przeznaczenia z trzynastodniowym opóźnieniem, co spowodowało straty </w:t>
      </w:r>
      <w:r w:rsidRPr="003C0842">
        <w:lastRenderedPageBreak/>
        <w:t xml:space="preserve">firmy czarterującej. Powstałego sporu nie zdołała rozwiązać Konferencja Ambasadorów. Za zgodą rządu niemieckiego sprawa znalazła się w Trybunale w Hadze. </w:t>
      </w:r>
    </w:p>
    <w:p w:rsidR="000D4582" w:rsidRPr="003C0842" w:rsidRDefault="00A200B5" w:rsidP="00111348">
      <w:pPr>
        <w:spacing w:line="360" w:lineRule="auto"/>
        <w:ind w:firstLine="709"/>
      </w:pPr>
      <w:r w:rsidRPr="003C0842">
        <w:t xml:space="preserve">Dodatkowy rozgłos wiązał się z tym, że Niemcy </w:t>
      </w:r>
      <w:r w:rsidR="005E58E5" w:rsidRPr="003C0842">
        <w:t>sprzeciwiły</w:t>
      </w:r>
      <w:r w:rsidRPr="003C0842">
        <w:t xml:space="preserve"> się zwycięzcom i wstąpiły na drogę prawną. Po jednej stronie stały zwycięskie mocarstwa (bez Stanów Zjednoczonych), po drugiej rząd Republiki Weimarskiej, który reprezentował wybitny prawnik Walter Sch</w:t>
      </w:r>
      <w:r w:rsidR="00D91CB5" w:rsidRPr="003C0842">
        <w:t>ü</w:t>
      </w:r>
      <w:r w:rsidRPr="003C0842">
        <w:t>cking, obecny także w innych postępowaniach o podobnym charakterze. Istota sporu dotyczyła interpretacji art. 380 traktatu wersalskiego. Mówił on, że Kanał Kiloński i „dostępy do niego będą zawsze wolne i otwarte na stopie zupełnej równości dla okrętów wojennych i statków handlowych wszystkich będących w pokoju z Niemcami”</w:t>
      </w:r>
      <w:r w:rsidRPr="003C0842">
        <w:rPr>
          <w:rStyle w:val="Odwoanieprzypisudolnego"/>
          <w:rFonts w:ascii="Times New Roman" w:hAnsi="Times New Roman"/>
          <w:sz w:val="24"/>
        </w:rPr>
        <w:footnoteReference w:id="160"/>
      </w:r>
      <w:r w:rsidRPr="003C0842">
        <w:t xml:space="preserve">. </w:t>
      </w:r>
    </w:p>
    <w:p w:rsidR="00A200B5" w:rsidRPr="003C0842" w:rsidRDefault="00A200B5" w:rsidP="00111348">
      <w:pPr>
        <w:spacing w:line="360" w:lineRule="auto"/>
        <w:ind w:firstLine="709"/>
      </w:pPr>
      <w:r w:rsidRPr="003C0842">
        <w:t xml:space="preserve">Strona niemiecka sprzeciw na wykorzystanie Kanału Kilońskiego przez „Wimbledon” motywowała neutralnością w konflikcie polsko-rosyjskim. Uniemożliwiało to wspieranie sprzętem wojennym i uzbrojeniem jednej ze stron jako sprzeczne z międzynarodowym prawem zwyczajowym. Wskazywano również, że </w:t>
      </w:r>
      <w:r w:rsidR="00443153" w:rsidRPr="003C0842">
        <w:t xml:space="preserve">cytowany </w:t>
      </w:r>
      <w:r w:rsidRPr="003C0842">
        <w:t>art</w:t>
      </w:r>
      <w:r w:rsidR="00443153" w:rsidRPr="003C0842">
        <w:t xml:space="preserve">ykuł </w:t>
      </w:r>
      <w:r w:rsidRPr="003C0842">
        <w:t>jest naruszeniem praw suwerena na własnym terytorium. W wyroku wydanym 17 sierpnia 1923 r. głosami większości sędziów (9 na 11) stwierdzono, że art. 380 jest sformułowany jednoznacznie i nie wzbudza wątpliwości. Kanał Kiloński przestał być bowiem wewnętrzną i krajową drogą wodną i stał się</w:t>
      </w:r>
      <w:r w:rsidR="00E05A75" w:rsidRPr="003C0842">
        <w:t xml:space="preserve"> drogą</w:t>
      </w:r>
      <w:r w:rsidRPr="003C0842">
        <w:t xml:space="preserve"> międzynarodową. STSM odrzucił też skargę dotyczącą naruszenia suwerenności niemieckiej nad Kanałem przez fakt wykorzystania go przez „Wimbledon” wbrew woli rządu niemieckiego. Nie kwestionując samego prawa do suwerenności nad kanałem</w:t>
      </w:r>
      <w:r w:rsidR="00522C18" w:rsidRPr="003C0842">
        <w:t>,</w:t>
      </w:r>
      <w:r w:rsidRPr="003C0842">
        <w:t xml:space="preserve"> zaznaczono, że Niemcy w traktacie wersalskim poddali się istotnym ograniczeniom wykonywania tego prawa, jak o tym także świadczy art. 380 </w:t>
      </w:r>
      <w:r w:rsidR="000D4582" w:rsidRPr="003C0842">
        <w:t xml:space="preserve">tegoż </w:t>
      </w:r>
      <w:r w:rsidRPr="003C0842">
        <w:t>traktatu. Ponadto jest on zobowiązaniem wyższego rzędu niż neutralność Niemiec, która nie została naruszona</w:t>
      </w:r>
      <w:r w:rsidRPr="003C0842">
        <w:rPr>
          <w:rStyle w:val="Odwoanieprzypisudolnego"/>
          <w:rFonts w:ascii="Times New Roman" w:hAnsi="Times New Roman"/>
          <w:sz w:val="24"/>
        </w:rPr>
        <w:footnoteReference w:id="161"/>
      </w:r>
      <w:r w:rsidRPr="003C0842">
        <w:t>.</w:t>
      </w:r>
    </w:p>
    <w:p w:rsidR="00A200B5" w:rsidRPr="003C0842" w:rsidRDefault="00A200B5" w:rsidP="00111348">
      <w:pPr>
        <w:spacing w:line="360" w:lineRule="auto"/>
        <w:ind w:firstLine="709"/>
      </w:pPr>
      <w:r w:rsidRPr="003C0842">
        <w:t>Zainteresowanie pierwszym w historii wyrokiem wydanym przez STSM było ogromne zważywszy na uczestniczące w sporze strony – zwycięskie mocarstwa (</w:t>
      </w:r>
      <w:r w:rsidR="00BA0AD9" w:rsidRPr="003C0842">
        <w:t>chociaż bez USA</w:t>
      </w:r>
      <w:r w:rsidRPr="003C0842">
        <w:t>), Niemcy i pośrednio Polska. Rozczarowanie w Niemczech podsycało oczekiwanie na rozstrzygnięcie w dwóch kolejnych sprawach rozpatrywanych w Hadze na prośbę Rady. Nadto jeszcze stroną w postępowaniu była Polska, która awansowała już do roli pierwszego obiektu ogólnoniemieckiej wrogości</w:t>
      </w:r>
      <w:r w:rsidR="00BA0AD9" w:rsidRPr="003C0842">
        <w:t>,</w:t>
      </w:r>
      <w:r w:rsidRPr="003C0842">
        <w:t xml:space="preserve"> podsycanej rewizjonistycznym pożądaniem. </w:t>
      </w:r>
      <w:r w:rsidR="003F3EAC" w:rsidRPr="003C0842">
        <w:t xml:space="preserve">Stan ten wzmacniały skargi słane do Genewy m.in. przez </w:t>
      </w:r>
      <w:r w:rsidRPr="003C0842">
        <w:t>Deutschtumsbund</w:t>
      </w:r>
      <w:r w:rsidR="003F3EAC" w:rsidRPr="003C0842">
        <w:t xml:space="preserve"> –</w:t>
      </w:r>
      <w:r w:rsidR="007B118F" w:rsidRPr="003C0842">
        <w:t xml:space="preserve"> organizacj</w:t>
      </w:r>
      <w:r w:rsidR="003F3EAC" w:rsidRPr="003C0842">
        <w:t xml:space="preserve">ę skupiającą i reprezentującą interesy mniejszości niemieckiej. Pierwsze z nich datowane na </w:t>
      </w:r>
      <w:r w:rsidRPr="003C0842">
        <w:t xml:space="preserve">7 i 12 listopada 1921 r. </w:t>
      </w:r>
      <w:r w:rsidR="003F3EAC" w:rsidRPr="003C0842">
        <w:t xml:space="preserve">brały w </w:t>
      </w:r>
      <w:r w:rsidRPr="003C0842">
        <w:t>obron</w:t>
      </w:r>
      <w:r w:rsidR="003F3EAC" w:rsidRPr="003C0842">
        <w:t>ę</w:t>
      </w:r>
      <w:r w:rsidRPr="003C0842">
        <w:t xml:space="preserve">kolonistów – rolników niemieckich osadzonych przez rząd pruski na </w:t>
      </w:r>
      <w:r w:rsidRPr="003C0842">
        <w:lastRenderedPageBreak/>
        <w:t>ziemiach polskich w celu wzmocnienia niemczyzny. Rząd pruski</w:t>
      </w:r>
      <w:r w:rsidR="0092530C" w:rsidRPr="003C0842">
        <w:t>,</w:t>
      </w:r>
      <w:r w:rsidRPr="003C0842">
        <w:t xml:space="preserve"> reagując na przypadki zbywania przez kolonistów ziemi na rzecz polskich właścicieli komplikował i odwlekał ostateczne przejęcie ziemi przez Niemców.</w:t>
      </w:r>
    </w:p>
    <w:p w:rsidR="00E05A75" w:rsidRPr="003C0842" w:rsidRDefault="00A200B5" w:rsidP="00111348">
      <w:pPr>
        <w:spacing w:line="360" w:lineRule="auto"/>
        <w:ind w:firstLine="709"/>
      </w:pPr>
      <w:r w:rsidRPr="003C0842">
        <w:t>Komplikacje prawne związane z realizacją przez Polskę reformy rolnej gmatwały spory dotyczące obywatelstwa. Wrogą reakcję Polaków wywołało żądanie przyznania obywatelstwa polskiego He</w:t>
      </w:r>
      <w:r w:rsidR="00C80F92">
        <w:t>i</w:t>
      </w:r>
      <w:r w:rsidRPr="003C0842">
        <w:t>nrichowi von Tied</w:t>
      </w:r>
      <w:r w:rsidR="008F4EE3" w:rsidRPr="003C0842">
        <w:t>e</w:t>
      </w:r>
      <w:r w:rsidRPr="003C0842">
        <w:t>mannowi, współzałożycielowi osławionej Hakaty, właścicielowi majątku ziemskiego w Jeziorkach pod Poznaniem. Spory związane z przejętymi przez Polskę zobowiązaniami skarbu pruskiego, nakładały się na pretensje dotyczące wykorzystywania reformy rolnej dla pognębienia Niemców zamieszkujących odrodzoną Polskę. Wspomniane wyżej skargi Deutschtumsbundu kilkakrotnie angażowały pracowników sekcji mniejszościowej Sekretariatu, Radę i powoł</w:t>
      </w:r>
      <w:r w:rsidR="00BA0AD9" w:rsidRPr="003C0842">
        <w:t>yw</w:t>
      </w:r>
      <w:r w:rsidRPr="003C0842">
        <w:t>any przez nią Komitet Trzech</w:t>
      </w:r>
      <w:r w:rsidR="00BA0AD9" w:rsidRPr="003C0842">
        <w:rPr>
          <w:rStyle w:val="Odwoanieprzypisudolnego"/>
          <w:rFonts w:ascii="Times New Roman" w:hAnsi="Times New Roman"/>
          <w:sz w:val="24"/>
        </w:rPr>
        <w:footnoteReference w:id="162"/>
      </w:r>
      <w:r w:rsidRPr="003C0842">
        <w:t>, rząd Polski wzywany do wyjaśnień, w końcu STMS. Jego orzeczenie w sprawie kolonistów wydane 10 września 1923 r. szło po linii dezyderatów niemieckich. W ślad za tym, Rada podczas kolejnych sesji (27 marca i 14 grudnia 1923 r.), nie tylko zakazywała Polsce praktyk godzących w interesy kolonistów niemieckich, ale nadto wzywała Komitet Trzech</w:t>
      </w:r>
      <w:r w:rsidR="0092530C" w:rsidRPr="003C0842">
        <w:t>,</w:t>
      </w:r>
      <w:r w:rsidRPr="003C0842">
        <w:t xml:space="preserve"> aby obserwował rozwój sytuacji i przedłożył</w:t>
      </w:r>
      <w:r w:rsidR="00BA0AD9" w:rsidRPr="003C0842">
        <w:t xml:space="preserve"> stosowny</w:t>
      </w:r>
      <w:r w:rsidRPr="003C0842">
        <w:t xml:space="preserve"> raport na kolejnej sesji Rady. </w:t>
      </w:r>
      <w:r w:rsidR="00E05A75" w:rsidRPr="003C0842">
        <w:t xml:space="preserve">Sporą w tym zasługę miał lord Cecil, przedstawiciel Wielkiej Brytanii. </w:t>
      </w:r>
    </w:p>
    <w:p w:rsidR="00A200B5" w:rsidRPr="003C0842" w:rsidRDefault="00A200B5" w:rsidP="00111348">
      <w:pPr>
        <w:spacing w:line="360" w:lineRule="auto"/>
        <w:ind w:firstLine="709"/>
      </w:pPr>
      <w:r w:rsidRPr="003C0842">
        <w:t>Doświadczana przez Ligę niechęć rządu polskiego, reprezentowanego w drugiej połowie 1923 r. przez endecki duet Seyda – Dmowski, była podawana przez ich przeciwników politycznych jako przyczynek do kolejnego niepowodzenia Polski w STSM. Oto bowiem 15 września 1923 r. Trybunał nie uznał przyjętej przez rząd polski zawężającej interpretacji art. 4 traktatu mniejszościowego w sprawie obywatelstwa polskiego, do którego nabyli prawo „bez żadnych formalności” mieszkańcy ziem włączonych do państwa polskiego, jeśli byli urodzeni z rodziców stale tam mieszkających. Polskie próby ograniczenia czy reglamentowania prawa do swobodnej opcji w zakresie wyboru narodowości zostały przez STSM zakwestionowane</w:t>
      </w:r>
      <w:r w:rsidRPr="003C0842">
        <w:rPr>
          <w:rStyle w:val="Odwoanieprzypisudolnego"/>
          <w:rFonts w:ascii="Times New Roman" w:hAnsi="Times New Roman"/>
          <w:sz w:val="24"/>
        </w:rPr>
        <w:footnoteReference w:id="163"/>
      </w:r>
      <w:r w:rsidRPr="003C0842">
        <w:t>.</w:t>
      </w:r>
    </w:p>
    <w:p w:rsidR="0077444E" w:rsidRPr="003C0842" w:rsidRDefault="00A200B5" w:rsidP="00111348">
      <w:pPr>
        <w:spacing w:line="360" w:lineRule="auto"/>
        <w:ind w:firstLine="709"/>
      </w:pPr>
      <w:r w:rsidRPr="003C0842">
        <w:t xml:space="preserve">Silne wsparcie uzyskane w Radzie dla tezy niemieckiej ze strony Wielkiej Brytanii (lorda Cecila) oraz Szwecji (premiera </w:t>
      </w:r>
      <w:r w:rsidR="00B07869" w:rsidRPr="003C0842">
        <w:t xml:space="preserve">Hjalmara </w:t>
      </w:r>
      <w:r w:rsidRPr="003C0842">
        <w:t>Brantinga) oraz skromny opór Francji mieściły się w trwającej już dyskusji, ale też rywalizacji o warunki</w:t>
      </w:r>
      <w:r w:rsidR="0092530C" w:rsidRPr="003C0842">
        <w:t>,</w:t>
      </w:r>
      <w:r w:rsidRPr="003C0842">
        <w:t xml:space="preserve"> na jakich Republika Weimarska zostanie członkiem Ligi. Powszechnie liczono się z ogóln</w:t>
      </w:r>
      <w:r w:rsidR="00BA0AD9" w:rsidRPr="003C0842">
        <w:t>ikowym</w:t>
      </w:r>
      <w:r w:rsidRPr="003C0842">
        <w:t xml:space="preserve"> stwierdzeniem, że „kiedyś” do tego dojdzie. Jednak kolejne, konkretne i szczegółowe pytania dotyczące tej </w:t>
      </w:r>
      <w:r w:rsidRPr="003C0842">
        <w:lastRenderedPageBreak/>
        <w:t>procedury ujawniały przeróżne, w tym i sprzeczne punkty widzenia. Przekonanie to wpisywało się znakomicie w społeczne oczekiwanie powrotu do „normalności”, za jaką Europa i świat uważały czynną obecność Niemiec wśród najważniejszych graczy</w:t>
      </w:r>
      <w:r w:rsidR="00164234" w:rsidRPr="003C0842">
        <w:t>–</w:t>
      </w:r>
      <w:r w:rsidRPr="003C0842">
        <w:t xml:space="preserve"> tak na arenie międzynarodowej</w:t>
      </w:r>
      <w:r w:rsidR="00863644" w:rsidRPr="003C0842">
        <w:t>,</w:t>
      </w:r>
      <w:r w:rsidRPr="003C0842">
        <w:t xml:space="preserve"> jak i w stosunkach gospodarczych. Opóźniająca się „normalizacja” rodziła rozczarowanie wobec Ligi jako skutecznego leku na trapiące społeczeństwa dolegliwości. </w:t>
      </w:r>
    </w:p>
    <w:p w:rsidR="0077444E" w:rsidRPr="003C0842" w:rsidRDefault="00A200B5" w:rsidP="00111348">
      <w:pPr>
        <w:spacing w:line="360" w:lineRule="auto"/>
        <w:ind w:firstLine="709"/>
      </w:pPr>
      <w:r w:rsidRPr="003C0842">
        <w:t xml:space="preserve">To jeden z istotnych powodów, że środowiska </w:t>
      </w:r>
      <w:r w:rsidR="003F3EAC" w:rsidRPr="003C0842">
        <w:t>pro</w:t>
      </w:r>
      <w:r w:rsidRPr="003C0842">
        <w:t xml:space="preserve">ligowez jego elitą, której formalną emanacją był Sekretariat LN oraz setki osób zaangażowanych w działalność komitetów, komisji, grup roboczych itd., z widoczną sympatią wspierały proces przybliżający Niemcy do Genewy. Rozumiano i tam, że wypowiedzi przeciwników nadmiernego pospiechu mają swoje racje i </w:t>
      </w:r>
      <w:r w:rsidR="000D4582" w:rsidRPr="003C0842">
        <w:t xml:space="preserve">godnych poważnego traktowania </w:t>
      </w:r>
      <w:r w:rsidRPr="003C0842">
        <w:t>rzeczników. Wśród stwierdzeń ogólnych</w:t>
      </w:r>
      <w:r w:rsidR="000D4582" w:rsidRPr="003C0842">
        <w:t>,</w:t>
      </w:r>
      <w:r w:rsidRPr="003C0842">
        <w:t xml:space="preserve"> zwykle ułatwiających osiągnięcia konsensusu</w:t>
      </w:r>
      <w:r w:rsidR="000D4582" w:rsidRPr="003C0842">
        <w:t>,</w:t>
      </w:r>
      <w:r w:rsidRPr="003C0842">
        <w:t xml:space="preserve"> dominowała teza o rażącej dychotomii celów Ligi (</w:t>
      </w:r>
      <w:r w:rsidR="000D4582" w:rsidRPr="003C0842">
        <w:t>m.in.</w:t>
      </w:r>
      <w:r w:rsidRPr="003C0842">
        <w:t xml:space="preserve"> gwarancji bezpieczeństwa, nienaruszalności granic i trwałego pokoju) z nieskrywanymi ogólnoniemieckimi dążeniami rewizjonistycznymi. </w:t>
      </w:r>
    </w:p>
    <w:p w:rsidR="00BD56B3" w:rsidRDefault="0077444E" w:rsidP="00111348">
      <w:pPr>
        <w:spacing w:line="360" w:lineRule="auto"/>
        <w:ind w:firstLine="709"/>
      </w:pPr>
      <w:r w:rsidRPr="003C0842">
        <w:t>N</w:t>
      </w:r>
      <w:r w:rsidR="00A200B5" w:rsidRPr="003C0842">
        <w:t xml:space="preserve">iezależnie od wszelkich </w:t>
      </w:r>
      <w:r w:rsidRPr="003C0842">
        <w:t>słownych gestów ze strony</w:t>
      </w:r>
      <w:r w:rsidR="00A200B5" w:rsidRPr="003C0842">
        <w:t xml:space="preserve"> państw </w:t>
      </w:r>
      <w:r w:rsidR="005D3A3C" w:rsidRPr="003C0842">
        <w:t xml:space="preserve">przewodzącychinstytucji genewskiej wśród jej, </w:t>
      </w:r>
      <w:r w:rsidR="00A200B5" w:rsidRPr="003C0842">
        <w:t>raczej kamuflowanych celów</w:t>
      </w:r>
      <w:r w:rsidR="005D3A3C" w:rsidRPr="003C0842">
        <w:t>,</w:t>
      </w:r>
      <w:r w:rsidR="00A200B5" w:rsidRPr="003C0842">
        <w:t xml:space="preserve"> było utrzymanie przewagi</w:t>
      </w:r>
      <w:r w:rsidR="000D4582" w:rsidRPr="003C0842">
        <w:t>,</w:t>
      </w:r>
      <w:r w:rsidR="00A200B5" w:rsidRPr="003C0842">
        <w:t xml:space="preserve"> krwawo wywalczonej w wojnie. Ten najsilniej przez Francję i jej sojuszników formułowany pogląd ulegał stopniowej erozji. </w:t>
      </w:r>
      <w:r w:rsidR="005D3A3C" w:rsidRPr="003C0842">
        <w:t>J</w:t>
      </w:r>
      <w:r w:rsidR="00A200B5" w:rsidRPr="003C0842">
        <w:t xml:space="preserve">ej słupy milowe </w:t>
      </w:r>
      <w:r w:rsidR="005D3A3C" w:rsidRPr="003C0842">
        <w:t>to</w:t>
      </w:r>
      <w:r w:rsidR="00671294" w:rsidRPr="003C0842">
        <w:t xml:space="preserve"> porozumienie niemiecko-</w:t>
      </w:r>
      <w:r w:rsidR="00B07869" w:rsidRPr="003C0842">
        <w:t>radzieckie</w:t>
      </w:r>
      <w:r w:rsidR="005D3A3C" w:rsidRPr="003C0842">
        <w:t>z</w:t>
      </w:r>
      <w:r w:rsidR="00A200B5" w:rsidRPr="003C0842">
        <w:t xml:space="preserve"> 1922 r. oraz faktyczna utrata </w:t>
      </w:r>
      <w:r w:rsidR="005D3A3C" w:rsidRPr="003C0842">
        <w:t>szans</w:t>
      </w:r>
      <w:r w:rsidR="00A200B5" w:rsidRPr="003C0842">
        <w:t xml:space="preserve"> na gwarancje brytyjskie dla granicy na Renie. Uzewnętrznione różnice w podejściu do antyniemieckich represji </w:t>
      </w:r>
      <w:r w:rsidR="005D3A3C" w:rsidRPr="003C0842">
        <w:t>oraz</w:t>
      </w:r>
      <w:r w:rsidR="00A200B5" w:rsidRPr="003C0842">
        <w:t xml:space="preserve"> kompleksu spraw związanych z okupacją Zagłębia Ruhry</w:t>
      </w:r>
      <w:r w:rsidR="00B07869" w:rsidRPr="003C0842">
        <w:t xml:space="preserve"> (styczeń 1923 r.)</w:t>
      </w:r>
      <w:r w:rsidR="005D3A3C" w:rsidRPr="003C0842">
        <w:t>,</w:t>
      </w:r>
      <w:r w:rsidR="00A200B5" w:rsidRPr="003C0842">
        <w:t xml:space="preserve"> nasiliły ogólną debatę nad przezwyciężeniem </w:t>
      </w:r>
      <w:r w:rsidR="005D3A3C" w:rsidRPr="003C0842">
        <w:t xml:space="preserve">powstałego wówczas </w:t>
      </w:r>
      <w:r w:rsidR="00A200B5" w:rsidRPr="003C0842">
        <w:t xml:space="preserve">głębokiego kryzysu międzynarodowego. Bierny opór oraz pogarszająca się pozycja dewaluowanej marki utrudniały i udaremniały przepływy finansowe w ramach reparacji i długów. Zarazem ogromnie wzrosły ciężary finansowe okupacji: korzyści </w:t>
      </w:r>
      <w:r w:rsidR="005D3A3C" w:rsidRPr="003C0842">
        <w:t xml:space="preserve">przedzierzgnęły </w:t>
      </w:r>
      <w:r w:rsidR="00A200B5" w:rsidRPr="003C0842">
        <w:t>się w rosnące straty.</w:t>
      </w:r>
    </w:p>
    <w:p w:rsidR="000D4582" w:rsidRPr="003C0842" w:rsidRDefault="0077444E" w:rsidP="00111348">
      <w:pPr>
        <w:spacing w:line="360" w:lineRule="auto"/>
        <w:ind w:firstLine="709"/>
      </w:pPr>
      <w:r w:rsidRPr="003C0842">
        <w:t>Zarówno</w:t>
      </w:r>
      <w:r w:rsidR="00A200B5" w:rsidRPr="003C0842">
        <w:t xml:space="preserve"> z Londynu, </w:t>
      </w:r>
      <w:r w:rsidRPr="003C0842">
        <w:t>jak</w:t>
      </w:r>
      <w:r w:rsidR="00A200B5" w:rsidRPr="003C0842">
        <w:t xml:space="preserve"> i Waszyngtonu rósł nacisk na spłatę kredytów zaciągniętych na prowadzenie wojny. Adresatem ponagleń był nie tylko Paryż, ale i Berlin, który uniemożliwiał rozruch „podróży dolarów”. Z międzynarodowych i wewnątrz niemieckich sp</w:t>
      </w:r>
      <w:r w:rsidR="0042020B" w:rsidRPr="003C0842">
        <w:t>o</w:t>
      </w:r>
      <w:r w:rsidR="00A200B5" w:rsidRPr="003C0842">
        <w:t>r</w:t>
      </w:r>
      <w:r w:rsidR="0042020B" w:rsidRPr="003C0842">
        <w:t>ó</w:t>
      </w:r>
      <w:r w:rsidR="00A200B5" w:rsidRPr="003C0842">
        <w:t>w 13 sierpnia 1923</w:t>
      </w:r>
      <w:r w:rsidR="00B07869" w:rsidRPr="003C0842">
        <w:t xml:space="preserve"> r. wyłonił się gabinet z Gustav</w:t>
      </w:r>
      <w:r w:rsidR="00A200B5" w:rsidRPr="003C0842">
        <w:t xml:space="preserve">em Stresemannem jako kanclerzem i ministrem spraw zagranicznych. Zapoczątkowana przez ten gabinet politykaporozumienia i wypełniania traktatu wersalskiegootwiera ważny rozdział w międzywojennych dziejach Niemiec, Ligi, Europy i świata. </w:t>
      </w:r>
    </w:p>
    <w:p w:rsidR="00A200B5" w:rsidRPr="003C0842" w:rsidRDefault="0092530C" w:rsidP="00111348">
      <w:pPr>
        <w:spacing w:line="360" w:lineRule="auto"/>
        <w:ind w:firstLine="709"/>
      </w:pPr>
      <w:r w:rsidRPr="003C0842">
        <w:t>Wprawdzie</w:t>
      </w:r>
      <w:r w:rsidR="00A200B5" w:rsidRPr="003C0842">
        <w:t xml:space="preserve"> gabinet ten przetrwał</w:t>
      </w:r>
      <w:r w:rsidR="0042020B" w:rsidRPr="003C0842">
        <w:t>,</w:t>
      </w:r>
      <w:r w:rsidR="00A200B5" w:rsidRPr="003C0842">
        <w:t xml:space="preserve"> jak większość poprzednich</w:t>
      </w:r>
      <w:r w:rsidR="0042020B" w:rsidRPr="003C0842">
        <w:t>,</w:t>
      </w:r>
      <w:r w:rsidR="00A200B5" w:rsidRPr="003C0842">
        <w:t xml:space="preserve"> ledwie kilka miesięcy, to jednak wprowadził on </w:t>
      </w:r>
      <w:r w:rsidR="005D3A3C" w:rsidRPr="003C0842">
        <w:t>do</w:t>
      </w:r>
      <w:r w:rsidR="00A200B5" w:rsidRPr="003C0842">
        <w:t xml:space="preserve"> polityki międzynarodowej polityka wybitnego, dzierżącego tekę </w:t>
      </w:r>
      <w:r w:rsidR="00A200B5" w:rsidRPr="003C0842">
        <w:lastRenderedPageBreak/>
        <w:t>ministra spraw zagranicznych do przedwczesnej śmierci 4 października 1929 r., w kolejnych ośmiu gabinetach. Silnie atakowany nie tylko przez lewicę i centrum, ale również współtowarzyszyz zachowawczej, a nawet nacjonalistycznej Deutsche Volkspartei</w:t>
      </w:r>
      <w:r w:rsidR="00A200B5" w:rsidRPr="003C0842">
        <w:rPr>
          <w:rStyle w:val="Odwoanieprzypisudolnego"/>
          <w:rFonts w:ascii="Times New Roman" w:hAnsi="Times New Roman"/>
          <w:sz w:val="24"/>
        </w:rPr>
        <w:footnoteReference w:id="164"/>
      </w:r>
      <w:r w:rsidR="00A200B5" w:rsidRPr="003C0842">
        <w:t xml:space="preserve"> bronił się spektakularną skutecznością, </w:t>
      </w:r>
      <w:r w:rsidR="005D3A3C" w:rsidRPr="003C0842">
        <w:t>na czele z</w:t>
      </w:r>
      <w:r w:rsidR="00A200B5" w:rsidRPr="003C0842">
        <w:t xml:space="preserve"> reform</w:t>
      </w:r>
      <w:r w:rsidR="005D3A3C" w:rsidRPr="003C0842">
        <w:t>ą</w:t>
      </w:r>
      <w:r w:rsidR="00A200B5" w:rsidRPr="003C0842">
        <w:t xml:space="preserve"> walutow</w:t>
      </w:r>
      <w:r w:rsidR="005D3A3C" w:rsidRPr="003C0842">
        <w:t>ą rozpoczętą</w:t>
      </w:r>
      <w:r w:rsidR="00A200B5" w:rsidRPr="003C0842">
        <w:t xml:space="preserve"> w listopadzie 1923 r. Równowartość nowej marki została określona na jeden bilion będących w obiegu marek papierowych. Na porządku dnia były też spory monarchistów z republikanami, dominujących militarystów z ugodowcami i pacyfistami, centralistów z separatystami, konfrontacyjne ruchy prawicy (z narodowosocjalistyczną </w:t>
      </w:r>
      <w:r w:rsidR="00E14E20" w:rsidRPr="003C0842">
        <w:t xml:space="preserve">„rewolucją” w Bawarii na czele) </w:t>
      </w:r>
      <w:r w:rsidR="00A200B5" w:rsidRPr="003C0842">
        <w:t xml:space="preserve">z radykalnymi nastrojami społecznymi na lewicy. Temu wszystkiemu </w:t>
      </w:r>
      <w:r w:rsidR="00534918" w:rsidRPr="003C0842">
        <w:t>t</w:t>
      </w:r>
      <w:r w:rsidR="00A200B5" w:rsidRPr="003C0842">
        <w:t>owarzyszyła głęboka destabilizacja gospodarcza będąca następstwem wojny, okupacji Nadrenii i biernego oporu</w:t>
      </w:r>
      <w:r w:rsidR="00A200B5" w:rsidRPr="003C0842">
        <w:rPr>
          <w:rStyle w:val="Odwoanieprzypisudolnego"/>
          <w:rFonts w:ascii="Times New Roman" w:hAnsi="Times New Roman"/>
          <w:sz w:val="24"/>
        </w:rPr>
        <w:footnoteReference w:id="165"/>
      </w:r>
      <w:r w:rsidR="00A200B5" w:rsidRPr="003C0842">
        <w:t>.</w:t>
      </w:r>
    </w:p>
    <w:p w:rsidR="0042020B" w:rsidRPr="003C0842" w:rsidRDefault="00A200B5" w:rsidP="00111348">
      <w:pPr>
        <w:shd w:val="clear" w:color="auto" w:fill="FFFFFF"/>
        <w:suppressAutoHyphens/>
        <w:spacing w:line="360" w:lineRule="auto"/>
        <w:ind w:right="40" w:firstLine="720"/>
      </w:pPr>
      <w:r w:rsidRPr="003C0842">
        <w:t xml:space="preserve">Rozległość i głębia kryzysu nasilała inicjatywy zmierzające do przezwyciężenia stanu powszechnego niezadowolenia. W ogólnoniemieckich lamentach dotyczących </w:t>
      </w:r>
      <w:r w:rsidR="00534918" w:rsidRPr="003C0842">
        <w:t xml:space="preserve">przyszłości, rola </w:t>
      </w:r>
      <w:r w:rsidRPr="003C0842">
        <w:t>Ligi narzucała się sama z siebie. Społeczne spory i kontrowersje wokół „zysków i strat” związanych z ewentualną akcesją zostały uzupełnione o badania wykorzystujące najnowsze zdobycze naukowe. Przejawem takich poczynań było utworzenie w 1922 r. przez ministerstwo edukacji Instytutu Badań Społecznych we Frankfurcie nad Menem z zadaniem zbadania przyczyn rewolucji (bolszewickiej, niemieckiej) i prawdopodobieństwa rewolucji światowej. Efekty dociekań tzw. szkoły frankfurckiej, zrazu silnie uwzględniające</w:t>
      </w:r>
      <w:r w:rsidR="00534918" w:rsidRPr="003C0842">
        <w:t xml:space="preserve">j </w:t>
      </w:r>
      <w:r w:rsidRPr="003C0842">
        <w:t>założenia teoretyczne marksizmu, były upowszechniane w formule niekorzystnej dla LN. Jej powstanie łączono z kompromisem, nieraz nawet z globalną intrygą klas posiadającychEntenty</w:t>
      </w:r>
      <w:r w:rsidRPr="003C0842">
        <w:rPr>
          <w:rStyle w:val="Odwoanieprzypisudolnego"/>
          <w:rFonts w:ascii="Times New Roman" w:hAnsi="Times New Roman"/>
          <w:sz w:val="24"/>
        </w:rPr>
        <w:footnoteReference w:id="166"/>
      </w:r>
      <w:r w:rsidRPr="003C0842">
        <w:t>.</w:t>
      </w:r>
    </w:p>
    <w:p w:rsidR="00534918" w:rsidRPr="003C0842" w:rsidRDefault="00643090" w:rsidP="00111348">
      <w:pPr>
        <w:shd w:val="clear" w:color="auto" w:fill="FFFFFF"/>
        <w:suppressAutoHyphens/>
        <w:spacing w:line="360" w:lineRule="auto"/>
        <w:ind w:right="40" w:firstLine="720"/>
        <w:rPr>
          <w:color w:val="000000"/>
        </w:rPr>
      </w:pPr>
      <w:r w:rsidRPr="003C0842">
        <w:t>Nadb</w:t>
      </w:r>
      <w:r w:rsidR="00A200B5" w:rsidRPr="003C0842">
        <w:t>ardziej pogłębiony</w:t>
      </w:r>
      <w:r w:rsidRPr="003C0842">
        <w:t>m</w:t>
      </w:r>
      <w:r w:rsidR="00A200B5" w:rsidRPr="003C0842">
        <w:t xml:space="preserve"> i wyważony</w:t>
      </w:r>
      <w:r w:rsidRPr="003C0842">
        <w:t xml:space="preserve">m obrazem LN pracowano w </w:t>
      </w:r>
      <w:r w:rsidRPr="003C0842">
        <w:rPr>
          <w:color w:val="000000"/>
        </w:rPr>
        <w:t xml:space="preserve">Sonderreferat Völkerbund. Zrazu sprawy Ligi Narodów </w:t>
      </w:r>
      <w:r w:rsidR="0092530C" w:rsidRPr="003C0842">
        <w:rPr>
          <w:color w:val="000000"/>
        </w:rPr>
        <w:t>podlegały</w:t>
      </w:r>
      <w:r w:rsidRPr="003C0842">
        <w:rPr>
          <w:color w:val="000000"/>
        </w:rPr>
        <w:t xml:space="preserve"> kompetencji specjalnego referatu pod nazwą „Deutschland”, który był podporządkowany bezpośrednio urzędowi kanclerza Rzeszy. Znaczący rozwój międzynarodowej roli Ligi Narodów skłonił rząd do utworzenia specjalnego referatu, którym od 1922 r. kierował Bernhard Wilhelm von Bülow, polityk o </w:t>
      </w:r>
      <w:r w:rsidRPr="003C0842">
        <w:t xml:space="preserve">mocnej pozycji w </w:t>
      </w:r>
      <w:r w:rsidRPr="003C0842">
        <w:rPr>
          <w:color w:val="000000"/>
        </w:rPr>
        <w:t>Ausw</w:t>
      </w:r>
      <w:r w:rsidR="00B07869" w:rsidRPr="003C0842">
        <w:rPr>
          <w:color w:val="000000"/>
        </w:rPr>
        <w:t>ä</w:t>
      </w:r>
      <w:r w:rsidRPr="003C0842">
        <w:rPr>
          <w:color w:val="000000"/>
        </w:rPr>
        <w:t>rtiges Amt</w:t>
      </w:r>
      <w:r w:rsidR="00671294" w:rsidRPr="003C0842">
        <w:rPr>
          <w:color w:val="000000"/>
        </w:rPr>
        <w:t xml:space="preserve">, potwierdzoną </w:t>
      </w:r>
      <w:r w:rsidR="00B07869" w:rsidRPr="003C0842">
        <w:t>później</w:t>
      </w:r>
      <w:r w:rsidR="00671294" w:rsidRPr="003C0842">
        <w:t>szą nominacją na</w:t>
      </w:r>
      <w:r w:rsidR="00B07869" w:rsidRPr="003C0842">
        <w:t xml:space="preserve"> sekretarz</w:t>
      </w:r>
      <w:r w:rsidR="00671294" w:rsidRPr="003C0842">
        <w:t>a</w:t>
      </w:r>
      <w:r w:rsidR="00B07869" w:rsidRPr="003C0842">
        <w:t xml:space="preserve"> stanu, </w:t>
      </w:r>
      <w:r w:rsidR="00671294" w:rsidRPr="003C0842">
        <w:t>co dawało mu drugie miejsce w</w:t>
      </w:r>
      <w:r w:rsidR="00B07869" w:rsidRPr="003C0842">
        <w:t>resorcie</w:t>
      </w:r>
      <w:r w:rsidR="00671294" w:rsidRPr="003C0842">
        <w:t>. Wielką karierę rozpoczął jako uczestnik</w:t>
      </w:r>
      <w:r w:rsidRPr="003C0842">
        <w:t xml:space="preserve"> delegacji na konferencję w Brześciu Litewskim (1918 r.), a zwłaszcza </w:t>
      </w:r>
      <w:r w:rsidR="00671294" w:rsidRPr="003C0842">
        <w:t xml:space="preserve">udział </w:t>
      </w:r>
      <w:r w:rsidRPr="003C0842">
        <w:t>w gremiach debatujących nad rodzącym się traktatem pokojowym w 1919 r.</w:t>
      </w:r>
      <w:r w:rsidRPr="003C0842">
        <w:rPr>
          <w:color w:val="000000"/>
        </w:rPr>
        <w:t xml:space="preserve"> W poufnym memoriale, opracowanym we wrześniu 1922 r., sceptycznie zapatrywał się on na możliwość wykorzystania Ligi Narodów </w:t>
      </w:r>
      <w:r w:rsidRPr="003C0842">
        <w:rPr>
          <w:color w:val="000000"/>
        </w:rPr>
        <w:lastRenderedPageBreak/>
        <w:t>dla zmiany międzynarodowej pozycji Niemiec. Zwłaszcza niewielką nadzieję oferowała Genewa w zakresie rewizji istniejących traktatów. Mimo to Bülow, „uprawiający cyniczną politykę”</w:t>
      </w:r>
      <w:r w:rsidRPr="003C0842">
        <w:rPr>
          <w:rStyle w:val="Odwoanieprzypisudolnego"/>
          <w:rFonts w:ascii="Times New Roman" w:hAnsi="Times New Roman"/>
          <w:color w:val="000000"/>
          <w:sz w:val="24"/>
        </w:rPr>
        <w:footnoteReference w:id="167"/>
      </w:r>
      <w:r w:rsidRPr="003C0842">
        <w:rPr>
          <w:color w:val="000000"/>
        </w:rPr>
        <w:t xml:space="preserve"> wobec Ligi Narodów, opowiadał się za </w:t>
      </w:r>
      <w:r w:rsidR="0042020B" w:rsidRPr="003C0842">
        <w:rPr>
          <w:color w:val="000000"/>
        </w:rPr>
        <w:t xml:space="preserve">większą </w:t>
      </w:r>
      <w:r w:rsidRPr="003C0842">
        <w:rPr>
          <w:color w:val="000000"/>
        </w:rPr>
        <w:t>aktywn</w:t>
      </w:r>
      <w:r w:rsidR="0042020B" w:rsidRPr="003C0842">
        <w:rPr>
          <w:color w:val="000000"/>
        </w:rPr>
        <w:t>ością wobec środowiska genewskiego mało znanego, nie tylko ogółowi Niemców, ale i korpusowi dyplomatycznemu.</w:t>
      </w:r>
    </w:p>
    <w:p w:rsidR="00A200B5" w:rsidRPr="003C0842" w:rsidRDefault="00643090" w:rsidP="00111348">
      <w:pPr>
        <w:shd w:val="clear" w:color="auto" w:fill="FFFFFF"/>
        <w:suppressAutoHyphens/>
        <w:spacing w:line="360" w:lineRule="auto"/>
        <w:ind w:right="40" w:firstLine="720"/>
      </w:pPr>
      <w:r w:rsidRPr="003C0842">
        <w:rPr>
          <w:color w:val="000000"/>
        </w:rPr>
        <w:t xml:space="preserve">Wyzierający z tego memoriału pesymizm znalazł rozwinięcie i </w:t>
      </w:r>
      <w:r w:rsidR="0091190C" w:rsidRPr="003C0842">
        <w:rPr>
          <w:color w:val="000000"/>
        </w:rPr>
        <w:t>pogłębioną analizęw</w:t>
      </w:r>
      <w:r w:rsidR="00A200B5" w:rsidRPr="003C0842">
        <w:t xml:space="preserve"> fundamentalnej i ponadczasowej monografii opublikowanej jesienią 1923 r. Na jej przygotowanie wnuk byłego kanclerza otrzymał dwuletni urlop w AA</w:t>
      </w:r>
      <w:r w:rsidR="0091190C" w:rsidRPr="003C0842">
        <w:t>.</w:t>
      </w:r>
      <w:r w:rsidR="00A200B5" w:rsidRPr="003C0842">
        <w:t xml:space="preserve"> W podsumowującej części książki</w:t>
      </w:r>
      <w:r w:rsidR="0091190C" w:rsidRPr="003C0842">
        <w:t>,</w:t>
      </w:r>
      <w:r w:rsidR="00A200B5" w:rsidRPr="003C0842">
        <w:t xml:space="preserve"> wymownie zatytułowanej „Wersalska Liga Narodów</w:t>
      </w:r>
      <w:r w:rsidR="00534918" w:rsidRPr="003C0842">
        <w:t>. T</w:t>
      </w:r>
      <w:r w:rsidR="00A200B5" w:rsidRPr="003C0842">
        <w:t>ymczasowy bilans”</w:t>
      </w:r>
      <w:r w:rsidR="0091190C" w:rsidRPr="003C0842">
        <w:t>,</w:t>
      </w:r>
      <w:r w:rsidR="00863644" w:rsidRPr="003C0842">
        <w:t xml:space="preserve">zmierzył się </w:t>
      </w:r>
      <w:r w:rsidR="00534918" w:rsidRPr="003C0842">
        <w:t xml:space="preserve">z </w:t>
      </w:r>
      <w:r w:rsidR="00A200B5" w:rsidRPr="003C0842">
        <w:t>problem</w:t>
      </w:r>
      <w:r w:rsidR="00863644" w:rsidRPr="003C0842">
        <w:t>em</w:t>
      </w:r>
      <w:r w:rsidR="00A200B5" w:rsidRPr="003C0842">
        <w:t xml:space="preserve"> wstąpienia Niemiec do Ligi. Przypominając i porządkując różne inicjatywy </w:t>
      </w:r>
      <w:r w:rsidR="00863644" w:rsidRPr="003C0842">
        <w:t>w tym zakresie</w:t>
      </w:r>
      <w:r w:rsidR="00A200B5" w:rsidRPr="003C0842">
        <w:t xml:space="preserve"> – partyjne, państwowe i międzynarodowe – dostrzegał pewną, choć ograniczoną przydatność Ligi jako forum umożliwiającego dyskusję nad zmianą krępujących i niesprawiedliwych artykułów traktatu wersalskiego</w:t>
      </w:r>
      <w:r w:rsidR="00863644" w:rsidRPr="003C0842">
        <w:t>,</w:t>
      </w:r>
      <w:r w:rsidR="00A200B5" w:rsidRPr="003C0842">
        <w:t xml:space="preserve"> z wyłączną odpowiedzialnością Niemiec za wojnę na czele. Liga mogła być </w:t>
      </w:r>
      <w:r w:rsidR="00863644" w:rsidRPr="003C0842">
        <w:t xml:space="preserve">użyteczna </w:t>
      </w:r>
      <w:r w:rsidR="00A200B5" w:rsidRPr="003C0842">
        <w:t>w procesie powrotu Niemiec na należne im miejsce w Europie i świecie. Oczekiwanym i spodziewanym</w:t>
      </w:r>
      <w:r w:rsidR="00B77D1B" w:rsidRPr="003C0842">
        <w:t>, nawet oczywistym</w:t>
      </w:r>
      <w:r w:rsidR="00A200B5" w:rsidRPr="003C0842">
        <w:t xml:space="preserve"> etapem tego marszu </w:t>
      </w:r>
      <w:r w:rsidR="00B77D1B" w:rsidRPr="003C0842">
        <w:t>miało być</w:t>
      </w:r>
      <w:r w:rsidR="00A200B5" w:rsidRPr="003C0842">
        <w:t xml:space="preserve"> uzyskanie stałego miejsca w Radzie obok Wielkiej Brytanii, Francji, Japonii i Włoch</w:t>
      </w:r>
      <w:r w:rsidR="00B77D1B" w:rsidRPr="003C0842">
        <w:t>. Opracowanie Bülowa, czytane i analizowane zwłaszcza przez sąsiadów Niemiec, było traktowane jako wykładnia stanowiska bliska AA</w:t>
      </w:r>
      <w:r w:rsidR="00E14E20" w:rsidRPr="003C0842">
        <w:t>,</w:t>
      </w:r>
      <w:r w:rsidR="00534918" w:rsidRPr="003C0842">
        <w:t xml:space="preserve"> rządu, Niemiec w ogóle</w:t>
      </w:r>
      <w:r w:rsidR="00A200B5" w:rsidRPr="003C0842">
        <w:rPr>
          <w:rStyle w:val="Odwoanieprzypisudolnego"/>
          <w:rFonts w:ascii="Times New Roman" w:hAnsi="Times New Roman"/>
          <w:sz w:val="24"/>
        </w:rPr>
        <w:footnoteReference w:id="168"/>
      </w:r>
      <w:r w:rsidR="00A200B5" w:rsidRPr="003C0842">
        <w:t>.</w:t>
      </w:r>
    </w:p>
    <w:p w:rsidR="00534918" w:rsidRPr="003C0842" w:rsidRDefault="00A200B5" w:rsidP="00111348">
      <w:pPr>
        <w:spacing w:line="360" w:lineRule="auto"/>
        <w:ind w:firstLine="709"/>
      </w:pPr>
      <w:r w:rsidRPr="003C0842">
        <w:t xml:space="preserve">Eksponowaną pozycję von Bülowa jako znawcy LN </w:t>
      </w:r>
      <w:r w:rsidR="00534918" w:rsidRPr="003C0842">
        <w:t>po</w:t>
      </w:r>
      <w:r w:rsidRPr="003C0842">
        <w:t>twierdzała ewolucja organizacyjna AA</w:t>
      </w:r>
      <w:r w:rsidR="00534918" w:rsidRPr="003C0842">
        <w:t xml:space="preserve"> i</w:t>
      </w:r>
      <w:r w:rsidRPr="003C0842">
        <w:t xml:space="preserve"> utworzenie w lutym 1923 r. samodzielnego referatu pod nazwą Völkerbund. W gabinecie von Bülowa jako kierownika tego referatu zbiegały się wszystkie sprawy dotyczące Ligi, także podpadające pod kompetencje innych oddziałów AA</w:t>
      </w:r>
      <w:r w:rsidR="00534918" w:rsidRPr="003C0842">
        <w:t>,</w:t>
      </w:r>
      <w:r w:rsidRPr="003C0842">
        <w:t xml:space="preserve"> o ile miały one jakąkolwiek łączność z Genewą. Powodowało to, że zakres spraw rozpatrywanych lub otrzymywanych do wglądu i contre</w:t>
      </w:r>
      <w:r w:rsidR="00C8588F" w:rsidRPr="003C0842">
        <w:t>-</w:t>
      </w:r>
      <w:r w:rsidRPr="003C0842">
        <w:t>asygnaty</w:t>
      </w:r>
      <w:r w:rsidR="00CE5D8C">
        <w:t>[kontrasygnaty</w:t>
      </w:r>
      <w:r w:rsidR="00164234" w:rsidRPr="003C0842">
        <w:rPr>
          <w:b/>
        </w:rPr>
        <w:t>???</w:t>
      </w:r>
      <w:r w:rsidR="00CE5D8C">
        <w:rPr>
          <w:b/>
        </w:rPr>
        <w:t>]</w:t>
      </w:r>
      <w:r w:rsidRPr="003C0842">
        <w:t xml:space="preserve"> był bardzo rozległy. Stopniowo rozrastający się referat Völkerbund, liczący około 10 osób, uznawany był za pracujący bez zarzutu i zaliczany do „najlepiej zorganizowanych oddziałów w Auswärtiges Amt”</w:t>
      </w:r>
      <w:r w:rsidRPr="003C0842">
        <w:rPr>
          <w:rStyle w:val="Odwoanieprzypisudolnego"/>
          <w:rFonts w:ascii="Times New Roman" w:hAnsi="Times New Roman"/>
          <w:sz w:val="24"/>
        </w:rPr>
        <w:footnoteReference w:id="169"/>
      </w:r>
      <w:r w:rsidRPr="003C0842">
        <w:t xml:space="preserve">. </w:t>
      </w:r>
    </w:p>
    <w:p w:rsidR="00A200B5" w:rsidRPr="003C0842" w:rsidRDefault="00A200B5" w:rsidP="00111348">
      <w:pPr>
        <w:spacing w:line="360" w:lineRule="auto"/>
        <w:ind w:firstLine="709"/>
      </w:pPr>
      <w:r w:rsidRPr="003C0842">
        <w:lastRenderedPageBreak/>
        <w:t>Znaczenie ambitnego von Bülowa w AA wynosiła też jego pozycja osobist</w:t>
      </w:r>
      <w:r w:rsidR="00F370AF" w:rsidRPr="003C0842">
        <w:t>a</w:t>
      </w:r>
      <w:r w:rsidRPr="003C0842">
        <w:t xml:space="preserve"> jako wnuka byłego kanclerza i przedstawiciela znamienitego rodu. Jego wieloletnia lojalna współpraca ze Stresemannem, mającym pewien kompleks wobec „starej” ekipy, była sugestią</w:t>
      </w:r>
      <w:r w:rsidR="00E14E20" w:rsidRPr="003C0842">
        <w:t>i</w:t>
      </w:r>
      <w:r w:rsidR="00534918" w:rsidRPr="003C0842">
        <w:t xml:space="preserve"> zachętą </w:t>
      </w:r>
      <w:r w:rsidR="00122B2B" w:rsidRPr="003C0842">
        <w:t xml:space="preserve">dla innych urzędników </w:t>
      </w:r>
      <w:r w:rsidR="00E14E20" w:rsidRPr="003C0842">
        <w:t>resortu</w:t>
      </w:r>
      <w:r w:rsidR="00534918" w:rsidRPr="003C0842">
        <w:t>,</w:t>
      </w:r>
      <w:r w:rsidRPr="003C0842">
        <w:t xml:space="preserve"> mających przed nazwiskiem „von”</w:t>
      </w:r>
      <w:r w:rsidR="00534918" w:rsidRPr="003C0842">
        <w:t>. Wielu z nich</w:t>
      </w:r>
      <w:r w:rsidRPr="003C0842">
        <w:t>rozpoczynało karierę dyplomatyczną przed wojną</w:t>
      </w:r>
      <w:r w:rsidR="00534918" w:rsidRPr="003C0842">
        <w:t>, którą kontynuowali w istotnie zmienionych warunkach ustrojowych po jej zakończeniu</w:t>
      </w:r>
      <w:r w:rsidRPr="003C0842">
        <w:t>. Odnieść to można do wspomnianego już przewodniczącego Deutsche Liga für Völkerbund hr</w:t>
      </w:r>
      <w:r w:rsidR="0092530C" w:rsidRPr="003C0842">
        <w:t>.</w:t>
      </w:r>
      <w:r w:rsidR="00B07869" w:rsidRPr="003C0842">
        <w:t xml:space="preserve">Johanna Heinricha von </w:t>
      </w:r>
      <w:r w:rsidR="00822B88" w:rsidRPr="003C0842">
        <w:t>Bernstorff</w:t>
      </w:r>
      <w:r w:rsidRPr="003C0842">
        <w:t>a</w:t>
      </w:r>
      <w:r w:rsidR="00122B2B" w:rsidRPr="003C0842">
        <w:t>,</w:t>
      </w:r>
      <w:r w:rsidRPr="003C0842">
        <w:t xml:space="preserve"> byłego ambasadora Rzeszy w Waszyngtonie, gdzie znalazł się również von Bülow w charakterze attaché ambasady. W powojennej </w:t>
      </w:r>
      <w:r w:rsidR="00122B2B" w:rsidRPr="003C0842">
        <w:t>rze</w:t>
      </w:r>
      <w:r w:rsidRPr="003C0842">
        <w:t xml:space="preserve">czywistości płaszczyzną </w:t>
      </w:r>
      <w:r w:rsidR="005130AF" w:rsidRPr="003C0842">
        <w:t xml:space="preserve">ich </w:t>
      </w:r>
      <w:r w:rsidRPr="003C0842">
        <w:t>współpracy stał</w:t>
      </w:r>
      <w:r w:rsidR="002B777D" w:rsidRPr="003C0842">
        <w:t xml:space="preserve">y się sprawy dotyczące Ligi. </w:t>
      </w:r>
      <w:r w:rsidR="00C8588F" w:rsidRPr="003C0842">
        <w:t>V</w:t>
      </w:r>
      <w:r w:rsidR="002B777D" w:rsidRPr="003C0842">
        <w:t>on Bülow pozostawał „w najbliższym kontakcie personalnym z hr. Bernstorffem, wzajemnie udzielając sobie rad i pomocy”</w:t>
      </w:r>
      <w:r w:rsidR="002B777D" w:rsidRPr="003C0842">
        <w:rPr>
          <w:rStyle w:val="Odwoanieprzypisudolnego"/>
          <w:rFonts w:ascii="Times New Roman" w:hAnsi="Times New Roman"/>
          <w:sz w:val="24"/>
        </w:rPr>
        <w:footnoteReference w:id="170"/>
      </w:r>
      <w:r w:rsidR="002B777D" w:rsidRPr="003C0842">
        <w:t>. Tym samym AA</w:t>
      </w:r>
      <w:r w:rsidRPr="003C0842">
        <w:t xml:space="preserve">,za pośrednictwem referatu Völkerbund, </w:t>
      </w:r>
      <w:r w:rsidR="002B777D" w:rsidRPr="003C0842">
        <w:t xml:space="preserve">chociaż nie wyłącznie, </w:t>
      </w:r>
      <w:r w:rsidRPr="003C0842">
        <w:t xml:space="preserve">miał </w:t>
      </w:r>
      <w:r w:rsidR="002B777D" w:rsidRPr="003C0842">
        <w:t xml:space="preserve">pełny </w:t>
      </w:r>
      <w:r w:rsidRPr="003C0842">
        <w:t>wgląd w kierunki zaangażowania się stowarzyszenia</w:t>
      </w:r>
      <w:r w:rsidR="002B777D" w:rsidRPr="003C0842">
        <w:t>, moderując aktywność</w:t>
      </w:r>
      <w:r w:rsidR="00F3423A" w:rsidRPr="003C0842">
        <w:t>wspominanych już</w:t>
      </w:r>
      <w:r w:rsidR="002B777D" w:rsidRPr="003C0842">
        <w:t xml:space="preserve"> działaczy pacyfistycznych Walthera Sch</w:t>
      </w:r>
      <w:r w:rsidR="00B35182" w:rsidRPr="003C0842">
        <w:t>ü</w:t>
      </w:r>
      <w:r w:rsidR="002B777D" w:rsidRPr="003C0842">
        <w:t>ck</w:t>
      </w:r>
      <w:r w:rsidR="00F97F2D" w:rsidRPr="003C0842">
        <w:t>inga, Ludwiga Quidde, Helene Stöcker,</w:t>
      </w:r>
      <w:r w:rsidR="00341B02" w:rsidRPr="003C0842">
        <w:t xml:space="preserve"> Helmuta </w:t>
      </w:r>
      <w:r w:rsidR="00F97F2D" w:rsidRPr="003C0842">
        <w:t xml:space="preserve">von Gerlacha </w:t>
      </w:r>
      <w:r w:rsidR="002B777D" w:rsidRPr="003C0842">
        <w:t xml:space="preserve">czy Hansa Wehberga. </w:t>
      </w:r>
    </w:p>
    <w:p w:rsidR="00A200B5" w:rsidRPr="003C0842" w:rsidRDefault="00A200B5" w:rsidP="00111348">
      <w:pPr>
        <w:spacing w:line="360" w:lineRule="auto"/>
        <w:ind w:firstLine="709"/>
      </w:pPr>
      <w:r w:rsidRPr="003C0842">
        <w:t>Pamiętając, że organizacje filoligowe mające swą centralę w Brukseli (U</w:t>
      </w:r>
      <w:r w:rsidR="00122B2B" w:rsidRPr="003C0842">
        <w:t>I</w:t>
      </w:r>
      <w:r w:rsidRPr="003C0842">
        <w:t xml:space="preserve">A) były </w:t>
      </w:r>
      <w:r w:rsidR="00C8588F" w:rsidRPr="003C0842">
        <w:t xml:space="preserve">niespecjalnie </w:t>
      </w:r>
      <w:r w:rsidRPr="003C0842">
        <w:t>kamuflowanymi eksponentami poglądów swoich rządów</w:t>
      </w:r>
      <w:r w:rsidR="00341B02" w:rsidRPr="003C0842">
        <w:t xml:space="preserve">, </w:t>
      </w:r>
      <w:r w:rsidRPr="003C0842">
        <w:t xml:space="preserve">należy wskazać na ów szczególny kontakt w Niemczech. </w:t>
      </w:r>
      <w:r w:rsidR="00F3423A" w:rsidRPr="003C0842">
        <w:t xml:space="preserve">Najsilniejszą pozycję w ruchu niemieckim miała </w:t>
      </w:r>
      <w:r w:rsidR="004F711C" w:rsidRPr="003C0842">
        <w:t>sekcja mniejszościowa, którą kierował</w:t>
      </w:r>
      <w:r w:rsidR="00F3423A" w:rsidRPr="003C0842">
        <w:t xml:space="preserve"> Johannes Tiedje</w:t>
      </w:r>
      <w:r w:rsidR="0092530C" w:rsidRPr="003C0842">
        <w:t>. Majoryzowała ona</w:t>
      </w:r>
      <w:r w:rsidR="004F711C" w:rsidRPr="003C0842">
        <w:t xml:space="preserve"> tak w sensie organizacyjny</w:t>
      </w:r>
      <w:r w:rsidR="00C8588F" w:rsidRPr="003C0842">
        <w:t>m</w:t>
      </w:r>
      <w:r w:rsidR="0092530C" w:rsidRPr="003C0842">
        <w:t>,</w:t>
      </w:r>
      <w:r w:rsidR="004F711C" w:rsidRPr="003C0842">
        <w:t xml:space="preserve"> jak i finansowym pozostałe: społeczno-naukową, pedagogiczną, historyczną oraz prasową</w:t>
      </w:r>
      <w:r w:rsidR="004F711C" w:rsidRPr="003C0842">
        <w:rPr>
          <w:rStyle w:val="Odwoanieprzypisudolnego"/>
          <w:rFonts w:ascii="Times New Roman" w:hAnsi="Times New Roman"/>
          <w:sz w:val="24"/>
        </w:rPr>
        <w:footnoteReference w:id="171"/>
      </w:r>
      <w:r w:rsidR="004F711C" w:rsidRPr="003C0842">
        <w:t>. Ogólny kierunek dzia</w:t>
      </w:r>
      <w:r w:rsidR="00457730" w:rsidRPr="003C0842">
        <w:t>ł</w:t>
      </w:r>
      <w:r w:rsidR="004F711C" w:rsidRPr="003C0842">
        <w:t>a</w:t>
      </w:r>
      <w:r w:rsidR="00457730" w:rsidRPr="003C0842">
        <w:t>l</w:t>
      </w:r>
      <w:r w:rsidR="004F711C" w:rsidRPr="003C0842">
        <w:t xml:space="preserve">ności DLfV </w:t>
      </w:r>
      <w:r w:rsidR="00457730" w:rsidRPr="003C0842">
        <w:t>dobrze ilustruje</w:t>
      </w:r>
      <w:r w:rsidR="004F711C" w:rsidRPr="003C0842">
        <w:t xml:space="preserve"> wypowiedź hr. Bernstorffa w a</w:t>
      </w:r>
      <w:r w:rsidRPr="003C0842">
        <w:t xml:space="preserve">nkiecie </w:t>
      </w:r>
      <w:r w:rsidR="004F711C" w:rsidRPr="003C0842">
        <w:t>opublikowanej</w:t>
      </w:r>
      <w:r w:rsidRPr="003C0842">
        <w:t xml:space="preserve"> w czerwcowym numerze 1923 r. „Friedenswarte” poświęconej wejściu Niemiec do Ligi</w:t>
      </w:r>
      <w:r w:rsidR="004F711C" w:rsidRPr="003C0842">
        <w:t>. Przewodniczący prol</w:t>
      </w:r>
      <w:r w:rsidR="00457730" w:rsidRPr="003C0842">
        <w:t>i</w:t>
      </w:r>
      <w:r w:rsidR="004F711C" w:rsidRPr="003C0842">
        <w:t>gowego ruchu w Niemczech</w:t>
      </w:r>
      <w:r w:rsidRPr="003C0842">
        <w:t xml:space="preserve"> znalazł się wśród osobistości niechętnych dla takiej</w:t>
      </w:r>
      <w:r w:rsidR="00341B02" w:rsidRPr="003C0842">
        <w:t>perspektywy</w:t>
      </w:r>
      <w:r w:rsidR="00457730" w:rsidRPr="003C0842">
        <w:rPr>
          <w:rStyle w:val="Odwoanieprzypisudolnego"/>
          <w:rFonts w:ascii="Times New Roman" w:hAnsi="Times New Roman"/>
          <w:sz w:val="24"/>
        </w:rPr>
        <w:footnoteReference w:id="172"/>
      </w:r>
      <w:r w:rsidRPr="003C0842">
        <w:t xml:space="preserve">. Stanowisko to </w:t>
      </w:r>
      <w:r w:rsidR="00C8588F" w:rsidRPr="003C0842">
        <w:t>zdawało się dziwne</w:t>
      </w:r>
      <w:r w:rsidR="00B91E1F" w:rsidRPr="003C0842">
        <w:t>,</w:t>
      </w:r>
      <w:r w:rsidR="00C8588F" w:rsidRPr="003C0842">
        <w:t xml:space="preserve"> skoro</w:t>
      </w:r>
      <w:r w:rsidR="004F711C" w:rsidRPr="003C0842">
        <w:t>pro</w:t>
      </w:r>
      <w:r w:rsidR="00C8588F" w:rsidRPr="003C0842">
        <w:t>gramowym</w:t>
      </w:r>
      <w:r w:rsidRPr="003C0842">
        <w:t xml:space="preserve"> celem DLfV miało być </w:t>
      </w:r>
      <w:r w:rsidR="008E5160" w:rsidRPr="003C0842">
        <w:t>pokazanie</w:t>
      </w:r>
      <w:r w:rsidR="00C8588F" w:rsidRPr="003C0842">
        <w:t>światu</w:t>
      </w:r>
      <w:r w:rsidRPr="003C0842">
        <w:t>, że Niemc</w:t>
      </w:r>
      <w:r w:rsidR="004F711C" w:rsidRPr="003C0842">
        <w:t>y są</w:t>
      </w:r>
      <w:r w:rsidRPr="003C0842">
        <w:t xml:space="preserve"> pozytywnie </w:t>
      </w:r>
      <w:r w:rsidR="004F711C" w:rsidRPr="003C0842">
        <w:t>usposobieni</w:t>
      </w:r>
      <w:r w:rsidRPr="003C0842">
        <w:t xml:space="preserve"> do programu i działalności Ligi. </w:t>
      </w:r>
      <w:r w:rsidR="00457730" w:rsidRPr="003C0842">
        <w:t>Trzeba</w:t>
      </w:r>
      <w:r w:rsidR="005130AF" w:rsidRPr="003C0842">
        <w:t xml:space="preserve"> przeto</w:t>
      </w:r>
      <w:r w:rsidR="00457730" w:rsidRPr="003C0842">
        <w:t xml:space="preserve">mówić o </w:t>
      </w:r>
      <w:r w:rsidR="005130AF" w:rsidRPr="003C0842">
        <w:t xml:space="preserve">swoistej </w:t>
      </w:r>
      <w:r w:rsidR="00457730" w:rsidRPr="003C0842">
        <w:t>dwoistości postępowania AA, który sankcjonował</w:t>
      </w:r>
      <w:r w:rsidRPr="003C0842">
        <w:t xml:space="preserve"> obecność Niemców w różnych, zwłaszcza humanitarnych inicjatywac</w:t>
      </w:r>
      <w:r w:rsidR="008E5160" w:rsidRPr="003C0842">
        <w:t>h Ligi oraz licznych organizacjach</w:t>
      </w:r>
      <w:r w:rsidRPr="003C0842">
        <w:t xml:space="preserve"> i stowarzysze</w:t>
      </w:r>
      <w:r w:rsidR="008E5160" w:rsidRPr="003C0842">
        <w:t>niach</w:t>
      </w:r>
      <w:r w:rsidRPr="003C0842">
        <w:t xml:space="preserve"> powołujących się na ligową inspirację. Sceptycyzm hr. </w:t>
      </w:r>
      <w:r w:rsidR="00822B88" w:rsidRPr="003C0842">
        <w:t>Bernstorff</w:t>
      </w:r>
      <w:r w:rsidRPr="003C0842">
        <w:t xml:space="preserve">a jako lidera DLfV był tym </w:t>
      </w:r>
      <w:r w:rsidRPr="003C0842">
        <w:lastRenderedPageBreak/>
        <w:t xml:space="preserve">bardziej </w:t>
      </w:r>
      <w:r w:rsidR="00822B88" w:rsidRPr="003C0842">
        <w:t>uderzający</w:t>
      </w:r>
      <w:r w:rsidRPr="003C0842">
        <w:t>, że właśnie od połowy 1923 r. coraz więcej osobistości związanych z polityką i gospodarką angażowało się na rzecz przezwyciężenia kryzysu wewnętrznego i podjęcia międzynarodowego dialogu</w:t>
      </w:r>
      <w:r w:rsidR="00C8588F" w:rsidRPr="003C0842">
        <w:t>, także z wykorzystaniem Genewy</w:t>
      </w:r>
      <w:r w:rsidRPr="003C0842">
        <w:t>.</w:t>
      </w:r>
    </w:p>
    <w:p w:rsidR="00A200B5" w:rsidRPr="003C0842" w:rsidRDefault="00A200B5" w:rsidP="00111348">
      <w:pPr>
        <w:spacing w:line="360" w:lineRule="auto"/>
        <w:ind w:firstLine="709"/>
      </w:pPr>
      <w:r w:rsidRPr="003C0842">
        <w:t>Ten nurt reprezentował poseł do Reichstagu Anton Erkelenz, aktywny</w:t>
      </w:r>
      <w:r w:rsidR="008E5160" w:rsidRPr="003C0842">
        <w:t xml:space="preserve"> w</w:t>
      </w:r>
      <w:r w:rsidRPr="003C0842">
        <w:t xml:space="preserve"> Pokojowym Związku byłych Uczestników Wojny, który na łamach niemiecko-narodowej „Berliner Börsezeitung” 28 lipca 1923 r. wymieniał niektóre dodatnie strony istnienia Ligi. Bez niej najprawdopodobniej Zagłębie Saary i Gdańsk byłyby dla Niemiec stracone. </w:t>
      </w:r>
      <w:r w:rsidR="008E5160" w:rsidRPr="003C0842">
        <w:t>Dlatego</w:t>
      </w:r>
      <w:r w:rsidRPr="003C0842">
        <w:t xml:space="preserve"> należy dążyć aby stała się ona prawdziwą Ligą, a nie tylko instrumentem zwycięzców. Może się to dokonać przez wstąpienie do niej Niemiec i Rosji. Będzie to też krok wymierzony w dyplomację francuską, która dąży do zapanowania nad Renem, chociaż </w:t>
      </w:r>
      <w:r w:rsidR="00341B02" w:rsidRPr="003C0842">
        <w:t xml:space="preserve">kamufluje to </w:t>
      </w:r>
      <w:r w:rsidRPr="003C0842">
        <w:t>żądaniami dot</w:t>
      </w:r>
      <w:r w:rsidR="008E5160" w:rsidRPr="003C0842">
        <w:t>yczącymi</w:t>
      </w:r>
      <w:r w:rsidRPr="003C0842">
        <w:t xml:space="preserve"> reparacji. Podkreślano</w:t>
      </w:r>
      <w:r w:rsidR="008E5160" w:rsidRPr="003C0842">
        <w:t xml:space="preserve"> też</w:t>
      </w:r>
      <w:r w:rsidRPr="003C0842">
        <w:t>, że apetytom francuskim przeciwdziałają niektóre koła brytyjskie proponujące internacjonalizację Nadrenii pod nadzorem Ligi. Chcąc temu zapobiec muszą Niemcy znaleźć się w Lidze.</w:t>
      </w:r>
    </w:p>
    <w:p w:rsidR="00BD56B3" w:rsidRDefault="00A200B5" w:rsidP="00111348">
      <w:pPr>
        <w:spacing w:line="360" w:lineRule="auto"/>
        <w:ind w:firstLine="709"/>
      </w:pPr>
      <w:r w:rsidRPr="003C0842">
        <w:t>Podobna argumentacja pojawiała się podczas organizowanych wieców. Na jednym z nich zwołanym przez niemieckich pacyfistów do sali filharmonii w Berlinie 17 lipca 1923 r. zasadnicze przemówienie wygłosił Hans Simons, sekretarz generalny DLfV, który rozwijał myśl dotyczącą anglofilskiej polityki niemieckiej. Nakazy płynące z tych relacji sprowadził mówca do konieczności włączenia się Niemiec do Ligi, gdzie można będzie prowadzić bardziej aktywną politykę międzynarodową. Przewodniczący wiecu Helmut von Gerlach odczytał zebranym telegram sławnego Nansena doradzający Niemcom przyłączenie się do instytucji genewskiej</w:t>
      </w:r>
      <w:r w:rsidRPr="003C0842">
        <w:rPr>
          <w:rStyle w:val="Odwoanieprzypisudolnego"/>
          <w:rFonts w:ascii="Times New Roman" w:hAnsi="Times New Roman"/>
          <w:sz w:val="24"/>
        </w:rPr>
        <w:footnoteReference w:id="173"/>
      </w:r>
      <w:r w:rsidRPr="003C0842">
        <w:t>.</w:t>
      </w:r>
    </w:p>
    <w:p w:rsidR="00A200B5" w:rsidRPr="003C0842" w:rsidRDefault="00A200B5" w:rsidP="00111348">
      <w:pPr>
        <w:spacing w:line="360" w:lineRule="auto"/>
        <w:ind w:firstLine="709"/>
      </w:pPr>
      <w:r w:rsidRPr="003C0842">
        <w:t>Finałem tej i podobnych manifestacji były przejmowane przez aklamację rezolucje domagające się od rządu podjęcia kroków w sprawie niemieckiej akcesji. Wypowiedzi oraz prowadzona propaganda prasowa i radiowa podkreślały przede wszystkim korzyści</w:t>
      </w:r>
      <w:r w:rsidR="0092530C" w:rsidRPr="003C0842">
        <w:t>,</w:t>
      </w:r>
      <w:r w:rsidRPr="003C0842">
        <w:t xml:space="preserve"> jakie łączą się z samym faktem znalezienia się Niemiec w Genewie. Otwierała się bowiem możliwość ukazania światu problemów</w:t>
      </w:r>
      <w:r w:rsidR="0092530C" w:rsidRPr="003C0842">
        <w:t>,</w:t>
      </w:r>
      <w:r w:rsidRPr="003C0842">
        <w:t xml:space="preserve"> z jakimi borykają się Niemcy w wyniku narzuconego traktatu wersalskiego, który będzie można zmienić tylko poszukując porozumienia. Szczególnie ważne było znalezienie płaszczyzny dialogu z pozostałymi mocarstwami, z którymi politycy niemieccy będą mogli negocjować na równościowej podstawie w Radzie LN, jako jeden ze stałych jej członków. Problem uzyskania stałego miejsca w Radzie narzucał się jako oczywisty, zważywszy na obecność w tym ważnym gremium Włoch, państwa traktowanego w Berlinie (chociaż nie tylko) z lekceważącą wyniosłością. </w:t>
      </w:r>
    </w:p>
    <w:p w:rsidR="0093340A" w:rsidRPr="003C0842" w:rsidRDefault="00A200B5" w:rsidP="00111348">
      <w:pPr>
        <w:spacing w:line="360" w:lineRule="auto"/>
        <w:ind w:firstLine="709"/>
      </w:pPr>
      <w:r w:rsidRPr="003C0842">
        <w:lastRenderedPageBreak/>
        <w:t>Wśród ogólnych korzyści podkreślanych przez zwolenników wstąpienia Niemiec do Ligi wymieniano obietnice najważniejszych polityków związanych z organizacją genewską, że nie będzie się od nich wymagało ponownego uznania zobowiązań wynikających z traktatu wersalskiego. Było to bardzo istotne</w:t>
      </w:r>
      <w:r w:rsidR="008E5160" w:rsidRPr="003C0842">
        <w:t>,</w:t>
      </w:r>
      <w:r w:rsidRPr="003C0842">
        <w:t xml:space="preserve"> bowiem pójście w tym wypadku t</w:t>
      </w:r>
      <w:r w:rsidR="00822B88" w:rsidRPr="003C0842">
        <w:t>o</w:t>
      </w:r>
      <w:r w:rsidRPr="003C0842">
        <w:t>r</w:t>
      </w:r>
      <w:r w:rsidR="00822B88" w:rsidRPr="003C0842">
        <w:t>em</w:t>
      </w:r>
      <w:r w:rsidRPr="003C0842">
        <w:t xml:space="preserve"> wyznaczonym przez akcesję węgierską byłoby równoznaczne z rezygnacją z zastrzeżeń prawnych wobec traktatu pokojowego. Dla ogromnej większości Niemców zawarte w tym dokumencie</w:t>
      </w:r>
      <w:r w:rsidR="0093340A" w:rsidRPr="003C0842">
        <w:t xml:space="preserve"> postanowienia, w trym zwłaszcza </w:t>
      </w:r>
      <w:r w:rsidRPr="003C0842">
        <w:t>stwierdzenie o ich wyłącznej odpowiedzialności za wojnę</w:t>
      </w:r>
      <w:r w:rsidR="0093340A" w:rsidRPr="003C0842">
        <w:t>,</w:t>
      </w:r>
      <w:r w:rsidRPr="003C0842">
        <w:t xml:space="preserve"> było piekącą raną rozdrapywaną przez prasę nacjonalistyczną (niemiecko-ludową i niemiecko-narodową), która była zasadniczo wroga nie tylko obecności Niemców w Lidze, ale </w:t>
      </w:r>
      <w:r w:rsidR="0093340A" w:rsidRPr="003C0842">
        <w:t xml:space="preserve">jej </w:t>
      </w:r>
      <w:r w:rsidRPr="003C0842">
        <w:t xml:space="preserve">w ogóle. Sekundowały im wpływowe kręgi identyfikujące się z militaryzmem uosabianym przez otoczenie marszałka Hindenburga, środowiska dotknięte w mocarstwowej, wielkogermańskiej dumie, </w:t>
      </w:r>
      <w:r w:rsidR="0093340A" w:rsidRPr="003C0842">
        <w:t xml:space="preserve">wszystkie, które </w:t>
      </w:r>
      <w:r w:rsidRPr="003C0842">
        <w:t>odrzuca</w:t>
      </w:r>
      <w:r w:rsidR="0093340A" w:rsidRPr="003C0842">
        <w:t xml:space="preserve">ły </w:t>
      </w:r>
      <w:r w:rsidRPr="003C0842">
        <w:t xml:space="preserve">zarówno nowy porządek europejski jak i światowy. Środowiska te, podobnie zresztą jak </w:t>
      </w:r>
      <w:r w:rsidR="00B91E1F" w:rsidRPr="003C0842">
        <w:t>nacjonaliś</w:t>
      </w:r>
      <w:r w:rsidR="0093340A" w:rsidRPr="003C0842">
        <w:t>ci</w:t>
      </w:r>
      <w:r w:rsidRPr="003C0842">
        <w:t xml:space="preserve"> w innych państwach oczekiwały, że Genewa da dowody swej woli</w:t>
      </w:r>
      <w:r w:rsidR="0092530C" w:rsidRPr="003C0842">
        <w:t>,</w:t>
      </w:r>
      <w:r w:rsidRPr="003C0842">
        <w:t xml:space="preserve"> dokonując rekonstrukcji powojennego porządku zgodnie z ich oczekiwaniami. </w:t>
      </w:r>
    </w:p>
    <w:p w:rsidR="00A200B5" w:rsidRPr="003C0842" w:rsidRDefault="00A200B5" w:rsidP="00111348">
      <w:pPr>
        <w:spacing w:line="360" w:lineRule="auto"/>
        <w:ind w:firstLine="709"/>
      </w:pPr>
      <w:r w:rsidRPr="003C0842">
        <w:t xml:space="preserve">Po stronie niemieckiej </w:t>
      </w:r>
      <w:r w:rsidR="008E5160" w:rsidRPr="003C0842">
        <w:t xml:space="preserve">owych oczekiwań </w:t>
      </w:r>
      <w:r w:rsidRPr="003C0842">
        <w:t xml:space="preserve">było wyjątkowo dużo. </w:t>
      </w:r>
      <w:r w:rsidR="0093340A" w:rsidRPr="003C0842">
        <w:t>W</w:t>
      </w:r>
      <w:r w:rsidRPr="003C0842">
        <w:t xml:space="preserve">szystkie lub prawie wszystkie, </w:t>
      </w:r>
      <w:r w:rsidR="0093340A" w:rsidRPr="003C0842">
        <w:t>zawierały</w:t>
      </w:r>
      <w:r w:rsidRPr="003C0842">
        <w:t xml:space="preserve"> w sobie zarzewie konfliktu czy to z wielkimi twórcami systemu wersalsko-waszyngtońskiego</w:t>
      </w:r>
      <w:r w:rsidR="0092530C" w:rsidRPr="003C0842">
        <w:t>,</w:t>
      </w:r>
      <w:r w:rsidRPr="003C0842">
        <w:t xml:space="preserve"> czy też średnimi i mniejszymi państwami obozu zwycięzców. W zależności od czasu, miejsca, orientacji politycznej organizatoró</w:t>
      </w:r>
      <w:r w:rsidR="0092530C" w:rsidRPr="003C0842">
        <w:t>w wieców lub</w:t>
      </w:r>
      <w:r w:rsidRPr="003C0842">
        <w:t xml:space="preserve"> autorów artykułów prasowych</w:t>
      </w:r>
      <w:r w:rsidR="0093340A" w:rsidRPr="003C0842">
        <w:t>,</w:t>
      </w:r>
      <w:r w:rsidRPr="003C0842">
        <w:t xml:space="preserve"> eksploatowano krzywdy niemieckie, żądając, domagając się, oczekując, </w:t>
      </w:r>
      <w:r w:rsidR="0093340A" w:rsidRPr="003C0842">
        <w:t>nieraz</w:t>
      </w:r>
      <w:r w:rsidRPr="003C0842">
        <w:t xml:space="preserve"> prosząc </w:t>
      </w:r>
      <w:r w:rsidR="0093340A" w:rsidRPr="003C0842">
        <w:t xml:space="preserve">o zmiany, </w:t>
      </w:r>
      <w:r w:rsidRPr="003C0842">
        <w:t>p</w:t>
      </w:r>
      <w:r w:rsidR="0093340A" w:rsidRPr="003C0842">
        <w:t>op</w:t>
      </w:r>
      <w:r w:rsidRPr="003C0842">
        <w:t>raw</w:t>
      </w:r>
      <w:r w:rsidR="0093340A" w:rsidRPr="003C0842">
        <w:t>ę</w:t>
      </w:r>
      <w:r w:rsidRPr="003C0842">
        <w:t xml:space="preserve"> swej sytuacji </w:t>
      </w:r>
      <w:r w:rsidR="0093340A" w:rsidRPr="003C0842">
        <w:t>poprzez</w:t>
      </w:r>
      <w:r w:rsidRPr="003C0842">
        <w:t>likwidacj</w:t>
      </w:r>
      <w:r w:rsidR="0093340A" w:rsidRPr="003C0842">
        <w:t>ę</w:t>
      </w:r>
      <w:r w:rsidRPr="003C0842">
        <w:t>niesprawiedliwości. Nie jest błędem stwierdzenie, że w sensie społecznym wszyscy Niemcy, nawet zdeterminowani zwolennicy wstąpienia do Ligi jak socjaldemokraci</w:t>
      </w:r>
      <w:r w:rsidRPr="003C0842">
        <w:rPr>
          <w:rStyle w:val="Odwoanieprzypisudolnego"/>
          <w:rFonts w:ascii="Times New Roman" w:hAnsi="Times New Roman"/>
          <w:sz w:val="24"/>
        </w:rPr>
        <w:footnoteReference w:id="174"/>
      </w:r>
      <w:r w:rsidRPr="003C0842">
        <w:t>, demokraci i częściowo lewicowo zorientowani centryści nie zapominali o Revision der Versailler Vertrages</w:t>
      </w:r>
      <w:r w:rsidR="006A49D1" w:rsidRPr="003C0842">
        <w:t>.</w:t>
      </w:r>
    </w:p>
    <w:p w:rsidR="00A200B5" w:rsidRPr="003C0842" w:rsidRDefault="00A200B5" w:rsidP="00111348">
      <w:pPr>
        <w:spacing w:line="360" w:lineRule="auto"/>
        <w:ind w:firstLine="709"/>
      </w:pPr>
    </w:p>
    <w:p w:rsidR="00A200B5" w:rsidRPr="003C0842" w:rsidRDefault="00955627" w:rsidP="00111348">
      <w:pPr>
        <w:spacing w:line="360" w:lineRule="auto"/>
        <w:ind w:firstLine="0"/>
        <w:outlineLvl w:val="0"/>
        <w:rPr>
          <w:b/>
        </w:rPr>
      </w:pPr>
      <w:r w:rsidRPr="003C0842">
        <w:rPr>
          <w:b/>
        </w:rPr>
        <w:t>2</w:t>
      </w:r>
      <w:r w:rsidR="00A200B5" w:rsidRPr="003C0842">
        <w:rPr>
          <w:b/>
        </w:rPr>
        <w:t>. Przełom 1923/1924</w:t>
      </w:r>
    </w:p>
    <w:p w:rsidR="00A200B5" w:rsidRPr="003C0842" w:rsidRDefault="00A200B5" w:rsidP="00111348">
      <w:pPr>
        <w:spacing w:line="360" w:lineRule="auto"/>
        <w:ind w:firstLine="709"/>
      </w:pPr>
    </w:p>
    <w:p w:rsidR="00BD56B3" w:rsidRDefault="00A200B5" w:rsidP="00111348">
      <w:pPr>
        <w:spacing w:line="360" w:lineRule="auto"/>
        <w:ind w:firstLine="709"/>
      </w:pPr>
      <w:r w:rsidRPr="003C0842">
        <w:lastRenderedPageBreak/>
        <w:t>Startowi Ligi Narodów do międzynarodowego bytu towarzyszył dominujący głównie w Europie wzrost nadziei na pozytywną ewolucję stosunków międzypaństwowych. Wśród najważniejszych elementów tej nadziei było odmieniane w różnych wersjach rozbrojenie. Ogromny wpływ na rozprzestrzenianie się rozbrojeniowej filozofii (de facto frazeologii) miała amerykańsko-rosyjska rywalizacja zmierzająca do przypisania sobie szczególnych zasług w budowie nowego, pokojowego świata. Traktaty pokojowe wymusiły faktyczne rozbrojenie pokonanych</w:t>
      </w:r>
      <w:r w:rsidR="00A04F0D" w:rsidRPr="003C0842">
        <w:t>,</w:t>
      </w:r>
      <w:r w:rsidRPr="003C0842">
        <w:t xml:space="preserve"> „aby umożliwić przygotowanie ogólnego ograniczenia zbrojeń wszystkich narodów”. </w:t>
      </w:r>
      <w:r w:rsidR="005130AF" w:rsidRPr="003C0842">
        <w:t>Decyzja ta, bardzo nagłaśniana</w:t>
      </w:r>
      <w:r w:rsidRPr="003C0842">
        <w:t xml:space="preserve"> we wszystkich państwach</w:t>
      </w:r>
      <w:r w:rsidR="005130AF" w:rsidRPr="003C0842">
        <w:t>,</w:t>
      </w:r>
      <w:r w:rsidRPr="003C0842">
        <w:t xml:space="preserve"> wywoływał</w:t>
      </w:r>
      <w:r w:rsidR="005130AF" w:rsidRPr="003C0842">
        <w:t>a</w:t>
      </w:r>
      <w:r w:rsidRPr="003C0842">
        <w:t xml:space="preserve"> generalny zachwyt</w:t>
      </w:r>
      <w:r w:rsidR="005130AF" w:rsidRPr="003C0842">
        <w:t>,</w:t>
      </w:r>
      <w:r w:rsidRPr="003C0842">
        <w:t xml:space="preserve"> kładąc podwaliny pod rozwój nowych dążeń ze zbiorowym bezpieczeństwem na czele. To ono, wespół z rozbrojeniem (faktycznie ograniczeniem lub redukcją zbrojeń)</w:t>
      </w:r>
      <w:r w:rsidR="00346AF2" w:rsidRPr="003C0842">
        <w:t>,</w:t>
      </w:r>
      <w:r w:rsidRPr="003C0842">
        <w:t xml:space="preserve"> stało się szczególnie eksponowan</w:t>
      </w:r>
      <w:r w:rsidR="00346AF2" w:rsidRPr="003C0842">
        <w:t>ym fragmentem</w:t>
      </w:r>
      <w:r w:rsidRPr="003C0842">
        <w:t xml:space="preserve"> aktywności Ligi.</w:t>
      </w:r>
    </w:p>
    <w:p w:rsidR="004615DD" w:rsidRPr="003C0842" w:rsidRDefault="00A200B5" w:rsidP="00111348">
      <w:pPr>
        <w:spacing w:line="360" w:lineRule="auto"/>
        <w:ind w:firstLine="709"/>
      </w:pPr>
      <w:r w:rsidRPr="003C0842">
        <w:t>Rychło okazało się, że wypełnienie realną treścią ogólnych sugestii traktatów pokojowych w zakresie rozbrojenia, podobnie jak zobowiązań z art. 8 i 9 Paktu</w:t>
      </w:r>
      <w:r w:rsidR="00346AF2" w:rsidRPr="003C0842">
        <w:t>,</w:t>
      </w:r>
      <w:r w:rsidRPr="003C0842">
        <w:t xml:space="preserve"> napotyka różne, niemożliwe do przezwyciężenia przeszkody. Odmienne spojrzenia na ten sam problem obowiązywał tak „wielkich” jak i „małych”. Jeśli politycy (wojskowi, publicyści etc.) mówili o rozbrojeniu</w:t>
      </w:r>
      <w:r w:rsidR="00A04F0D" w:rsidRPr="003C0842">
        <w:t>,</w:t>
      </w:r>
      <w:r w:rsidRPr="003C0842">
        <w:t xml:space="preserve"> to wskazywali na sąsiadów, jeśli zaś o bezpieczeństwie</w:t>
      </w:r>
      <w:r w:rsidR="00A04F0D" w:rsidRPr="003C0842">
        <w:t>,</w:t>
      </w:r>
      <w:r w:rsidRPr="003C0842">
        <w:t xml:space="preserve"> to </w:t>
      </w:r>
      <w:r w:rsidR="00346AF2" w:rsidRPr="003C0842">
        <w:t>po</w:t>
      </w:r>
      <w:r w:rsidRPr="003C0842">
        <w:t>kazywali sytuację swojego kraju. Dotyczyło to także tzw. rozbrojenia moralnego, które pojawiło się na konferencji waszyngtońskiej</w:t>
      </w:r>
      <w:r w:rsidR="00043CB1" w:rsidRPr="003C0842">
        <w:t xml:space="preserve"> 1921/1922 r. za sprawą Aristide’a</w:t>
      </w:r>
      <w:r w:rsidRPr="003C0842">
        <w:t xml:space="preserve"> Brianda. Francja żądała wyeliminowania programów i haseł odwetowych, rewanżystowskich królujących w polityce i publicystyce niemieckiej, które zatruwają stosunki między państwami i blokują wszelkie rozmowy rozbrojeniowe. III Zgromadzenie 27 września 1922 r. przyjęło nawet specjalną rezolucję wskazującą, że rozbrojenie materialne może się dokonać w atmosferze pełnego zaufania i bezpieczeństwa będącego efektem rozbrojenia moralnego</w:t>
      </w:r>
      <w:r w:rsidRPr="003C0842">
        <w:rPr>
          <w:rStyle w:val="Odwoanieprzypisudolnego"/>
          <w:rFonts w:ascii="Times New Roman" w:hAnsi="Times New Roman"/>
          <w:sz w:val="24"/>
        </w:rPr>
        <w:footnoteReference w:id="175"/>
      </w:r>
      <w:r w:rsidRPr="003C0842">
        <w:t xml:space="preserve">. </w:t>
      </w:r>
    </w:p>
    <w:p w:rsidR="00A200B5" w:rsidRPr="003C0842" w:rsidRDefault="00A200B5" w:rsidP="00111348">
      <w:pPr>
        <w:spacing w:line="360" w:lineRule="auto"/>
        <w:ind w:firstLine="709"/>
      </w:pPr>
      <w:r w:rsidRPr="003C0842">
        <w:t xml:space="preserve">Jednocześnie pod naporem entuzjastów rozbrojenia oraz propagandy państw rozbrojonych rozpoczęły się rozmowy nad traktatem o wzajemnej pomocy, który znalazł pozytywny wyraz w głosowaniu kolejnego Zgromadzenia 29 września 1923 r. W dokumencie tym uznano wojnę zaczepną za przestępstwo międzynarodowe. Obecne na IV Zgromadzeniu państwa zobowiązały się, że nie staną się „winnymi tego przestępstwa”. Entuzjazm towarzyszący tym wydarzeniom był jednak przedwczesny. Proces ratyfikacyjny przebiegał powoli, w atmosferze wątpliwości i zastrzeżeń. Objęły one kilka, ale bardzo istotnych dla </w:t>
      </w:r>
      <w:r w:rsidRPr="003C0842">
        <w:lastRenderedPageBreak/>
        <w:t>całej konstrukcji państw</w:t>
      </w:r>
      <w:r w:rsidR="00A04F0D" w:rsidRPr="003C0842">
        <w:t>,</w:t>
      </w:r>
      <w:r w:rsidRPr="003C0842">
        <w:t xml:space="preserve"> jak Wielka Brytania, ZSRR i Stany Zjednoczone. Los traktatu został przesądzony w sensie negatywnym już wiosną 1924 r.</w:t>
      </w:r>
      <w:r w:rsidRPr="003C0842">
        <w:rPr>
          <w:rStyle w:val="Odwoanieprzypisudolnego"/>
          <w:rFonts w:ascii="Times New Roman" w:hAnsi="Times New Roman"/>
          <w:sz w:val="24"/>
        </w:rPr>
        <w:footnoteReference w:id="176"/>
      </w:r>
    </w:p>
    <w:p w:rsidR="00A200B5" w:rsidRPr="003C0842" w:rsidRDefault="00A200B5" w:rsidP="00111348">
      <w:pPr>
        <w:spacing w:line="360" w:lineRule="auto"/>
        <w:ind w:firstLine="709"/>
      </w:pPr>
      <w:r w:rsidRPr="003C0842">
        <w:t>Było to niepowodzenie, o którym sporo mówiono podczas kampanii wyborczej w dwóch głównych państwach Ligi. Zarówno w Wielkiej Brytanii (styczeń 1924 r.)</w:t>
      </w:r>
      <w:r w:rsidR="00A04F0D" w:rsidRPr="003C0842">
        <w:t>,</w:t>
      </w:r>
      <w:r w:rsidRPr="003C0842">
        <w:t xml:space="preserve"> jak i Francji (maj 1924 r.) do władzy doszły ugrupowania lewicowo-centrowe, które głosiły program uniwersalności Ligi. Zwycięzcy wskazywali zarazem, w mniej lub bardziej dosadnych słowach</w:t>
      </w:r>
      <w:r w:rsidR="004615DD" w:rsidRPr="003C0842">
        <w:t>,</w:t>
      </w:r>
      <w:r w:rsidRPr="003C0842">
        <w:t xml:space="preserve"> na potrzebę zmiany polityki wobec Niemiec</w:t>
      </w:r>
      <w:r w:rsidR="00164234" w:rsidRPr="003C0842">
        <w:t>–</w:t>
      </w:r>
      <w:r w:rsidRPr="003C0842">
        <w:t xml:space="preserve"> wskazywano na szkody polityczne</w:t>
      </w:r>
      <w:r w:rsidR="00A04F0D" w:rsidRPr="003C0842">
        <w:t>,a</w:t>
      </w:r>
      <w:r w:rsidRPr="003C0842">
        <w:t xml:space="preserve"> zwłaszcza gospodarcze. Faktyczne niepowodzenie okupacji Zagłębia Ruhry sugerowało Francuzom wyższość polityki brytyjskiej wskazującej na konieczność uwzględnienia obiektywnych możliwości</w:t>
      </w:r>
      <w:r w:rsidR="005130AF" w:rsidRPr="003C0842">
        <w:t xml:space="preserve"> płatniczych</w:t>
      </w:r>
      <w:r w:rsidRPr="003C0842">
        <w:t xml:space="preserve"> Niemiec. Wzmacniało to jednocześnie aktywność brytyjską w poszukiwaniu francusko-niemieckiego modus vivendi, do którego parły także Stany Zjednoczone. W silnie podkreślanym izolacjonizmie amerykańskim wobec spraw politycznych Europy było bowiem miejsce na traktowanie Wielkiej Brytanii jako reprezentanta i eksponenta interesów Waszyngtonu, jego widzenia problemów wymiaru interkontynentalnego</w:t>
      </w:r>
      <w:r w:rsidR="00C5359A" w:rsidRPr="003C0842">
        <w:t>.</w:t>
      </w:r>
      <w:r w:rsidRPr="003C0842">
        <w:t xml:space="preserve"> Wpisywanie spraw europejskich w globalną taktykę i strategię wzmagały naturalną bliskość obu państw anglosaskich, dla których kontynent europejski był ważnym, ale jednym z kilku obszarów wymagających uwagi.</w:t>
      </w:r>
    </w:p>
    <w:p w:rsidR="00814186" w:rsidRPr="003C0842" w:rsidRDefault="00A200B5" w:rsidP="00111348">
      <w:pPr>
        <w:spacing w:line="360" w:lineRule="auto"/>
        <w:ind w:firstLine="709"/>
      </w:pPr>
      <w:r w:rsidRPr="003C0842">
        <w:t>W skomplikowanych warunkach społeczno-polityczno-gospodarczych lat powojennych owa wspólnota interesów znalazła swój wyraz w narodzinach tzw. plan</w:t>
      </w:r>
      <w:r w:rsidR="00635E04" w:rsidRPr="003C0842">
        <w:t>u</w:t>
      </w:r>
      <w:r w:rsidRPr="003C0842">
        <w:t xml:space="preserve"> Dawesa. Zakotwiczone w światowej literaturze rozwiązanie </w:t>
      </w:r>
      <w:r w:rsidR="006333D9" w:rsidRPr="003C0842">
        <w:t>łączące</w:t>
      </w:r>
      <w:r w:rsidRPr="003C0842">
        <w:t xml:space="preserve"> reparacje i długi wojenne to jeden z kluczowych momentów międzywojennej historii, z poważnie zaznaczonym, acz nie eksponowanym wpływem nowojorskiej Wall Street i londyńskiego City. W kryzysowych momentach negocjacji nie stroniły one od groźby bojkotu poprzez blokadę dopływu kapitałów</w:t>
      </w:r>
      <w:r w:rsidRPr="003C0842">
        <w:rPr>
          <w:rStyle w:val="Odwoanieprzypisudolnego"/>
          <w:rFonts w:ascii="Times New Roman" w:hAnsi="Times New Roman"/>
          <w:sz w:val="24"/>
        </w:rPr>
        <w:footnoteReference w:id="177"/>
      </w:r>
      <w:r w:rsidRPr="003C0842">
        <w:t xml:space="preserve">. Firmowany przez amerykańskiego finansistę i generała plan to przykład zwycięstwa ekonomii nad polityką. </w:t>
      </w:r>
      <w:r w:rsidR="006333D9" w:rsidRPr="003C0842">
        <w:t xml:space="preserve">Do „dyplomacji dolarowej” </w:t>
      </w:r>
      <w:r w:rsidR="00814186" w:rsidRPr="003C0842">
        <w:t>sięgała</w:t>
      </w:r>
      <w:r w:rsidR="006333D9" w:rsidRPr="003C0842">
        <w:t xml:space="preserve"> najpotężniejsza wówczas gospodarka świata, będąca na fali wznoszącej</w:t>
      </w:r>
      <w:r w:rsidR="00814186" w:rsidRPr="003C0842">
        <w:t>. Dochód narodowy USA był równy sumie 20 państw europejskich z Anglią i Francją.</w:t>
      </w:r>
    </w:p>
    <w:p w:rsidR="00EF70C7" w:rsidRPr="003C0842" w:rsidRDefault="00814186" w:rsidP="00EF70C7">
      <w:pPr>
        <w:spacing w:line="360" w:lineRule="auto"/>
        <w:ind w:firstLine="709"/>
      </w:pPr>
      <w:r w:rsidRPr="003C0842">
        <w:t>R</w:t>
      </w:r>
      <w:r w:rsidR="00A200B5" w:rsidRPr="003C0842">
        <w:t xml:space="preserve">ipostą na </w:t>
      </w:r>
      <w:r w:rsidR="00635E04" w:rsidRPr="003C0842">
        <w:t xml:space="preserve">francuską </w:t>
      </w:r>
      <w:r w:rsidR="00A200B5" w:rsidRPr="003C0842">
        <w:t>okupację Zagłębia Ruhry</w:t>
      </w:r>
      <w:r w:rsidRPr="003C0842">
        <w:t xml:space="preserve"> ze strony </w:t>
      </w:r>
      <w:r w:rsidR="00A200B5" w:rsidRPr="003C0842">
        <w:t xml:space="preserve">było zawarcie 19 stycznia 1923 r. </w:t>
      </w:r>
      <w:r w:rsidR="00635E04" w:rsidRPr="003C0842">
        <w:t xml:space="preserve">przez Stany Zjednoczone i Wielką Brytanię </w:t>
      </w:r>
      <w:r w:rsidR="00A200B5" w:rsidRPr="003C0842">
        <w:t xml:space="preserve">umowy określającej ich wzajemne zobowiązania. </w:t>
      </w:r>
      <w:r w:rsidR="00635E04" w:rsidRPr="003C0842">
        <w:t xml:space="preserve">Porozumienie do przyczyniło się do zelżenia nieustępliwego dotąd stanowiska </w:t>
      </w:r>
      <w:r w:rsidR="00A200B5" w:rsidRPr="003C0842">
        <w:lastRenderedPageBreak/>
        <w:t xml:space="preserve">rządu </w:t>
      </w:r>
      <w:r w:rsidR="00A04F0D" w:rsidRPr="003C0842">
        <w:t xml:space="preserve">Raymonda </w:t>
      </w:r>
      <w:r w:rsidR="00A200B5" w:rsidRPr="003C0842">
        <w:t>Poincar</w:t>
      </w:r>
      <w:r w:rsidR="00A04F0D" w:rsidRPr="003C0842">
        <w:t>é</w:t>
      </w:r>
      <w:r w:rsidR="00A200B5" w:rsidRPr="003C0842">
        <w:t>go, popieranego zresztą przez ogół Francuzów</w:t>
      </w:r>
      <w:r w:rsidR="00635E04" w:rsidRPr="003C0842">
        <w:t>, mimo wszystko</w:t>
      </w:r>
      <w:r w:rsidR="00A200B5" w:rsidRPr="003C0842">
        <w:t xml:space="preserve"> przekonanych, żejednak </w:t>
      </w:r>
      <w:r w:rsidR="00C5359A" w:rsidRPr="003C0842">
        <w:t>per saldo</w:t>
      </w:r>
      <w:r w:rsidR="00A200B5" w:rsidRPr="003C0842">
        <w:t xml:space="preserve"> „Szwab</w:t>
      </w:r>
      <w:r w:rsidR="00C5359A" w:rsidRPr="003C0842">
        <w:t>” za wszystko</w:t>
      </w:r>
      <w:r w:rsidR="00A200B5" w:rsidRPr="003C0842">
        <w:t xml:space="preserve"> zapłaci. </w:t>
      </w:r>
      <w:r w:rsidR="00EF70C7" w:rsidRPr="003C0842">
        <w:t xml:space="preserve">Do uregulowania mieli Francuzi sporo: 2950 mln dolarów długu wobec USA i 2500 mln dolarów wobec Wielkiej Brytanii, w sytuacji dekoniunktury, co dokumentował spadek wartości franka w 1923 r. o 40%, a na początku 1924 r. o dalsze 20%. </w:t>
      </w:r>
    </w:p>
    <w:p w:rsidR="002D668D" w:rsidRPr="003C0842" w:rsidRDefault="00EF70C7" w:rsidP="00111348">
      <w:pPr>
        <w:spacing w:line="360" w:lineRule="auto"/>
        <w:ind w:firstLine="709"/>
      </w:pPr>
      <w:r w:rsidRPr="003C0842">
        <w:t>P</w:t>
      </w:r>
      <w:r w:rsidR="00635E04" w:rsidRPr="003C0842">
        <w:t>onawianym sugestiom i n</w:t>
      </w:r>
      <w:r w:rsidR="00A200B5" w:rsidRPr="003C0842">
        <w:t>aciskom Londynu i Waszyngtonu w sukurs pośpieszył Berlin</w:t>
      </w:r>
      <w:r w:rsidR="00A04F0D" w:rsidRPr="003C0842">
        <w:t>,</w:t>
      </w:r>
      <w:r w:rsidR="00A200B5" w:rsidRPr="003C0842">
        <w:t xml:space="preserve"> gdzie 27 września 1923 r. ogłoszono rezygnację z biernego oporu. </w:t>
      </w:r>
      <w:r w:rsidR="00635E04" w:rsidRPr="003C0842">
        <w:t>Zaapelowano też</w:t>
      </w:r>
      <w:r w:rsidR="00A200B5" w:rsidRPr="003C0842">
        <w:t xml:space="preserve"> do Stanów Zjednoczonych o inicjatywę powołania komisji ekspertów</w:t>
      </w:r>
      <w:r w:rsidR="00635E04" w:rsidRPr="003C0842">
        <w:t xml:space="preserve"> dla</w:t>
      </w:r>
      <w:r w:rsidR="00A200B5" w:rsidRPr="003C0842">
        <w:t xml:space="preserve"> omówienia sposobów </w:t>
      </w:r>
      <w:r w:rsidR="00635E04" w:rsidRPr="003C0842">
        <w:t>wyjścia z impasu</w:t>
      </w:r>
      <w:r w:rsidR="00A200B5" w:rsidRPr="003C0842">
        <w:t xml:space="preserve">. </w:t>
      </w:r>
      <w:r w:rsidR="00635E04" w:rsidRPr="003C0842">
        <w:t>Do spotkania takiego doszło</w:t>
      </w:r>
      <w:r w:rsidR="00A200B5" w:rsidRPr="003C0842">
        <w:t xml:space="preserve"> w Paryżu 14 stycznia 1924 r.</w:t>
      </w:r>
      <w:r w:rsidRPr="003C0842">
        <w:t>; p</w:t>
      </w:r>
      <w:r w:rsidR="00A200B5" w:rsidRPr="003C0842">
        <w:t>rzewodniczył Charles G. Dawes, życzliwie usposobiony wobec francuskiej determinacji</w:t>
      </w:r>
      <w:r w:rsidRPr="003C0842">
        <w:t xml:space="preserve">. </w:t>
      </w:r>
      <w:r w:rsidR="00A200B5" w:rsidRPr="003C0842">
        <w:t>Z kolei Owen D. Young – drugi z amerykańskich liderów komisji ekspertów</w:t>
      </w:r>
      <w:r w:rsidR="00DA7107" w:rsidRPr="003C0842">
        <w:t>,</w:t>
      </w:r>
      <w:r w:rsidR="00A200B5" w:rsidRPr="003C0842">
        <w:t xml:space="preserve"> cieszył się zaufaniem niemieckich kół gospodarczych. Dzięki jego pośrednictwu niektóre z postulatów niemieckich były prezentowane w amerykańskim „opakowaniu”, zdominowanym usilnym dążeniem do pozytywnego finału</w:t>
      </w:r>
      <w:r w:rsidR="00A200B5" w:rsidRPr="003C0842">
        <w:rPr>
          <w:rStyle w:val="Odwoanieprzypisudolnego"/>
          <w:rFonts w:ascii="Times New Roman" w:hAnsi="Times New Roman"/>
          <w:sz w:val="24"/>
        </w:rPr>
        <w:footnoteReference w:id="178"/>
      </w:r>
      <w:r w:rsidR="00A200B5" w:rsidRPr="003C0842">
        <w:t>. Został on osiągnięty 30 sierpnia 1924 r. wywołując zróżnicowane reakcje i oceny, obecne nadal w historiografii</w:t>
      </w:r>
      <w:r w:rsidR="00A200B5" w:rsidRPr="003C0842">
        <w:rPr>
          <w:rStyle w:val="Odwoanieprzypisudolnego"/>
          <w:rFonts w:ascii="Times New Roman" w:hAnsi="Times New Roman"/>
          <w:sz w:val="24"/>
        </w:rPr>
        <w:footnoteReference w:id="179"/>
      </w:r>
      <w:r w:rsidR="00A200B5" w:rsidRPr="003C0842">
        <w:t>. J. Kiwerska zauważa, że z ekonomicznego punktu widzenia plan Dawesa „prowadził do przemysłowej wyższości Niemiec nad Francją. Z politycznego – Stany Zjednoczone</w:t>
      </w:r>
      <w:r w:rsidR="00A04F0D" w:rsidRPr="003C0842">
        <w:t>,</w:t>
      </w:r>
      <w:r w:rsidR="00A200B5" w:rsidRPr="003C0842">
        <w:t xml:space="preserve"> wprowadzając swego przedstawiciela, jako generalnego kontrolera niemieckich spłat reparacyjnych, usunęły Francję z czołowej pozycji w sprawach niemieckich odszkodowań”</w:t>
      </w:r>
      <w:r w:rsidR="00A200B5" w:rsidRPr="003C0842">
        <w:rPr>
          <w:rStyle w:val="Odwoanieprzypisudolnego"/>
          <w:rFonts w:ascii="Times New Roman" w:hAnsi="Times New Roman"/>
          <w:sz w:val="24"/>
        </w:rPr>
        <w:footnoteReference w:id="180"/>
      </w:r>
      <w:r w:rsidR="00A200B5" w:rsidRPr="003C0842">
        <w:t xml:space="preserve">. </w:t>
      </w:r>
    </w:p>
    <w:p w:rsidR="00A200B5" w:rsidRPr="003C0842" w:rsidRDefault="00A200B5" w:rsidP="00111348">
      <w:pPr>
        <w:spacing w:line="360" w:lineRule="auto"/>
        <w:ind w:firstLine="709"/>
      </w:pPr>
      <w:r w:rsidRPr="003C0842">
        <w:t xml:space="preserve">Wszystkie te zmiany przypadały na trudny dla Francji czas niestabilności i ścierania się dwóch zasadniczych tendencji. Pierwszą uosabiał kilkukrotny premier i minister spraw zagranicznych Raymond Poincaré, rzecznik skrupulatnego egzekwowania traktatu wersalskiego. Po stronie przeciwnej była rozdrobniona i zróżnicowana mgławica centrolewica, której wybitną indywidualnością stał się Aristide Briand, zwolennik porozumienia z Niemcami i kontrolowanego dostosowywania postanowień pokojowych do zmieniających się warunków. Walka obu tych tendencji wypełniała dużą część francuskiej obecności w polityce międzynarodowej okresu międzywojennego, skłaniając część autorów </w:t>
      </w:r>
      <w:r w:rsidRPr="003C0842">
        <w:lastRenderedPageBreak/>
        <w:t>do całkowitego deprecjonowania roli Francji</w:t>
      </w:r>
      <w:r w:rsidR="00A04F0D" w:rsidRPr="003C0842">
        <w:t>,gdyż</w:t>
      </w:r>
      <w:r w:rsidRPr="003C0842">
        <w:t xml:space="preserve"> „Paryż pozostał już tylko światową metropolią mody”</w:t>
      </w:r>
      <w:r w:rsidRPr="003C0842">
        <w:rPr>
          <w:rStyle w:val="Odwoanieprzypisudolnego"/>
          <w:rFonts w:ascii="Times New Roman" w:hAnsi="Times New Roman"/>
          <w:sz w:val="24"/>
        </w:rPr>
        <w:footnoteReference w:id="181"/>
      </w:r>
      <w:r w:rsidRPr="003C0842">
        <w:t>.</w:t>
      </w:r>
    </w:p>
    <w:p w:rsidR="007B3C9D" w:rsidRPr="003C0842" w:rsidRDefault="00A200B5" w:rsidP="00111348">
      <w:pPr>
        <w:spacing w:line="360" w:lineRule="auto"/>
        <w:ind w:firstLine="709"/>
      </w:pPr>
      <w:r w:rsidRPr="003C0842">
        <w:t>Ambicje francuskiej centrolewicy</w:t>
      </w:r>
      <w:r w:rsidR="00EF70C7" w:rsidRPr="003C0842">
        <w:t>,</w:t>
      </w:r>
      <w:r w:rsidRPr="003C0842">
        <w:t xml:space="preserve"> mające na celu stopniową ewolucję relacji z Niemcami</w:t>
      </w:r>
      <w:r w:rsidR="00EF70C7" w:rsidRPr="003C0842">
        <w:t>,</w:t>
      </w:r>
      <w:r w:rsidRPr="003C0842">
        <w:t xml:space="preserve"> znajdowały zrozumienie i poparcie w Wielkiej Brytanii. Chociaż wyraźnie proniemiecka Labour Party utraciła władzę po kilku miesiącach (30 października 1924 r.)</w:t>
      </w:r>
      <w:r w:rsidR="00A04F0D" w:rsidRPr="003C0842">
        <w:t>,</w:t>
      </w:r>
      <w:r w:rsidRPr="003C0842">
        <w:t xml:space="preserve"> to jednak kurs na wprowadzenie Niemiec do polityki międzynarodowej na partnerskich zasadach był trwałą wytyczną polityki brytyjskiej</w:t>
      </w:r>
      <w:r w:rsidRPr="003C0842">
        <w:rPr>
          <w:rStyle w:val="Odwoanieprzypisudolnego"/>
          <w:rFonts w:ascii="Times New Roman" w:hAnsi="Times New Roman"/>
          <w:sz w:val="24"/>
        </w:rPr>
        <w:footnoteReference w:id="182"/>
      </w:r>
      <w:r w:rsidRPr="003C0842">
        <w:t xml:space="preserve">. Pretensje o to zgłaszane przez Francję i związany z nią obóz miały ahistoryczny charakter, jeśli uwzględnić drogę dziejową imperium brytyjskiego. Jest na niej miejsce dla </w:t>
      </w:r>
      <w:r w:rsidR="00A04F0D" w:rsidRPr="003C0842">
        <w:t>dziewiętnasto</w:t>
      </w:r>
      <w:r w:rsidRPr="003C0842">
        <w:t>wiecznej formuły lorda Palmerstona, że Anglia nie ma wiecznych sojuszników ani stałych wrogów – wieczne są tylko brytyjskie interesy i obowiązek ich stałej ochrony. Doświadczenia „wielkie</w:t>
      </w:r>
      <w:r w:rsidR="00E75E6E" w:rsidRPr="003C0842">
        <w:t>j wojny” przekonanie to upowszech</w:t>
      </w:r>
      <w:r w:rsidRPr="003C0842">
        <w:t xml:space="preserve">niło wśród ogromnej większości aktywnych politycznie mieszkańców wysp. Współkształtowali oni przekonanie, że Wielka Brytania znalazła się w apogeum międzynarodowego powodzenia. Głównym przeto zadaniem jej polityki jest utrzymanie stanu posiadania i życie w pokoju. Appeasement policy nie był zatem wymysłem tego lub innego polityka brytyjskiego, ale wytworem obiektywnej sytuacji, w której Europa jako kontynent była ważnym, ale tylko fragmentem globalnych interesów imperium. </w:t>
      </w:r>
    </w:p>
    <w:p w:rsidR="00A200B5" w:rsidRPr="003C0842" w:rsidRDefault="00A200B5" w:rsidP="00111348">
      <w:pPr>
        <w:spacing w:line="360" w:lineRule="auto"/>
        <w:ind w:firstLine="709"/>
      </w:pPr>
      <w:r w:rsidRPr="003C0842">
        <w:t>Swoisty antykontynentalny populizm brytyjski wyrastał z wyspiarskiego nacjonalizmu, budowanego przez dziesięciolecia w przekonaniu o swej wyższości. Rozległość i różnorodność ziem stanowiących imperium w sposób naturalny sugerowały, że jądrem są wyspy brytyjskie, sercem Londyn, a kieszenią City. „Eliminacja” Niemiec – jedynego konkurenta godnego tego miana z Europy i świata</w:t>
      </w:r>
      <w:r w:rsidR="00AE3A9F" w:rsidRPr="003C0842">
        <w:t>,</w:t>
      </w:r>
      <w:r w:rsidRPr="003C0842">
        <w:t xml:space="preserve"> wzmogła wśród Brytyjczyków przekonanie o ich randze i mocarstwowej sile, jeśli dzielonej, to jedynie z Ameryką. Usilne zabiegi Francji o gwarancje dla swych granic ustanowionych po wojnie w połączeniu z kłopotami dłużnika, podkreślającego</w:t>
      </w:r>
      <w:r w:rsidR="00AE3A9F" w:rsidRPr="003C0842">
        <w:t>,</w:t>
      </w:r>
      <w:r w:rsidRPr="003C0842">
        <w:t xml:space="preserve"> że zwrot długu zależy od reparacji niemieckich, utwierdzały ogół Brytyjczyków w kultywowaniu filozofii „wspaniałego odosobnienia”. Owo, silnie w św</w:t>
      </w:r>
      <w:r w:rsidR="00A04F0D" w:rsidRPr="003C0842">
        <w:t xml:space="preserve">iadomości zakorzenione </w:t>
      </w:r>
      <w:r w:rsidR="00EE1AFB" w:rsidRPr="003C0842">
        <w:rPr>
          <w:i/>
        </w:rPr>
        <w:t>splendid isola</w:t>
      </w:r>
      <w:r w:rsidRPr="003C0842">
        <w:rPr>
          <w:i/>
        </w:rPr>
        <w:t>tion</w:t>
      </w:r>
      <w:r w:rsidRPr="003C0842">
        <w:t xml:space="preserve"> podtrzymywane było przez różne istotne odmienności dotyczące stylu życia, ale też ruchu lewostronnego, jednostek miar i wag czy niezrozumiałego dla „Europejczyka” systemu pieniężnego</w:t>
      </w:r>
      <w:r w:rsidRPr="003C0842">
        <w:rPr>
          <w:rStyle w:val="Odwoanieprzypisudolnego"/>
          <w:rFonts w:ascii="Times New Roman" w:hAnsi="Times New Roman"/>
          <w:sz w:val="24"/>
        </w:rPr>
        <w:footnoteReference w:id="183"/>
      </w:r>
      <w:r w:rsidRPr="003C0842">
        <w:t>.</w:t>
      </w:r>
    </w:p>
    <w:p w:rsidR="00A80A96" w:rsidRPr="003C0842" w:rsidRDefault="00A200B5" w:rsidP="00111348">
      <w:pPr>
        <w:spacing w:line="360" w:lineRule="auto"/>
        <w:ind w:firstLine="709"/>
      </w:pPr>
      <w:r w:rsidRPr="003C0842">
        <w:lastRenderedPageBreak/>
        <w:t>Na podobnych przesłankach opierało się nie tylko ogólne miejsce LN w polityce brytyjskiej, ale także stosunek Londynu do państw pokonanych, nowopowstałych czy wydatnie powiększonych – do całej struktury wersalsko-waszyngtońskiej. Jak to już napisano wyżej</w:t>
      </w:r>
      <w:r w:rsidR="00A04F0D" w:rsidRPr="003C0842">
        <w:t>,</w:t>
      </w:r>
      <w:r w:rsidRPr="003C0842">
        <w:t xml:space="preserve"> dla Brytyjczyków Liga miała być jednym z ważnych instrumentów ułatwiających konieczne modyfikacje traktatów pokojowych</w:t>
      </w:r>
      <w:r w:rsidRPr="003C0842">
        <w:rPr>
          <w:rStyle w:val="Odwoanieprzypisudolnego"/>
          <w:rFonts w:ascii="Times New Roman" w:hAnsi="Times New Roman"/>
          <w:sz w:val="24"/>
        </w:rPr>
        <w:footnoteReference w:id="184"/>
      </w:r>
      <w:r w:rsidRPr="003C0842">
        <w:t>. Genewa oferowała wygodną i przydatną procedurę umożliwiającą kontrolę nad rozwojem stosunków międzynarodowych z nadrzędnym celem eliminacji sytuacji grożących wybuchem. Niejako oczywista rola Londynu jako mediatora w sporach międzypaństwowych rosła w miarę</w:t>
      </w:r>
      <w:r w:rsidR="00A04F0D" w:rsidRPr="003C0842">
        <w:t>,</w:t>
      </w:r>
      <w:r w:rsidRPr="003C0842">
        <w:t xml:space="preserve"> jak traciła na znaczeniu Francja. Wielka Brytania funkcjonowała w środowisku genewskim jako najważniejsze, okresowo jedyne mocarstwo godne tego miana: silne obecnością dominiów jako samodzielnych członków LN, Sekretariatem tworzonym przez ponad rok w Londynie przez Erica Drummonda, pierwszego i długoletniego (1919</w:t>
      </w:r>
      <w:r w:rsidR="005A5F3B">
        <w:t>-</w:t>
      </w:r>
      <w:r w:rsidRPr="003C0842">
        <w:t xml:space="preserve">1933) sekretarza generalnego. Pozycję Wielkiej Brytanii w Lidze, Europie i świecie wynosiła faktyczna nieobecność Rosji, a zwłaszcza izolacjonizm Stanów Zjednoczonych. </w:t>
      </w:r>
    </w:p>
    <w:p w:rsidR="00A200B5" w:rsidRPr="003C0842" w:rsidRDefault="00A200B5" w:rsidP="00111348">
      <w:pPr>
        <w:spacing w:line="360" w:lineRule="auto"/>
        <w:ind w:firstLine="709"/>
      </w:pPr>
      <w:r w:rsidRPr="003C0842">
        <w:t>Oczekiwanie na większą aktywność</w:t>
      </w:r>
      <w:r w:rsidR="00A80A96" w:rsidRPr="003C0842">
        <w:t xml:space="preserve"> brytyjską</w:t>
      </w:r>
      <w:r w:rsidRPr="003C0842">
        <w:t xml:space="preserve"> wzmogło się po udanym sfinalizowaniu planu Dawesa, który stanowił kamień węgielny dla reformy walutowej likwidującej hiperinflację. Chociaż operacja ta pochłonęła większość środków uruchomionych w ramach „podróży dolarów”</w:t>
      </w:r>
      <w:r w:rsidR="00AE3A9F" w:rsidRPr="003C0842">
        <w:t>,</w:t>
      </w:r>
      <w:r w:rsidRPr="003C0842">
        <w:t>to jednak jej wpływ na całą gospodarkę i wszystkie sfery życia społecznego był ogromny. Marka stała się w stosunkowo krótkim czasie jedną z najbardziej stabilnych walut. Pracowitość, dobra organizacja pracy, dyscyplina oraz wysokie zdolności techniczne polepszały warunki życia mimo dużego obciążenia wynikającego z regularnego zresztą spłacania annuitetów.</w:t>
      </w:r>
    </w:p>
    <w:p w:rsidR="00A200B5" w:rsidRPr="003C0842" w:rsidRDefault="00A200B5" w:rsidP="00111348">
      <w:pPr>
        <w:spacing w:line="360" w:lineRule="auto"/>
        <w:ind w:firstLine="709"/>
      </w:pPr>
      <w:r w:rsidRPr="003C0842">
        <w:t>Widocznym znakiem postępującej sta</w:t>
      </w:r>
      <w:r w:rsidR="006818B7" w:rsidRPr="003C0842">
        <w:t>bilizacji stała się osoba Gustav</w:t>
      </w:r>
      <w:r w:rsidRPr="003C0842">
        <w:t>a Stresemanna premiera w 1923 r., ale przede wszystkim ministra spraw zagranicznych do października 1929 r. Przez ten brzemienny dla dziejów Niemiec i Europy czas prowadził skuteczną dla swego kraju politykę mającą za główny cel wyprowadzenie kraju z poniżającej</w:t>
      </w:r>
      <w:r w:rsidR="00A80A96" w:rsidRPr="003C0842">
        <w:t>,</w:t>
      </w:r>
      <w:r w:rsidRPr="003C0842">
        <w:t xml:space="preserve"> drugoplanowej pozycji międzynarodowej. Z wielkim talentem wykorzystywał czynniki sprzyjające t</w:t>
      </w:r>
      <w:r w:rsidR="00A80A96" w:rsidRPr="003C0842">
        <w:t>emu celowi</w:t>
      </w:r>
      <w:r w:rsidR="007B3C9D" w:rsidRPr="003C0842">
        <w:t>.</w:t>
      </w:r>
      <w:r w:rsidRPr="003C0842">
        <w:t xml:space="preserve">Republika Weimarska przez swój potencjał gospodarczy, społeczny i demograficzny, przez historyczne dziedzictwo, przez swe centralne położenie na kontynencie pozostawała stale ważnym, stopniowo coraz bardziej znaczącym graczem na arenie międzynarodowej. </w:t>
      </w:r>
      <w:r w:rsidRPr="003C0842">
        <w:lastRenderedPageBreak/>
        <w:t>Słowo „gra” wydaje się w odniesieniu do ery Stresemanna w pełni zasadne. Mimo politycznego rozpołowienia narodu zdołał stworzyć większość (z reguły nieznaczną) wspierającą jego plany znalezienia jakiegoś modus vivendi z Francją. Zamiar ten ułatwiało wyraźne rozchodzenie się zwycięskiego duetu z czasów „wielkiej wojny”</w:t>
      </w:r>
      <w:r w:rsidR="007B3C9D" w:rsidRPr="003C0842">
        <w:t>,</w:t>
      </w:r>
      <w:r w:rsidRPr="003C0842">
        <w:t xml:space="preserve"> czego jaskrawym dowodem były rozdźwięki w związku z francusko-belgijską okupacją Zagłębia Ruhry</w:t>
      </w:r>
      <w:r w:rsidR="00564742" w:rsidRPr="003C0842">
        <w:rPr>
          <w:rStyle w:val="Odwoanieprzypisudolnego"/>
          <w:rFonts w:ascii="Times New Roman" w:hAnsi="Times New Roman"/>
          <w:sz w:val="24"/>
        </w:rPr>
        <w:footnoteReference w:id="185"/>
      </w:r>
      <w:r w:rsidRPr="003C0842">
        <w:t>.</w:t>
      </w:r>
    </w:p>
    <w:p w:rsidR="007B3C9D" w:rsidRPr="003C0842" w:rsidRDefault="00A200B5" w:rsidP="00111348">
      <w:pPr>
        <w:spacing w:line="360" w:lineRule="auto"/>
        <w:ind w:firstLine="709"/>
      </w:pPr>
      <w:r w:rsidRPr="003C0842">
        <w:t>Rychło doszły dalsze. Popierany zrazu przez Paryż i Londyn traktat o wzajemnej pomocy, przyjęty podczas IV Zgromadzenia (1923 r.) upadł wraz ze zwycięstwem w Wielkiej Brytanii konserwatystów. Punktem szczytowym tego etapu był przyjęty przez V Zgromadzenie 2 października 1924 r. protokół w sprawie pokojowego rozstrzygania sporów międzynarodowych. Ta entuzjastycznie reklamowana „magna carta narodowego bezpieczeństwa” łączyła w jedną całość bezpieczeństwo (pomoc wzajemną), arbitraż (pokojowe rozwiązywanie sporów) i redukcję zbrojeń (rozbrojenie). Dokument ten wynegocjowany przez polityków mniejszych i drugorzędnych państw</w:t>
      </w:r>
      <w:r w:rsidR="00A04F0D" w:rsidRPr="003C0842">
        <w:t>,</w:t>
      </w:r>
      <w:r w:rsidRPr="003C0842">
        <w:t xml:space="preserve"> jak Czechosłowacja czy Grecja zawierał kilka elementów zakładających świadczenie pomocy słabszym w razie agresji. </w:t>
      </w:r>
    </w:p>
    <w:p w:rsidR="0030256A" w:rsidRPr="003C0842" w:rsidRDefault="00A200B5" w:rsidP="00111348">
      <w:pPr>
        <w:spacing w:line="360" w:lineRule="auto"/>
        <w:ind w:firstLine="709"/>
      </w:pPr>
      <w:r w:rsidRPr="003C0842">
        <w:t>Perspektywa taka najbardziej nie odpowiadała konserwatywnemu rządowi Wielkiej Brytanii</w:t>
      </w:r>
      <w:r w:rsidR="00A04F0D" w:rsidRPr="003C0842">
        <w:t>,</w:t>
      </w:r>
      <w:r w:rsidRPr="003C0842">
        <w:t xml:space="preserve"> gdzie l</w:t>
      </w:r>
      <w:r w:rsidR="006E1AE0" w:rsidRPr="003C0842">
        <w:t>a</w:t>
      </w:r>
      <w:r w:rsidRPr="003C0842">
        <w:t>burzystowska frazeologia pacyfistyczna już jesienią 1924 r. ustąpiła miejsca tradycyjnej polityce „divide ed impera”. Do negatywnej oceny brytyjskiej przyłączyły się też Włochy i Japonia, zastrzeżenia zgłaszały Finlandia, Kanada, Indie, Nikaragua i Irlandia, lekceważyły ją Stany Zjednoczone i Związek Radziecki. Najgłośniej żal z powodu złożenia – jak mawiano</w:t>
      </w:r>
      <w:r w:rsidR="00A80A96" w:rsidRPr="003C0842">
        <w:t xml:space="preserve"> – do grobu </w:t>
      </w:r>
      <w:r w:rsidRPr="003C0842">
        <w:t>protokołu genewskiego wypowiadała Francja. Pożądane i oczekiwane nad Sekwaną gwarancje dla ich nowych granic stawały się coraz wyraźniej mrz</w:t>
      </w:r>
      <w:r w:rsidR="00A80A96" w:rsidRPr="003C0842">
        <w:t>onką</w:t>
      </w:r>
      <w:r w:rsidRPr="003C0842">
        <w:t xml:space="preserve">. Upadek protokołu genewskiego to kataklizm dla zabiegów o jakąś formę przymierza francusko-brytyjskiego wzmocnionego autorytetem Ligi. Była to zarazem klęska rządu Eduarda Herriota, który zakładał, że cel powyższy będzie w ogóle możliwy do osiągnięcia, w dodatku bez koncesji w obszarze spraw niemieckich. </w:t>
      </w:r>
    </w:p>
    <w:p w:rsidR="0030256A" w:rsidRPr="003C0842" w:rsidRDefault="00A200B5" w:rsidP="00111348">
      <w:pPr>
        <w:spacing w:line="360" w:lineRule="auto"/>
        <w:rPr>
          <w:color w:val="000000"/>
        </w:rPr>
      </w:pPr>
      <w:r w:rsidRPr="003C0842">
        <w:t>Dopełnieniem tej sytuacji był</w:t>
      </w:r>
      <w:r w:rsidR="001432E5" w:rsidRPr="003C0842">
        <w:t>a wzmożona aktywność premiera Wielkiej Brytanii podczas</w:t>
      </w:r>
      <w:r w:rsidRPr="003C0842">
        <w:t xml:space="preserve"> Zgromadzenia, któr</w:t>
      </w:r>
      <w:r w:rsidR="001432E5" w:rsidRPr="003C0842">
        <w:t xml:space="preserve">e rozpoczęło się 1 września 1924 r. Wśród </w:t>
      </w:r>
      <w:r w:rsidR="00CB0023" w:rsidRPr="003C0842">
        <w:t xml:space="preserve">wywołujących szczególne poruszenie było </w:t>
      </w:r>
      <w:r w:rsidRPr="003C0842">
        <w:t>życzenie rychłego spotkania delegacji niemieckiej w Genewie jako pełnoprawnego członka tej organizacji</w:t>
      </w:r>
      <w:r w:rsidR="00CB0023" w:rsidRPr="003C0842">
        <w:t xml:space="preserve">. Nie dziwi przeto, że </w:t>
      </w:r>
      <w:r w:rsidR="00E75E6E" w:rsidRPr="003C0842">
        <w:rPr>
          <w:color w:val="000000"/>
        </w:rPr>
        <w:t xml:space="preserve">wystąpienie pierwszego ministra </w:t>
      </w:r>
      <w:r w:rsidR="003008B2" w:rsidRPr="003C0842">
        <w:rPr>
          <w:color w:val="000000"/>
        </w:rPr>
        <w:t>Wielkiej</w:t>
      </w:r>
      <w:r w:rsidR="00E75E6E" w:rsidRPr="003C0842">
        <w:rPr>
          <w:color w:val="000000"/>
        </w:rPr>
        <w:t xml:space="preserve"> Brytanii okrzyknięte zostało przez prasę jako szlagier genewskiego sezonu politycznego.Z uwzględnieniem różnych punktó</w:t>
      </w:r>
      <w:r w:rsidR="00817A9F" w:rsidRPr="003C0842">
        <w:rPr>
          <w:color w:val="000000"/>
        </w:rPr>
        <w:t xml:space="preserve">w odniesienia analizowano słowaJamesa </w:t>
      </w:r>
      <w:r w:rsidR="00A04F0D" w:rsidRPr="003C0842">
        <w:rPr>
          <w:color w:val="000000"/>
        </w:rPr>
        <w:lastRenderedPageBreak/>
        <w:t>R</w:t>
      </w:r>
      <w:r w:rsidR="00817A9F" w:rsidRPr="003C0842">
        <w:rPr>
          <w:color w:val="000000"/>
        </w:rPr>
        <w:t>amsayaMacD</w:t>
      </w:r>
      <w:r w:rsidR="00E75E6E" w:rsidRPr="003C0842">
        <w:rPr>
          <w:color w:val="000000"/>
        </w:rPr>
        <w:t>onalda, który wskazywał, że nie jest możliwe bez udziału Niemiec dyskutowanie wielu spraw, w tym spraw rozbrojenia, warunków pokoju, bezpieczeństwa, gwarancji istnienia małych państw. „Konferencja w Londynie ustaliła nowe stosunki między Niemcami i innymi państwami europejskimi, wierzę, że te stosunki zostaną teraz uświęcone przez wejście Niemiec do sali tego Zgromadzenia</w:t>
      </w:r>
      <w:r w:rsidR="007B3C9D" w:rsidRPr="003C0842">
        <w:rPr>
          <w:color w:val="000000"/>
        </w:rPr>
        <w:t>”</w:t>
      </w:r>
      <w:r w:rsidR="00E75E6E" w:rsidRPr="003C0842">
        <w:rPr>
          <w:rStyle w:val="Odwoanieprzypisudolnego"/>
          <w:rFonts w:ascii="Times New Roman" w:hAnsi="Times New Roman"/>
          <w:color w:val="000000"/>
          <w:sz w:val="24"/>
        </w:rPr>
        <w:footnoteReference w:id="186"/>
      </w:r>
      <w:r w:rsidR="00E75E6E" w:rsidRPr="003C0842">
        <w:rPr>
          <w:color w:val="000000"/>
        </w:rPr>
        <w:t xml:space="preserve">. </w:t>
      </w:r>
    </w:p>
    <w:p w:rsidR="00A04F0D" w:rsidRPr="003C0842" w:rsidRDefault="00A200B5" w:rsidP="00111348">
      <w:pPr>
        <w:spacing w:line="360" w:lineRule="auto"/>
        <w:rPr>
          <w:color w:val="000000"/>
        </w:rPr>
      </w:pPr>
      <w:r w:rsidRPr="003C0842">
        <w:t>Wyjście MacDonalda przed szereg w sprawie rozpamiętywanej od dłuższego czasu w kilkunastu państwach</w:t>
      </w:r>
      <w:r w:rsidR="00CB0023" w:rsidRPr="003C0842">
        <w:t xml:space="preserve"> było krytykowane. </w:t>
      </w:r>
      <w:r w:rsidR="0030256A" w:rsidRPr="003C0842">
        <w:t xml:space="preserve">Szczególnie </w:t>
      </w:r>
      <w:r w:rsidR="0045600A" w:rsidRPr="003C0842">
        <w:t>dotknięt</w:t>
      </w:r>
      <w:r w:rsidR="00A04F0D" w:rsidRPr="003C0842">
        <w:t>a</w:t>
      </w:r>
      <w:r w:rsidR="0030256A" w:rsidRPr="003C0842">
        <w:t xml:space="preserve"> była centro-prawicowa i nacjonalistyczna opinia francuska, któr</w:t>
      </w:r>
      <w:r w:rsidR="0045600A" w:rsidRPr="003C0842">
        <w:t>a była przekonana, że perspektywa pojednania, nawet za pośrednictwem LN jest jeszcze daleka i obwarowana istotnymi warunkami, których Niemcy nie będą zapewne chcieli wypełnić</w:t>
      </w:r>
      <w:r w:rsidR="005231EA" w:rsidRPr="003C0842">
        <w:t>. Punkt widzenia</w:t>
      </w:r>
      <w:r w:rsidR="005231EA" w:rsidRPr="003C0842">
        <w:rPr>
          <w:color w:val="000000"/>
        </w:rPr>
        <w:t xml:space="preserve"> przynajmniejtej części społeczeństwa francuskiego syntetyzuje oświadczenie ambasadora w Berlinie Pierre de Margerie, który </w:t>
      </w:r>
      <w:r w:rsidR="00762AC7" w:rsidRPr="003C0842">
        <w:rPr>
          <w:color w:val="000000"/>
        </w:rPr>
        <w:t>twierdził, że</w:t>
      </w:r>
      <w:r w:rsidR="005231EA" w:rsidRPr="003C0842">
        <w:rPr>
          <w:color w:val="000000"/>
        </w:rPr>
        <w:t xml:space="preserve"> jego rząd uważa przystąpienie Rzeszy do Ligi za rzecz w najwyższym stopniu niepożądaną.</w:t>
      </w:r>
    </w:p>
    <w:p w:rsidR="00673274" w:rsidRPr="003C0842" w:rsidRDefault="00900BE3" w:rsidP="00111348">
      <w:pPr>
        <w:spacing w:line="360" w:lineRule="auto"/>
        <w:rPr>
          <w:color w:val="000000"/>
        </w:rPr>
      </w:pPr>
      <w:r w:rsidRPr="001E5F63">
        <w:rPr>
          <w:color w:val="000000"/>
        </w:rPr>
        <w:t>„</w:t>
      </w:r>
      <w:r w:rsidR="005231EA" w:rsidRPr="001E5F63">
        <w:rPr>
          <w:color w:val="000000"/>
        </w:rPr>
        <w:t xml:space="preserve">Prezydent rządu rozesłał placówkom francuskim cyrkularną depeszę, w której zaznaczył, że w myśl art. 1 Paktu Ligi Narodów, państwo pragnące do niej przystąpić winno przedstawić rzeczywiste rękojmie, że ma szczery zamiar wykonać swe zobowiązania międzynarodowe, jak również, że akceptuje przepisy Ligi dotyczące sił wojskowych i uzbrojenia na lądzie, na wodzie i w powietrzu. Rząd niemiecki musiałby </w:t>
      </w:r>
      <w:r w:rsidR="005231EA" w:rsidRPr="001E5F63">
        <w:rPr>
          <w:i/>
          <w:iCs/>
          <w:color w:val="000000"/>
        </w:rPr>
        <w:t xml:space="preserve">złożyć </w:t>
      </w:r>
      <w:r w:rsidR="005231EA" w:rsidRPr="001E5F63">
        <w:rPr>
          <w:color w:val="000000"/>
        </w:rPr>
        <w:t>w tej materii uroczystą deklarację podobnie, jak to uczyniły Węgry, gdy do Ligi przyjęte zostały. Rząd francuski liczy, że rząd niemiecki nie będzie skłonny takiej deklaracji złożyć</w:t>
      </w:r>
      <w:r w:rsidRPr="001E5F63">
        <w:rPr>
          <w:color w:val="000000"/>
        </w:rPr>
        <w:t>”</w:t>
      </w:r>
      <w:r w:rsidR="005231EA" w:rsidRPr="001E5F63">
        <w:rPr>
          <w:color w:val="000000"/>
        </w:rPr>
        <w:t>. W n</w:t>
      </w:r>
      <w:r w:rsidR="005231EA" w:rsidRPr="003C0842">
        <w:rPr>
          <w:color w:val="000000"/>
        </w:rPr>
        <w:t xml:space="preserve">awiązaniu do tej informacji kierownictwo polskiego MSZ instruowało posła w Berlinie, że </w:t>
      </w:r>
      <w:r w:rsidR="00A04F0D" w:rsidRPr="003C0842">
        <w:rPr>
          <w:color w:val="000000"/>
        </w:rPr>
        <w:t>opierając się na</w:t>
      </w:r>
      <w:r w:rsidR="005231EA" w:rsidRPr="003C0842">
        <w:rPr>
          <w:color w:val="000000"/>
        </w:rPr>
        <w:t xml:space="preserve"> art. 1 Paktu Ligi</w:t>
      </w:r>
      <w:r w:rsidR="00A04F0D" w:rsidRPr="003C0842">
        <w:rPr>
          <w:color w:val="000000"/>
        </w:rPr>
        <w:t>,</w:t>
      </w:r>
      <w:r w:rsidR="005231EA" w:rsidRPr="003C0842">
        <w:rPr>
          <w:color w:val="000000"/>
        </w:rPr>
        <w:t xml:space="preserve"> powinno się podnosić także nieuregulowaną sprawę odszkodowań niemieckich. One to właśnie mogą stanowić formalno-prawną podstawę odsuwania Niemiec od Genewy</w:t>
      </w:r>
      <w:r w:rsidR="005231EA" w:rsidRPr="003C0842">
        <w:rPr>
          <w:rStyle w:val="Odwoanieprzypisudolnego"/>
          <w:rFonts w:ascii="Times New Roman" w:hAnsi="Times New Roman"/>
          <w:color w:val="000000"/>
          <w:sz w:val="24"/>
        </w:rPr>
        <w:footnoteReference w:id="187"/>
      </w:r>
      <w:r w:rsidR="005231EA" w:rsidRPr="003C0842">
        <w:rPr>
          <w:color w:val="000000"/>
        </w:rPr>
        <w:t xml:space="preserve">. </w:t>
      </w:r>
    </w:p>
    <w:p w:rsidR="0030256A" w:rsidRPr="003C0842" w:rsidRDefault="005231EA" w:rsidP="00111348">
      <w:pPr>
        <w:spacing w:line="360" w:lineRule="auto"/>
      </w:pPr>
      <w:r w:rsidRPr="003C0842">
        <w:rPr>
          <w:color w:val="000000"/>
        </w:rPr>
        <w:t>Nie</w:t>
      </w:r>
      <w:r w:rsidR="00D95DB0" w:rsidRPr="003C0842">
        <w:rPr>
          <w:color w:val="000000"/>
        </w:rPr>
        <w:t xml:space="preserve">chęć większości Francuzów do zaskakującej oferty MacDonalda wiązała się z trwającymi sporami, w których silną pozycję miały obawy, że dominująca w Lidze zasada równości wszystkich członków podważy nie tylko stwierdzenie o wyłącznej odpowiedzialności Niemiec za wojnę, ale także stanowić będzie zaczyn dla zrzucenia wszystkich niedogodności i ciężarów narzuconych przez traktat wersalski. Nie brakowało głosów, że </w:t>
      </w:r>
      <w:r w:rsidR="003E7C94" w:rsidRPr="003C0842">
        <w:rPr>
          <w:color w:val="000000"/>
        </w:rPr>
        <w:t xml:space="preserve">najlepszą </w:t>
      </w:r>
      <w:r w:rsidR="00D95DB0" w:rsidRPr="003C0842">
        <w:rPr>
          <w:color w:val="000000"/>
        </w:rPr>
        <w:t>reakcją na wstąpienie do Ligi Niemiec</w:t>
      </w:r>
      <w:r w:rsidR="003E7C94" w:rsidRPr="003C0842">
        <w:rPr>
          <w:color w:val="000000"/>
        </w:rPr>
        <w:t>,</w:t>
      </w:r>
      <w:r w:rsidR="00D95DB0" w:rsidRPr="003C0842">
        <w:rPr>
          <w:color w:val="000000"/>
        </w:rPr>
        <w:t xml:space="preserve"> wprowadzonych tam przez Anglików, powinno być usu</w:t>
      </w:r>
      <w:r w:rsidR="003E7C94" w:rsidRPr="003C0842">
        <w:rPr>
          <w:color w:val="000000"/>
        </w:rPr>
        <w:t>nięcie się Francji</w:t>
      </w:r>
      <w:r w:rsidR="003E7C94" w:rsidRPr="003C0842">
        <w:rPr>
          <w:rStyle w:val="Odwoanieprzypisudolnego"/>
          <w:rFonts w:ascii="Times New Roman" w:hAnsi="Times New Roman"/>
          <w:color w:val="000000"/>
          <w:sz w:val="24"/>
        </w:rPr>
        <w:footnoteReference w:id="188"/>
      </w:r>
      <w:r w:rsidR="003E7C94" w:rsidRPr="003C0842">
        <w:rPr>
          <w:color w:val="000000"/>
        </w:rPr>
        <w:t xml:space="preserve">.Duża część ówczesnej opinii francuskiej </w:t>
      </w:r>
      <w:r w:rsidR="0030256A" w:rsidRPr="003C0842">
        <w:t>z uznaniem</w:t>
      </w:r>
      <w:r w:rsidR="0045600A" w:rsidRPr="003C0842">
        <w:t xml:space="preserve"> przyjęła nieobecność sportowców niemieckich naVIII Olimpiadzie (Paryż 4 maja</w:t>
      </w:r>
      <w:r w:rsidR="00CE5D8C">
        <w:t xml:space="preserve"> – </w:t>
      </w:r>
      <w:r w:rsidR="0045600A" w:rsidRPr="003C0842">
        <w:lastRenderedPageBreak/>
        <w:t>27 lipca 1924 r.)</w:t>
      </w:r>
      <w:r w:rsidR="003E7C94" w:rsidRPr="003C0842">
        <w:t xml:space="preserve">, gdyż organizatorzy </w:t>
      </w:r>
      <w:r w:rsidR="0045600A" w:rsidRPr="003C0842">
        <w:t>obaw</w:t>
      </w:r>
      <w:r w:rsidR="003E7C94" w:rsidRPr="003C0842">
        <w:t xml:space="preserve">iali się </w:t>
      </w:r>
      <w:r w:rsidR="0045600A" w:rsidRPr="003C0842">
        <w:t xml:space="preserve">o ich bezpieczeństwo. To negatywne wyróżnienie było tym bardziej wyraziste, że </w:t>
      </w:r>
      <w:r w:rsidR="00272079" w:rsidRPr="003C0842">
        <w:t xml:space="preserve">ich </w:t>
      </w:r>
      <w:r w:rsidR="0045600A" w:rsidRPr="003C0842">
        <w:t xml:space="preserve">pozostali sojusznicy </w:t>
      </w:r>
      <w:r w:rsidR="00701FF9" w:rsidRPr="003C0842">
        <w:t xml:space="preserve">otrzymali </w:t>
      </w:r>
      <w:r w:rsidR="0045600A" w:rsidRPr="003C0842">
        <w:t>zaproszenie do udziału w zawodach</w:t>
      </w:r>
      <w:r w:rsidR="00272079" w:rsidRPr="003C0842">
        <w:rPr>
          <w:rStyle w:val="Odwoanieprzypisudolnego"/>
          <w:rFonts w:ascii="Times New Roman" w:hAnsi="Times New Roman"/>
          <w:sz w:val="24"/>
        </w:rPr>
        <w:footnoteReference w:id="189"/>
      </w:r>
      <w:r w:rsidR="0045600A" w:rsidRPr="003C0842">
        <w:t>.</w:t>
      </w:r>
    </w:p>
    <w:p w:rsidR="007B3C9D" w:rsidRPr="003C0842" w:rsidRDefault="0030256A" w:rsidP="007B3C9D">
      <w:pPr>
        <w:spacing w:line="360" w:lineRule="auto"/>
      </w:pPr>
      <w:r w:rsidRPr="003C0842">
        <w:rPr>
          <w:color w:val="000000"/>
        </w:rPr>
        <w:t>Mimo rychłego upadku gabinetu MacDonalda postawiony publicznie problem nie zszedł z wokandy międzynarodowej.</w:t>
      </w:r>
      <w:r w:rsidR="007B3C9D" w:rsidRPr="003C0842">
        <w:t>Godzono się zarazem</w:t>
      </w:r>
      <w:r w:rsidR="00A200B5" w:rsidRPr="003C0842">
        <w:t>, że dokonał się kolejny krok na drodze przybliżającej Niemcy do Ligi. Rząd Stanleya Baldwina</w:t>
      </w:r>
      <w:r w:rsidR="00A80A96" w:rsidRPr="003C0842">
        <w:t>,</w:t>
      </w:r>
      <w:r w:rsidR="00A200B5" w:rsidRPr="003C0842">
        <w:t xml:space="preserve"> w którym od listopada 1924 r. tekę spraw zagranicznych dzierżył sir Austen Joseph Chamberlain był zdecydowany </w:t>
      </w:r>
      <w:r w:rsidR="00CB0023" w:rsidRPr="003C0842">
        <w:t xml:space="preserve">podążać wytyczoną przez MacDonalda drogą i </w:t>
      </w:r>
      <w:r w:rsidR="00A200B5" w:rsidRPr="003C0842">
        <w:t>ułatwić Niemcom akcesję. Silniej niż jego poprzednicy kładł nacisk na upowszechnienie idei europejskiej, która właśnie w L</w:t>
      </w:r>
      <w:r w:rsidR="00A80A96" w:rsidRPr="003C0842">
        <w:t>N</w:t>
      </w:r>
      <w:r w:rsidR="00A200B5" w:rsidRPr="003C0842">
        <w:t xml:space="preserve"> mogła mieć dobre warunki do rozwoju</w:t>
      </w:r>
      <w:r w:rsidR="00A200B5" w:rsidRPr="003C0842">
        <w:rPr>
          <w:rStyle w:val="Odwoanieprzypisudolnego"/>
          <w:rFonts w:ascii="Times New Roman" w:hAnsi="Times New Roman"/>
          <w:sz w:val="24"/>
        </w:rPr>
        <w:footnoteReference w:id="190"/>
      </w:r>
      <w:r w:rsidR="00A200B5" w:rsidRPr="003C0842">
        <w:t xml:space="preserve">. </w:t>
      </w:r>
    </w:p>
    <w:p w:rsidR="004C72CC" w:rsidRPr="003C0842" w:rsidRDefault="00A200B5" w:rsidP="007B3C9D">
      <w:pPr>
        <w:spacing w:line="360" w:lineRule="auto"/>
      </w:pPr>
      <w:r w:rsidRPr="003C0842">
        <w:t xml:space="preserve">Realizowana przez </w:t>
      </w:r>
      <w:r w:rsidR="007B3C9D" w:rsidRPr="003C0842">
        <w:t>min. Austena Chamberlaina</w:t>
      </w:r>
      <w:r w:rsidRPr="003C0842">
        <w:t xml:space="preserve"> polityka wymusiła reorientację francuskiego podejścia do Ligi traktowanej głównie jako organizacji do pilnowania nienaruszalności powstałego po wojnie systemu. Tymczasem centralnym hasłem brytyjskim, zawierającym duży ładunek propagandowy</w:t>
      </w:r>
      <w:r w:rsidR="00A325A8" w:rsidRPr="003C0842">
        <w:t>,</w:t>
      </w:r>
      <w:r w:rsidRPr="003C0842">
        <w:t xml:space="preserve"> było przezwyciężenie podziału na zwycięzców i zwyciężonych. Problem w tym, że w poszczególnych państwach hasło to rozumiano</w:t>
      </w:r>
      <w:r w:rsidR="00174833" w:rsidRPr="003C0842">
        <w:t xml:space="preserve"> różnie, zawsze</w:t>
      </w:r>
      <w:r w:rsidRPr="003C0842">
        <w:t xml:space="preserve"> z uwzględnieniem </w:t>
      </w:r>
      <w:r w:rsidR="007B3C9D" w:rsidRPr="003C0842">
        <w:t>własnych interesów, obecnych</w:t>
      </w:r>
      <w:r w:rsidR="00A325A8" w:rsidRPr="003C0842">
        <w:t xml:space="preserve"> w permanencji</w:t>
      </w:r>
      <w:r w:rsidR="007B3C9D" w:rsidRPr="003C0842">
        <w:t>, nierzadko w koegzystencji z</w:t>
      </w:r>
      <w:r w:rsidR="00174833" w:rsidRPr="003C0842">
        <w:t>element</w:t>
      </w:r>
      <w:r w:rsidR="007B3C9D" w:rsidRPr="003C0842">
        <w:t>ami</w:t>
      </w:r>
      <w:r w:rsidR="00174833" w:rsidRPr="003C0842">
        <w:t xml:space="preserve"> nacjonalistyczny</w:t>
      </w:r>
      <w:r w:rsidR="007B3C9D" w:rsidRPr="003C0842">
        <w:t>mi.</w:t>
      </w:r>
      <w:r w:rsidRPr="003C0842">
        <w:t xml:space="preserve"> Doświadczenia już </w:t>
      </w:r>
      <w:r w:rsidR="007B3C9D" w:rsidRPr="003C0842">
        <w:t>zdobyte</w:t>
      </w:r>
      <w:r w:rsidRPr="003C0842">
        <w:t xml:space="preserve"> pokazywały, że znalezienie rozwiązań satysfakcjonujących wszystkich lub znakomitą większość członków Ligi w wielu szczegółowych sprawach międzynarodowych </w:t>
      </w:r>
      <w:r w:rsidR="007B3C9D" w:rsidRPr="003C0842">
        <w:t xml:space="preserve">było </w:t>
      </w:r>
      <w:r w:rsidRPr="003C0842">
        <w:t>niemożliwe. Z drugiej strony prowadzone w niewielkim gronie rozmowy dotyczące reparacji niemieckich dały zadowalające efekty. Osiągnięto je jednak poza Ligą, mimo że jej aktywność w zakresie „rekonstrukcji” finansowej takich państw jak Austria, Węgry czy Bułgaria była realizowana</w:t>
      </w:r>
      <w:r w:rsidRPr="003C0842">
        <w:rPr>
          <w:rStyle w:val="Odwoanieprzypisudolnego"/>
          <w:rFonts w:ascii="Times New Roman" w:hAnsi="Times New Roman"/>
          <w:sz w:val="24"/>
        </w:rPr>
        <w:footnoteReference w:id="191"/>
      </w:r>
      <w:r w:rsidRPr="003C0842">
        <w:t xml:space="preserve">. </w:t>
      </w:r>
    </w:p>
    <w:p w:rsidR="00A200B5" w:rsidRPr="003C0842" w:rsidRDefault="00A200B5" w:rsidP="007B3C9D">
      <w:pPr>
        <w:spacing w:line="360" w:lineRule="auto"/>
      </w:pPr>
      <w:r w:rsidRPr="003C0842">
        <w:t>Wynosząc w Genewie i poza nią zasługi Komitetu Finansowego LN</w:t>
      </w:r>
      <w:r w:rsidR="00FC4D67" w:rsidRPr="003C0842">
        <w:t>,</w:t>
      </w:r>
      <w:r w:rsidRPr="003C0842">
        <w:t xml:space="preserve"> przemilczano jednocześnie </w:t>
      </w:r>
      <w:r w:rsidR="00FC4D67" w:rsidRPr="003C0842">
        <w:t>p</w:t>
      </w:r>
      <w:r w:rsidRPr="003C0842">
        <w:t>lan Dawesa jako rozwiązania, z którym Liga nie miała nic wspólnego</w:t>
      </w:r>
      <w:r w:rsidRPr="003C0842">
        <w:rPr>
          <w:rStyle w:val="Odwoanieprzypisudolnego"/>
          <w:rFonts w:ascii="Times New Roman" w:hAnsi="Times New Roman"/>
          <w:sz w:val="24"/>
        </w:rPr>
        <w:footnoteReference w:id="192"/>
      </w:r>
      <w:r w:rsidRPr="003C0842">
        <w:t xml:space="preserve">. Tym </w:t>
      </w:r>
      <w:r w:rsidRPr="003C0842">
        <w:lastRenderedPageBreak/>
        <w:t xml:space="preserve">usilniej w Genewie i </w:t>
      </w:r>
      <w:r w:rsidR="00174833" w:rsidRPr="003C0842">
        <w:t>środowiskach</w:t>
      </w:r>
      <w:r w:rsidRPr="003C0842">
        <w:t xml:space="preserve"> Lidze przyjaznych pożądano sukcesu pozwalającego </w:t>
      </w:r>
      <w:r w:rsidR="00174833" w:rsidRPr="003C0842">
        <w:t xml:space="preserve">na </w:t>
      </w:r>
      <w:r w:rsidRPr="003C0842">
        <w:t>w</w:t>
      </w:r>
      <w:r w:rsidR="00174833" w:rsidRPr="003C0842">
        <w:t>zmocnienie</w:t>
      </w:r>
      <w:r w:rsidRPr="003C0842">
        <w:t xml:space="preserve"> jej prestiżu w opinii publicznej. J</w:t>
      </w:r>
      <w:r w:rsidR="00FC4D67" w:rsidRPr="003C0842">
        <w:t>ednym z wielu sygnałów było nie</w:t>
      </w:r>
      <w:r w:rsidRPr="003C0842">
        <w:t>przyznanie w latach 1923 i 1924 pokojowych nagród Nobla. Przez cztery lata wcześniejsze otrzymywali je politycy, którzy silnie związani byli z narodzinami Ligi</w:t>
      </w:r>
      <w:r w:rsidR="004C72CC" w:rsidRPr="003C0842">
        <w:t>:</w:t>
      </w:r>
      <w:r w:rsidRPr="003C0842">
        <w:t xml:space="preserve"> w 1919 r. Woodrow Wilson, 19</w:t>
      </w:r>
      <w:r w:rsidR="006818B7" w:rsidRPr="003C0842">
        <w:t>20 r. Leòn Bourgeois, 1921 r. H</w:t>
      </w:r>
      <w:r w:rsidRPr="003C0842">
        <w:t>jalmar Branting,</w:t>
      </w:r>
      <w:r w:rsidR="00174833" w:rsidRPr="003C0842">
        <w:t xml:space="preserve"> w</w:t>
      </w:r>
      <w:r w:rsidRPr="003C0842">
        <w:t xml:space="preserve"> 1922 r. Fridtjof Nansen. Po dwuletniej przerwie pokojowe laury noblowskie otrzymali w 1925 r. Austen Chamberlain oraz Dawes, a w roku następnym Briand i Stresemann. </w:t>
      </w:r>
    </w:p>
    <w:p w:rsidR="00A200B5" w:rsidRPr="003C0842" w:rsidRDefault="00FC4D67" w:rsidP="00111348">
      <w:pPr>
        <w:spacing w:line="360" w:lineRule="auto"/>
        <w:ind w:firstLine="709"/>
      </w:pPr>
      <w:r w:rsidRPr="003C0842">
        <w:t>Byli to ostatni laureaci P</w:t>
      </w:r>
      <w:r w:rsidR="00A200B5" w:rsidRPr="003C0842">
        <w:t xml:space="preserve">okojowej Nagrody Nobla aż do 1944 r. Także w tym ujęciu uwypukla się wielka rola problemu niemieckiego jako istotnego, zgoła centralnego elementu europejskiego status quo rozwiązywanego z udziałem Ligi. Uwypuklona też została rola wybitnej trójki polityków, którzy reprezentowali Wielką Brytanię, Francję i Niemcy. To oni z wielką zręcznością </w:t>
      </w:r>
      <w:r w:rsidR="00B8327C" w:rsidRPr="003C0842">
        <w:t xml:space="preserve">pospołu </w:t>
      </w:r>
      <w:r w:rsidR="00A200B5" w:rsidRPr="003C0842">
        <w:t xml:space="preserve">sterowali „nawą” europejską w okresie nazywanym przez historiografię niemiecką </w:t>
      </w:r>
      <w:r w:rsidR="00164234" w:rsidRPr="003C0842">
        <w:t>–</w:t>
      </w:r>
      <w:r w:rsidR="00A200B5" w:rsidRPr="003C0842">
        <w:t>złotymi latami dwudziestymi.</w:t>
      </w:r>
    </w:p>
    <w:p w:rsidR="00FC4D67" w:rsidRPr="003C0842" w:rsidRDefault="00A200B5" w:rsidP="00111348">
      <w:pPr>
        <w:shd w:val="clear" w:color="auto" w:fill="FFFFFF"/>
        <w:suppressAutoHyphens/>
        <w:spacing w:line="360" w:lineRule="auto"/>
        <w:ind w:right="40" w:firstLine="720"/>
      </w:pPr>
      <w:r w:rsidRPr="003C0842">
        <w:t xml:space="preserve">Towarzyszyło im stopniowe przezwyciężanie ograniczeń narzuconych przez traktat wersalski, w czym istotny udział miały </w:t>
      </w:r>
      <w:r w:rsidR="004C72CC" w:rsidRPr="003C0842">
        <w:t>elementy</w:t>
      </w:r>
      <w:r w:rsidRPr="003C0842">
        <w:t xml:space="preserve"> okalające proces przybliżania się Niemiec do Ligi. Pozycję Niemiec i Niemców, także we własnym mniemaniu</w:t>
      </w:r>
      <w:r w:rsidR="004C72CC" w:rsidRPr="003C0842">
        <w:t>,</w:t>
      </w:r>
      <w:r w:rsidRPr="003C0842">
        <w:t xml:space="preserve"> poprawiało przyjmowane założenie, że wstąpieniu będzie towarzyszyło przyznanie im stałego miejsca w Radzie. Oznaczało to automatyczne wejście do grona mocarstw. Nie bez znaczenia było</w:t>
      </w:r>
      <w:r w:rsidR="004C72CC" w:rsidRPr="003C0842">
        <w:t xml:space="preserve"> i</w:t>
      </w:r>
      <w:r w:rsidRPr="003C0842">
        <w:t xml:space="preserve"> to, że wszyscy dotychczasowi stali członkowie Rady byli członkami </w:t>
      </w:r>
      <w:r w:rsidR="00CB09EC" w:rsidRPr="003C0842">
        <w:t>Entent</w:t>
      </w:r>
      <w:r w:rsidR="006818B7" w:rsidRPr="003C0842">
        <w:t>e</w:t>
      </w:r>
      <w:r w:rsidR="00CB09EC" w:rsidRPr="003C0842">
        <w:t xml:space="preserve"> C</w:t>
      </w:r>
      <w:r w:rsidRPr="003C0842">
        <w:t xml:space="preserve">ordiale. Snucie przeróżnych teorii o przezwyciężeniu podziału na zwycięzców i pokonanych było wśród niemieckich zwolenników Ligi powszechne. </w:t>
      </w:r>
      <w:r w:rsidR="004C72CC" w:rsidRPr="003C0842">
        <w:t>„Na</w:t>
      </w:r>
      <w:r w:rsidRPr="003C0842">
        <w:t>kręcały</w:t>
      </w:r>
      <w:r w:rsidR="004C72CC" w:rsidRPr="003C0842">
        <w:t>”</w:t>
      </w:r>
      <w:r w:rsidRPr="003C0842">
        <w:t xml:space="preserve"> one też oczekiwania niemal w całości budowane na korzyściach</w:t>
      </w:r>
      <w:r w:rsidR="00FC4D67" w:rsidRPr="003C0842">
        <w:t>,</w:t>
      </w:r>
      <w:r w:rsidRPr="003C0842">
        <w:t xml:space="preserve"> jakie będą łączyły się z </w:t>
      </w:r>
      <w:r w:rsidR="00174833" w:rsidRPr="003C0842">
        <w:t>ich akcesją</w:t>
      </w:r>
      <w:r w:rsidRPr="003C0842">
        <w:t>. Zasadne, w przekonaniu ogółu Niemców, pretensje i żale na różne nieprawidłowości i niesprawiedliwości traktatu pokojowego będą mogły pojawić się na trybunie o ogromnej liczbie odbiorców.</w:t>
      </w:r>
      <w:r w:rsidR="00673274" w:rsidRPr="003C0842">
        <w:rPr>
          <w:color w:val="000000"/>
        </w:rPr>
        <w:t xml:space="preserve"> Powyższe ten</w:t>
      </w:r>
      <w:r w:rsidR="006818B7" w:rsidRPr="003C0842">
        <w:rPr>
          <w:color w:val="000000"/>
        </w:rPr>
        <w:t xml:space="preserve">dencje znany polityk niemiecki </w:t>
      </w:r>
      <w:r w:rsidR="00671294" w:rsidRPr="003C0842">
        <w:rPr>
          <w:color w:val="000000"/>
        </w:rPr>
        <w:t>V</w:t>
      </w:r>
      <w:r w:rsidR="00673274" w:rsidRPr="003C0842">
        <w:rPr>
          <w:color w:val="000000"/>
        </w:rPr>
        <w:t xml:space="preserve">erner von Rheinbaben ujął </w:t>
      </w:r>
      <w:r w:rsidR="00673274" w:rsidRPr="001E5F63">
        <w:rPr>
          <w:color w:val="000000"/>
        </w:rPr>
        <w:t xml:space="preserve">następująco: </w:t>
      </w:r>
      <w:r w:rsidR="00900BE3" w:rsidRPr="001E5F63">
        <w:rPr>
          <w:color w:val="000000"/>
        </w:rPr>
        <w:t>„</w:t>
      </w:r>
      <w:r w:rsidR="00673274" w:rsidRPr="001E5F63">
        <w:rPr>
          <w:color w:val="000000"/>
        </w:rPr>
        <w:t>Już delegacja niemiecka w Wersaluzdawała sobie sprawę z realności Ligi Narodów. Niemcy były jednak zbyt słabe</w:t>
      </w:r>
      <w:r w:rsidR="00FC4D67" w:rsidRPr="001E5F63">
        <w:rPr>
          <w:color w:val="000000"/>
        </w:rPr>
        <w:t>,</w:t>
      </w:r>
      <w:r w:rsidR="00673274" w:rsidRPr="001E5F63">
        <w:rPr>
          <w:color w:val="000000"/>
        </w:rPr>
        <w:t xml:space="preserve"> by samodzielnie lub tylko z jednym czy drugim dawnym sojusznikiem czy innym jakimś państwem, które pozostało im życzliwe, dążyć do zamiany stworzonego w Wersalu systemu. Czego im przede wszystkim było trzeba to platformy, z której skutecznie można było przedstawić niemieck</w:t>
      </w:r>
      <w:r w:rsidR="00FC4D67" w:rsidRPr="001E5F63">
        <w:rPr>
          <w:color w:val="000000"/>
        </w:rPr>
        <w:t>ą opinię o traktacie wersalskim</w:t>
      </w:r>
      <w:r w:rsidR="00900BE3" w:rsidRPr="001E5F63">
        <w:rPr>
          <w:color w:val="000000"/>
        </w:rPr>
        <w:t>”</w:t>
      </w:r>
      <w:r w:rsidR="00673274" w:rsidRPr="001E5F63">
        <w:rPr>
          <w:rStyle w:val="Odwoanieprzypisudolnego"/>
          <w:rFonts w:ascii="Times New Roman" w:hAnsi="Times New Roman"/>
          <w:color w:val="000000"/>
          <w:sz w:val="24"/>
        </w:rPr>
        <w:footnoteReference w:id="193"/>
      </w:r>
      <w:r w:rsidR="00673274" w:rsidRPr="001E5F63">
        <w:rPr>
          <w:color w:val="000000"/>
        </w:rPr>
        <w:t>.</w:t>
      </w:r>
    </w:p>
    <w:p w:rsidR="00A200B5" w:rsidRPr="003C0842" w:rsidRDefault="00A200B5" w:rsidP="00111348">
      <w:pPr>
        <w:spacing w:line="360" w:lineRule="auto"/>
        <w:ind w:firstLine="709"/>
      </w:pPr>
      <w:r w:rsidRPr="003C0842">
        <w:lastRenderedPageBreak/>
        <w:t>Na temat słabości propagandy niemieckiej, tak na świecie</w:t>
      </w:r>
      <w:r w:rsidR="00FC4D67" w:rsidRPr="003C0842">
        <w:t>,</w:t>
      </w:r>
      <w:r w:rsidRPr="003C0842">
        <w:t xml:space="preserve"> jak i w odniesieniu do własnych obywateli mówił kilkakrotnie Stresemann w Reichstagu. Tam też polemizował z przeciwnikami aktywnej polityki Niemiec wobec Ligi, także z szeregów własnej Deutsche Volkspartei. Przeciągnięcie do grupy neutralnych lub niezdecydowanych było o tyle ważne,</w:t>
      </w:r>
      <w:r w:rsidR="00174833" w:rsidRPr="003C0842">
        <w:t xml:space="preserve"> że w Reichstagu ścierały się trzy</w:t>
      </w:r>
      <w:r w:rsidRPr="003C0842">
        <w:t xml:space="preserve"> tendencje</w:t>
      </w:r>
      <w:r w:rsidR="004C72CC" w:rsidRPr="003C0842">
        <w:t xml:space="preserve"> o zbliżonym potencjale</w:t>
      </w:r>
      <w:r w:rsidRPr="003C0842">
        <w:t xml:space="preserve"> – zwolenników Ligi (socjaldemokraci, demokraci), przeciwników (komuniści i partie prawicowe w tym Deutsche Volkspartei) oraz niezdecydowanych, których istotną siłę stanowiło </w:t>
      </w:r>
      <w:r w:rsidR="00CB09EC" w:rsidRPr="003C0842">
        <w:t xml:space="preserve">podzielone zresztą </w:t>
      </w:r>
      <w:r w:rsidRPr="003C0842">
        <w:t>centrum.</w:t>
      </w:r>
    </w:p>
    <w:p w:rsidR="00A200B5" w:rsidRPr="003C0842" w:rsidRDefault="00A200B5" w:rsidP="00111348">
      <w:pPr>
        <w:spacing w:line="360" w:lineRule="auto"/>
        <w:ind w:firstLine="709"/>
      </w:pPr>
      <w:r w:rsidRPr="003C0842">
        <w:t xml:space="preserve">Motorem proligowej propagandy wewnętrznej była </w:t>
      </w:r>
      <w:r w:rsidR="004C72CC" w:rsidRPr="003C0842">
        <w:t xml:space="preserve">oczekiwana </w:t>
      </w:r>
      <w:r w:rsidRPr="003C0842">
        <w:t xml:space="preserve">ewakuacja Nadrenii, przewidziana w trzech etapach przez 15 lat. Przekonująco dla ogółu Niemców brzmiała teza, że </w:t>
      </w:r>
      <w:r w:rsidR="00174833" w:rsidRPr="003C0842">
        <w:t xml:space="preserve">obecność w </w:t>
      </w:r>
      <w:r w:rsidRPr="003C0842">
        <w:t>Li</w:t>
      </w:r>
      <w:r w:rsidR="00174833" w:rsidRPr="003C0842">
        <w:t>dze</w:t>
      </w:r>
      <w:r w:rsidRPr="003C0842">
        <w:t xml:space="preserve"> niejako automatycznie rozwiąże tę kwestię. Nie wyobrażano sobie</w:t>
      </w:r>
      <w:r w:rsidR="00FC4D67" w:rsidRPr="003C0842">
        <w:t>,</w:t>
      </w:r>
      <w:r w:rsidRPr="003C0842">
        <w:t xml:space="preserve"> aby na terytorium jednego z członków Ligi stacjonowały bez ich zgody obce wojska, będące pod komendą innego członka Ligi. Rozważane przy tej sposobności problemy suwerenności nad całością terytorium własnego państwa stawiały w podobny sposób </w:t>
      </w:r>
      <w:r w:rsidR="004C72CC" w:rsidRPr="003C0842">
        <w:t>status</w:t>
      </w:r>
      <w:r w:rsidRPr="003C0842">
        <w:t xml:space="preserve"> Zagłębia Saary, gdzie dopiero w 1935 r. miał się odbyć plebiscyt. O sytuacji w Zagłębiu było zresztą stale głośno, zwłaszcza w związku z zastrzeżeniami rządu niemieckiego wobec zarządzania tym terytorium przez Ligę</w:t>
      </w:r>
      <w:r w:rsidRPr="003C0842">
        <w:rPr>
          <w:rStyle w:val="Odwoanieprzypisudolnego"/>
          <w:rFonts w:ascii="Times New Roman" w:hAnsi="Times New Roman"/>
          <w:sz w:val="24"/>
        </w:rPr>
        <w:footnoteReference w:id="194"/>
      </w:r>
      <w:r w:rsidRPr="003C0842">
        <w:t>.</w:t>
      </w:r>
    </w:p>
    <w:p w:rsidR="00B56CE6" w:rsidRPr="003C0842" w:rsidRDefault="00B56CE6" w:rsidP="00111348">
      <w:pPr>
        <w:shd w:val="clear" w:color="auto" w:fill="FFFFFF"/>
        <w:suppressAutoHyphens/>
        <w:spacing w:line="360" w:lineRule="auto"/>
        <w:ind w:right="40" w:firstLine="720"/>
      </w:pPr>
      <w:r w:rsidRPr="003C0842">
        <w:rPr>
          <w:color w:val="000000"/>
        </w:rPr>
        <w:t xml:space="preserve">Niemniej nośną wymowę miały dyskusje wokół zobowiązań reparacyjnych. </w:t>
      </w:r>
      <w:r w:rsidR="004F48DE" w:rsidRPr="003C0842">
        <w:rPr>
          <w:color w:val="000000"/>
        </w:rPr>
        <w:t>Rezonowały one</w:t>
      </w:r>
      <w:r w:rsidR="003A31E6" w:rsidRPr="003C0842">
        <w:rPr>
          <w:color w:val="000000"/>
        </w:rPr>
        <w:t xml:space="preserve">społecznie </w:t>
      </w:r>
      <w:r w:rsidR="00164234" w:rsidRPr="003C0842">
        <w:rPr>
          <w:color w:val="000000"/>
        </w:rPr>
        <w:t>–</w:t>
      </w:r>
      <w:r w:rsidRPr="003C0842">
        <w:rPr>
          <w:color w:val="000000"/>
        </w:rPr>
        <w:t>w sensie przenośnym i dosłownym</w:t>
      </w:r>
      <w:r w:rsidR="004F48DE" w:rsidRPr="003C0842">
        <w:rPr>
          <w:color w:val="000000"/>
        </w:rPr>
        <w:t xml:space="preserve"> –</w:t>
      </w:r>
      <w:r w:rsidRPr="003C0842">
        <w:rPr>
          <w:color w:val="000000"/>
        </w:rPr>
        <w:t xml:space="preserve">zarówno </w:t>
      </w:r>
      <w:r w:rsidR="004F48DE" w:rsidRPr="003C0842">
        <w:rPr>
          <w:color w:val="000000"/>
        </w:rPr>
        <w:t xml:space="preserve">wśród </w:t>
      </w:r>
      <w:r w:rsidRPr="003C0842">
        <w:rPr>
          <w:color w:val="000000"/>
        </w:rPr>
        <w:t>zwycięzców, pokonanych, jak i neutralnych. Ernest Hemingway decydując się w 1922 r. na odwiedziny Niemiec</w:t>
      </w:r>
      <w:r w:rsidR="00FC4D67" w:rsidRPr="003C0842">
        <w:rPr>
          <w:color w:val="000000"/>
        </w:rPr>
        <w:t>,</w:t>
      </w:r>
      <w:r w:rsidRPr="003C0842">
        <w:rPr>
          <w:color w:val="000000"/>
        </w:rPr>
        <w:t xml:space="preserve"> wierzył, że „cykl artykułów z kraju, gdzie ludzie głodują dlatego, żeby rząd mógł płacić odszkodowania wojenne Francji i Anglii, pomoże czytelnikom kanadyjskim wniknąć głębiej w tajniki sytuacji w Europie”</w:t>
      </w:r>
      <w:r w:rsidRPr="003C0842">
        <w:rPr>
          <w:rStyle w:val="Odwoanieprzypisudolnego"/>
          <w:rFonts w:ascii="Times New Roman" w:hAnsi="Times New Roman"/>
          <w:color w:val="000000"/>
          <w:sz w:val="24"/>
        </w:rPr>
        <w:footnoteReference w:id="195"/>
      </w:r>
      <w:r w:rsidRPr="003C0842">
        <w:rPr>
          <w:color w:val="000000"/>
        </w:rPr>
        <w:t>.</w:t>
      </w:r>
    </w:p>
    <w:p w:rsidR="00A200B5" w:rsidRPr="003C0842" w:rsidRDefault="00A200B5" w:rsidP="00111348">
      <w:pPr>
        <w:spacing w:line="360" w:lineRule="auto"/>
        <w:ind w:firstLine="709"/>
      </w:pPr>
      <w:r w:rsidRPr="003C0842">
        <w:t>Terenem dużych ekscytacji społecznych były sprawy kolonialne. Rozrzut oczekiwań był duży – od zwrotu, poprzez współudział w zarządzaniu i eksploatacji</w:t>
      </w:r>
      <w:r w:rsidR="00FC4D67" w:rsidRPr="003C0842">
        <w:t>,</w:t>
      </w:r>
      <w:r w:rsidRPr="003C0842">
        <w:t xml:space="preserve"> aż do skromnego postulatu uczestniczenia w Komisji Mandatowej. Istotnym utrudnieniem kampanii podejmującej </w:t>
      </w:r>
      <w:r w:rsidR="007D378F" w:rsidRPr="003C0842">
        <w:t>„</w:t>
      </w:r>
      <w:r w:rsidR="004F48DE" w:rsidRPr="003C0842">
        <w:t>K</w:t>
      </w:r>
      <w:r w:rsidRPr="003C0842">
        <w:t>olonialfrage</w:t>
      </w:r>
      <w:r w:rsidR="00297C47" w:rsidRPr="003C0842">
        <w:rPr>
          <w:lang w:bidi="he-IL"/>
        </w:rPr>
        <w:t>”</w:t>
      </w:r>
      <w:r w:rsidRPr="003C0842">
        <w:t xml:space="preserve"> było to, że niemal wszystkie niemieckie posiadłości znalazły się pod zarządem brytyjskim. </w:t>
      </w:r>
      <w:r w:rsidR="004F48DE" w:rsidRPr="003C0842">
        <w:t>Prowokowanie</w:t>
      </w:r>
      <w:r w:rsidRPr="003C0842">
        <w:t xml:space="preserve"> najważniejszego opiekuna i promotora zmian </w:t>
      </w:r>
      <w:r w:rsidR="0042431F" w:rsidRPr="003C0842">
        <w:t xml:space="preserve">raczej </w:t>
      </w:r>
      <w:r w:rsidRPr="003C0842">
        <w:t xml:space="preserve">nie </w:t>
      </w:r>
      <w:r w:rsidR="0042431F" w:rsidRPr="003C0842">
        <w:t>wchodziło</w:t>
      </w:r>
      <w:r w:rsidRPr="003C0842">
        <w:t xml:space="preserve"> w grę, </w:t>
      </w:r>
      <w:r w:rsidR="0042431F" w:rsidRPr="003C0842">
        <w:t xml:space="preserve">nawet jeśli tylko mówiono </w:t>
      </w:r>
      <w:r w:rsidR="003A1DF9" w:rsidRPr="003C0842">
        <w:t>o współzarządzaniu</w:t>
      </w:r>
      <w:r w:rsidR="0042431F" w:rsidRPr="003C0842">
        <w:t xml:space="preserve"> obszarami </w:t>
      </w:r>
      <w:r w:rsidR="0042431F" w:rsidRPr="003C0842">
        <w:lastRenderedPageBreak/>
        <w:t>mandatowymi.</w:t>
      </w:r>
      <w:r w:rsidR="003A1DF9" w:rsidRPr="003C0842">
        <w:t xml:space="preserve"> R</w:t>
      </w:r>
      <w:r w:rsidRPr="003C0842">
        <w:t xml:space="preserve">ozumieli </w:t>
      </w:r>
      <w:r w:rsidR="003A1DF9" w:rsidRPr="003C0842">
        <w:t>tę zależność wszyscy</w:t>
      </w:r>
      <w:r w:rsidR="004F48DE" w:rsidRPr="003C0842">
        <w:t>,</w:t>
      </w:r>
      <w:r w:rsidR="003A1DF9" w:rsidRPr="003C0842">
        <w:t xml:space="preserve">nawet najbardziej zdecydowani </w:t>
      </w:r>
      <w:r w:rsidR="004F48DE" w:rsidRPr="003C0842">
        <w:t xml:space="preserve">wrogowie </w:t>
      </w:r>
      <w:r w:rsidRPr="003C0842">
        <w:t xml:space="preserve">traktatu pokojowego. </w:t>
      </w:r>
      <w:r w:rsidR="003A1DF9" w:rsidRPr="003C0842">
        <w:t>Niemniej jednak z</w:t>
      </w:r>
      <w:r w:rsidR="0042431F" w:rsidRPr="003C0842">
        <w:t xml:space="preserve">a sprawą aktywnego Deutschen Kolonialgesellschaft, którym kierował Theodor Seitz,problem </w:t>
      </w:r>
      <w:r w:rsidRPr="003C0842">
        <w:t xml:space="preserve">kolonii został włączony do dyskusji </w:t>
      </w:r>
      <w:r w:rsidR="003A1DF9" w:rsidRPr="003C0842">
        <w:t>i połączony z</w:t>
      </w:r>
      <w:r w:rsidRPr="003C0842">
        <w:t xml:space="preserve"> reparac</w:t>
      </w:r>
      <w:r w:rsidR="003A1DF9" w:rsidRPr="003C0842">
        <w:t>jami.</w:t>
      </w:r>
      <w:r w:rsidR="004F48DE" w:rsidRPr="003C0842">
        <w:t>Przekonywano</w:t>
      </w:r>
      <w:r w:rsidR="003A1DF9" w:rsidRPr="003C0842">
        <w:t>, że</w:t>
      </w:r>
      <w:r w:rsidRPr="003C0842">
        <w:t xml:space="preserve"> udział w eksploatacji surowców</w:t>
      </w:r>
      <w:r w:rsidR="003A1DF9" w:rsidRPr="003C0842">
        <w:t xml:space="preserve"> z byłych kolonii jest istotnym</w:t>
      </w:r>
      <w:r w:rsidRPr="003C0842">
        <w:t xml:space="preserve"> warunkiem powodzenia planu</w:t>
      </w:r>
      <w:r w:rsidR="003A1DF9" w:rsidRPr="003C0842">
        <w:t>Dawesa</w:t>
      </w:r>
      <w:r w:rsidRPr="003C0842">
        <w:t xml:space="preserve">. Skoro w interesie wierzycieli jest utrzymanie zrównoważonego bilansu handlowego, to pozyskanie surowców i chłonnych rynków zbytu odgrywa </w:t>
      </w:r>
      <w:r w:rsidR="002E6E53" w:rsidRPr="003C0842">
        <w:t xml:space="preserve">ważną, nieraz </w:t>
      </w:r>
      <w:r w:rsidRPr="003C0842">
        <w:t>zasadniczą rolę. Najczęściej wskazywano na kauczuk, bawełnę, miedź, kakao, tytoń. Utracone kolonie w Afryce miały w tych oczekiwaniach istotne znaczenie</w:t>
      </w:r>
      <w:r w:rsidR="00297C47" w:rsidRPr="003C0842">
        <w:t>,</w:t>
      </w:r>
      <w:r w:rsidRPr="003C0842">
        <w:t xml:space="preserve"> gdyż posiadane kiedyś rynki zbytu zostały zajęte lub zamknięte przez wysokie cła</w:t>
      </w:r>
      <w:r w:rsidRPr="003C0842">
        <w:rPr>
          <w:rStyle w:val="Odwoanieprzypisudolnego"/>
          <w:rFonts w:ascii="Times New Roman" w:hAnsi="Times New Roman"/>
          <w:sz w:val="24"/>
        </w:rPr>
        <w:footnoteReference w:id="196"/>
      </w:r>
      <w:r w:rsidRPr="003C0842">
        <w:t>.</w:t>
      </w:r>
    </w:p>
    <w:p w:rsidR="0035423D" w:rsidRPr="003C0842" w:rsidRDefault="004F48DE" w:rsidP="00111348">
      <w:pPr>
        <w:spacing w:line="360" w:lineRule="auto"/>
        <w:ind w:firstLine="709"/>
      </w:pPr>
      <w:r w:rsidRPr="003C0842">
        <w:t>Stosunkowo siln</w:t>
      </w:r>
      <w:r w:rsidR="002E6E53" w:rsidRPr="003C0842">
        <w:t>e</w:t>
      </w:r>
      <w:r w:rsidRPr="003C0842">
        <w:t xml:space="preserve">były też reakcje </w:t>
      </w:r>
      <w:r w:rsidR="002E6E53" w:rsidRPr="003C0842">
        <w:t>społeczne</w:t>
      </w:r>
      <w:r w:rsidRPr="003C0842">
        <w:t xml:space="preserve"> związane z </w:t>
      </w:r>
      <w:r w:rsidR="009A36FE" w:rsidRPr="003C0842">
        <w:t>możliwością wykorzystania</w:t>
      </w:r>
      <w:r w:rsidR="00A200B5" w:rsidRPr="003C0842">
        <w:t xml:space="preserve"> wybrany</w:t>
      </w:r>
      <w:r w:rsidR="009A36FE" w:rsidRPr="003C0842">
        <w:t>ch</w:t>
      </w:r>
      <w:r w:rsidR="00A200B5" w:rsidRPr="003C0842">
        <w:t xml:space="preserve"> artykuł</w:t>
      </w:r>
      <w:r w:rsidR="009A36FE" w:rsidRPr="003C0842">
        <w:t>ów</w:t>
      </w:r>
      <w:r w:rsidR="00A200B5" w:rsidRPr="003C0842">
        <w:t xml:space="preserve"> Paktu</w:t>
      </w:r>
      <w:r w:rsidR="009A36FE" w:rsidRPr="003C0842">
        <w:t xml:space="preserve"> do własnych celów. </w:t>
      </w:r>
      <w:r w:rsidR="00A200B5" w:rsidRPr="003C0842">
        <w:t xml:space="preserve">Chodziło szczególnie o swoistą grę </w:t>
      </w:r>
      <w:r w:rsidR="00297C47" w:rsidRPr="003C0842">
        <w:t>art.</w:t>
      </w:r>
      <w:r w:rsidR="00A200B5" w:rsidRPr="003C0842">
        <w:t xml:space="preserve"> 19 Paktu</w:t>
      </w:r>
      <w:r w:rsidR="0035423D" w:rsidRPr="003C0842">
        <w:t xml:space="preserve">, który mówił o możliwości pokojowej zmiany traktatów, których dalsze stosowanie mogłoby zagrozić pokojowi świata. </w:t>
      </w:r>
      <w:r w:rsidR="00A200B5" w:rsidRPr="003C0842">
        <w:t xml:space="preserve">Rozwijana dyskusja nad przydatnością </w:t>
      </w:r>
      <w:r w:rsidR="0035423D" w:rsidRPr="003C0842">
        <w:t>tego artykułu</w:t>
      </w:r>
      <w:r w:rsidR="00A200B5" w:rsidRPr="003C0842">
        <w:t xml:space="preserve"> miała tę dodatnią stronę, że warunkiem jego zastosowania była obecność Niemiec w Lidze.Z natury rzeczy zasadniczy nacisk musiał być położony na </w:t>
      </w:r>
      <w:r w:rsidR="0035423D" w:rsidRPr="003C0842">
        <w:t>zmiany</w:t>
      </w:r>
      <w:r w:rsidR="00A200B5" w:rsidRPr="003C0842">
        <w:t xml:space="preserve"> drogą pokojową. Przekonanie, że się to wkrótce dokona</w:t>
      </w:r>
      <w:r w:rsidR="00297C47" w:rsidRPr="003C0842">
        <w:t>,</w:t>
      </w:r>
      <w:r w:rsidR="00A200B5" w:rsidRPr="003C0842">
        <w:t xml:space="preserve"> było powszechne</w:t>
      </w:r>
      <w:r w:rsidR="009A36FE" w:rsidRPr="003C0842">
        <w:t>. M</w:t>
      </w:r>
      <w:r w:rsidR="00A200B5" w:rsidRPr="003C0842">
        <w:t>obiliz</w:t>
      </w:r>
      <w:r w:rsidR="009A36FE" w:rsidRPr="003C0842">
        <w:t xml:space="preserve">owało ono też </w:t>
      </w:r>
      <w:r w:rsidR="00A200B5" w:rsidRPr="003C0842">
        <w:t xml:space="preserve">do działania na rzecz utrzymania „niemieckości” na obszarach, które miały </w:t>
      </w:r>
      <w:r w:rsidR="009A36FE" w:rsidRPr="003C0842">
        <w:t xml:space="preserve">– wcześniej czy później </w:t>
      </w:r>
      <w:r w:rsidR="00164234" w:rsidRPr="003C0842">
        <w:t>–</w:t>
      </w:r>
      <w:r w:rsidR="00A200B5" w:rsidRPr="003C0842">
        <w:t xml:space="preserve">wrócić do Rzeszy. </w:t>
      </w:r>
    </w:p>
    <w:p w:rsidR="00F17015" w:rsidRPr="003C0842" w:rsidRDefault="009A36FE" w:rsidP="00111348">
      <w:pPr>
        <w:spacing w:line="360" w:lineRule="auto"/>
        <w:ind w:firstLine="709"/>
      </w:pPr>
      <w:r w:rsidRPr="003C0842">
        <w:t xml:space="preserve">Powyższe oczekiwania należy lokować wśród </w:t>
      </w:r>
      <w:r w:rsidR="00A200B5" w:rsidRPr="003C0842">
        <w:t xml:space="preserve">głównych powodów łączenia art. 19 z bieżącą polityką Republiki Weimarskiej wobec mniejszości niemieckiej. Jakkolwiek </w:t>
      </w:r>
      <w:r w:rsidR="002263F7" w:rsidRPr="003C0842">
        <w:t xml:space="preserve">owa mniejszość </w:t>
      </w:r>
      <w:r w:rsidR="00A200B5" w:rsidRPr="003C0842">
        <w:t>okalała cały kraj, to koncentracja terytorialnego rewizjonizmu niemieckiego na wschodzie i południowym wschodzie mobilizowała ogół obywateli do obrony „stanu potencjalnego posiadania” w tym obszarze. To tutaj właśnie straty terytorialne i ludnościowe były najbardziej dotkliwe</w:t>
      </w:r>
      <w:r w:rsidR="002263F7" w:rsidRPr="003C0842">
        <w:t>,</w:t>
      </w:r>
      <w:r w:rsidR="00A200B5" w:rsidRPr="003C0842">
        <w:t xml:space="preserve"> wywołując ogólnonarodow</w:t>
      </w:r>
      <w:r w:rsidR="00F17015" w:rsidRPr="003C0842">
        <w:t>e</w:t>
      </w:r>
      <w:r w:rsidR="00A200B5" w:rsidRPr="003C0842">
        <w:t xml:space="preserve"> potępienie mściwych </w:t>
      </w:r>
      <w:r w:rsidR="00F17015" w:rsidRPr="003C0842">
        <w:t>zw</w:t>
      </w:r>
      <w:r w:rsidR="00A200B5" w:rsidRPr="003C0842">
        <w:t xml:space="preserve">ycięzców i przez nich uposażonych beneficjentów. </w:t>
      </w:r>
    </w:p>
    <w:p w:rsidR="00A200B5" w:rsidRPr="003C0842" w:rsidRDefault="00A200B5" w:rsidP="00111348">
      <w:pPr>
        <w:spacing w:line="360" w:lineRule="auto"/>
        <w:ind w:firstLine="709"/>
      </w:pPr>
      <w:r w:rsidRPr="003C0842">
        <w:t xml:space="preserve">Na wywalczonym i wypromowanym przez organizacje żydowskie systemie ligowej ochrony mniejszości rasowych, religijnych i językowych najbardziej skorzystała </w:t>
      </w:r>
      <w:r w:rsidR="00F17015" w:rsidRPr="003C0842">
        <w:t xml:space="preserve">(!?) </w:t>
      </w:r>
      <w:r w:rsidRPr="003C0842">
        <w:t>mniejszość niemiecka. Ochrona około 5</w:t>
      </w:r>
      <w:r w:rsidR="004777C9" w:rsidRPr="003C0842">
        <w:t>-6</w:t>
      </w:r>
      <w:r w:rsidRPr="003C0842">
        <w:t xml:space="preserve"> mln Niemców zamieszkujących takie nowo powstałe państwa</w:t>
      </w:r>
      <w:r w:rsidR="00297C47" w:rsidRPr="003C0842">
        <w:t>,</w:t>
      </w:r>
      <w:r w:rsidRPr="003C0842">
        <w:t xml:space="preserve"> jak Polska, Czechosłowacja, Jugosławia czy państwa bałtyckie miała być formą obrony zamieszkujących tam Niemców przed złym traktowaniem ze strony </w:t>
      </w:r>
      <w:r w:rsidR="009A36FE" w:rsidRPr="003C0842">
        <w:t xml:space="preserve">nowopowstałych </w:t>
      </w:r>
      <w:r w:rsidRPr="003C0842">
        <w:t xml:space="preserve">państw. Wzgląd ten był podkreślany przez zwycięskie mocarstwa dla </w:t>
      </w:r>
      <w:r w:rsidRPr="003C0842">
        <w:lastRenderedPageBreak/>
        <w:t xml:space="preserve">uspokojenia </w:t>
      </w:r>
      <w:r w:rsidR="003A1DF9" w:rsidRPr="003C0842">
        <w:t>ponawianych</w:t>
      </w:r>
      <w:r w:rsidRPr="003C0842">
        <w:t xml:space="preserve"> obaw Niemców utrzymujących, że konflikty narodowościowe na obszarach zajętych przez nowe państwa spowodują napływ rodaków do Niemiec, pogarszając sytuację gospodarczą i wzmagając niezadowolenie. </w:t>
      </w:r>
      <w:r w:rsidR="009A36FE" w:rsidRPr="003C0842">
        <w:t>Dodatkowym</w:t>
      </w:r>
      <w:r w:rsidRPr="003C0842">
        <w:t xml:space="preserve"> ukłonem wobec Niemiec było także to, że jako jedyne państwo pokonane nie zostało ono zobowiązane do przyjęcia tzw. małego traktatu wersalskiego dotyczącego międzynarodowej ochrony mniejszości</w:t>
      </w:r>
      <w:r w:rsidRPr="003C0842">
        <w:rPr>
          <w:rStyle w:val="Odwoanieprzypisudolnego"/>
          <w:rFonts w:ascii="Times New Roman" w:hAnsi="Times New Roman"/>
          <w:sz w:val="24"/>
        </w:rPr>
        <w:footnoteReference w:id="197"/>
      </w:r>
      <w:r w:rsidRPr="003C0842">
        <w:t>.</w:t>
      </w:r>
    </w:p>
    <w:p w:rsidR="00F17015" w:rsidRPr="003C0842" w:rsidRDefault="00A200B5" w:rsidP="00111348">
      <w:pPr>
        <w:spacing w:line="360" w:lineRule="auto"/>
        <w:ind w:firstLine="709"/>
      </w:pPr>
      <w:r w:rsidRPr="003C0842">
        <w:t>Wzmagało to, zwłaszcza w państwach z obozu zwycięskiego</w:t>
      </w:r>
      <w:r w:rsidR="009A36FE" w:rsidRPr="003C0842">
        <w:t>,</w:t>
      </w:r>
      <w:r w:rsidRPr="003C0842">
        <w:t xml:space="preserve"> wrogość wobec nowatorskiego systemu. Gwałcąc zasadę suwerennego państwa, że tylko ono ustanawia prawa i obowiązki wobec</w:t>
      </w:r>
      <w:r w:rsidR="00F17015" w:rsidRPr="003C0842">
        <w:t xml:space="preserve"> swoich</w:t>
      </w:r>
      <w:r w:rsidRPr="003C0842">
        <w:t xml:space="preserve"> obywateli, sugerowało możliwość ingerencji czynnika obcego (międzynarodowego) w sprawy wewnętrzne. Złamana została też istotna zasada równości państwczłonków w Lidze, której traktaty pokojowe przekazywały ochronę mniejszości. Dzięki temu forum genewskie stało się terenem sporów, często ostrych, a zawsze o politycznym wydźwięku. To głównie Niemcy i Węgrzy krytykowały Ligę i walczyły o rozszerzenie ochrony poprzez przyznanie samym mniejszościom prawa do bezpośredniego składania petycji (skarg) do Genewy na państwa przez nie zamieszkiwane. </w:t>
      </w:r>
    </w:p>
    <w:p w:rsidR="00F17015" w:rsidRPr="003C0842" w:rsidRDefault="00A200B5" w:rsidP="00111348">
      <w:pPr>
        <w:spacing w:line="360" w:lineRule="auto"/>
        <w:ind w:firstLine="709"/>
      </w:pPr>
      <w:r w:rsidRPr="003C0842">
        <w:t>Wynikająca z traktatu mniejszościowego procedura wymagała</w:t>
      </w:r>
      <w:r w:rsidR="00C77821" w:rsidRPr="003C0842">
        <w:t>,</w:t>
      </w:r>
      <w:r w:rsidRPr="003C0842">
        <w:t xml:space="preserve"> aby</w:t>
      </w:r>
      <w:r w:rsidR="00F17015" w:rsidRPr="003C0842">
        <w:t xml:space="preserve"> Sekretariat otrzymaną </w:t>
      </w:r>
      <w:r w:rsidRPr="003C0842">
        <w:t xml:space="preserve">skargę przekazywał do wiadomości zainteresowanego państwa oraz członków Rady. Dalszy bieg sprawy </w:t>
      </w:r>
      <w:r w:rsidR="00C77821" w:rsidRPr="003C0842">
        <w:t>był uzależniony od</w:t>
      </w:r>
      <w:r w:rsidRPr="003C0842">
        <w:t xml:space="preserve"> uznanie skargi za uzasadnioną przez konkretnego członka Rady. Polityczny wydźwięk takiej interwencji skłonił do </w:t>
      </w:r>
      <w:r w:rsidR="00F17015" w:rsidRPr="003C0842">
        <w:t xml:space="preserve">przekazania </w:t>
      </w:r>
      <w:r w:rsidRPr="003C0842">
        <w:t>t</w:t>
      </w:r>
      <w:r w:rsidR="00F17015" w:rsidRPr="003C0842">
        <w:t>ego</w:t>
      </w:r>
      <w:r w:rsidRPr="003C0842">
        <w:t xml:space="preserve"> zadani</w:t>
      </w:r>
      <w:r w:rsidR="00F17015" w:rsidRPr="003C0842">
        <w:t>a</w:t>
      </w:r>
      <w:r w:rsidRPr="003C0842">
        <w:t xml:space="preserve"> tzw. Komitet</w:t>
      </w:r>
      <w:r w:rsidR="00F17015" w:rsidRPr="003C0842">
        <w:t>owi</w:t>
      </w:r>
      <w:r w:rsidRPr="003C0842">
        <w:t xml:space="preserve"> Trzech, złożonego z przewodniczącego Rady i dwóch jej członków. Rozwiązanie to zostało wprowadzone na wniosek premiera </w:t>
      </w:r>
      <w:r w:rsidR="00297C47" w:rsidRPr="003C0842">
        <w:t xml:space="preserve">Arthura </w:t>
      </w:r>
      <w:r w:rsidRPr="003C0842">
        <w:t xml:space="preserve">Balfoura, który chciał zdjąć z delegatów brytyjskich odium notorycznego obrońcy dezyderatów mniejszości niemieckiej. </w:t>
      </w:r>
    </w:p>
    <w:p w:rsidR="00A200B5" w:rsidRPr="003C0842" w:rsidRDefault="00A200B5" w:rsidP="00111348">
      <w:pPr>
        <w:spacing w:line="360" w:lineRule="auto"/>
        <w:ind w:firstLine="709"/>
      </w:pPr>
      <w:r w:rsidRPr="003C0842">
        <w:t xml:space="preserve">Wprowadzenie instytucji Komitetu Trzech nie zmieniło zaangażowania polityków brytyjskich, którym sekundowali </w:t>
      </w:r>
      <w:r w:rsidR="00F17015" w:rsidRPr="003C0842">
        <w:t>aktywiści</w:t>
      </w:r>
      <w:r w:rsidRPr="003C0842">
        <w:t xml:space="preserve"> z League of Nations Union. To ona najbardziej zdecydowanie domagała się powołania w łonie światowego ruchu proligowego (UIA) stałej komisji monitorującej sytuację mniejszości narodowych. Promotor t</w:t>
      </w:r>
      <w:r w:rsidR="00A24133" w:rsidRPr="003C0842">
        <w:t>akiego rozwiązania</w:t>
      </w:r>
      <w:r w:rsidRPr="003C0842">
        <w:t xml:space="preserve"> lord Willoughby Dickinson, wspierany przez Gilberta Murraya czy lorda Cecila, skłonny był traktować ochronę mniejszości jako główne lub jedno z najważniejszych zadań Ligi. Zaangażowanie to było skuteczne w sytuacji zgodności działania filomniejszościowego </w:t>
      </w:r>
      <w:r w:rsidRPr="003C0842">
        <w:lastRenderedPageBreak/>
        <w:t>brytyjskiego ruchu proligowego z intencjami Foreign Office. Sukcesy jednych i porażki drugich</w:t>
      </w:r>
      <w:r w:rsidR="00C77821" w:rsidRPr="003C0842">
        <w:t>,</w:t>
      </w:r>
      <w:r w:rsidRPr="003C0842">
        <w:t xml:space="preserve"> w tak delikatnych i złożonych konfliktach zawierających pierwiastek mniejszościowy</w:t>
      </w:r>
      <w:r w:rsidR="00C77821" w:rsidRPr="003C0842">
        <w:t>,</w:t>
      </w:r>
      <w:r w:rsidRPr="003C0842">
        <w:t xml:space="preserve"> były w kilku pierwszych latach okresu międzywojennego łączone z czynnikiem brytyjskim</w:t>
      </w:r>
      <w:r w:rsidRPr="003C0842">
        <w:rPr>
          <w:rStyle w:val="Odwoanieprzypisudolnego"/>
          <w:rFonts w:ascii="Times New Roman" w:hAnsi="Times New Roman"/>
          <w:sz w:val="24"/>
        </w:rPr>
        <w:footnoteReference w:id="198"/>
      </w:r>
      <w:r w:rsidRPr="003C0842">
        <w:t xml:space="preserve">. </w:t>
      </w:r>
    </w:p>
    <w:p w:rsidR="00A200B5" w:rsidRPr="003C0842" w:rsidRDefault="00A200B5" w:rsidP="00111348">
      <w:pPr>
        <w:spacing w:line="360" w:lineRule="auto"/>
        <w:ind w:firstLine="709"/>
      </w:pPr>
      <w:r w:rsidRPr="003C0842">
        <w:t>Wsparcie brytyjskie uwidaczniało się najpełniej – jak już o tym wspomn</w:t>
      </w:r>
      <w:r w:rsidR="00A71684" w:rsidRPr="003C0842">
        <w:t>iano</w:t>
      </w:r>
      <w:r w:rsidRPr="003C0842">
        <w:t xml:space="preserve"> wyżej – w prowadzonych wówczas bojach o zachowanie stanu posiadania gospodarczego i demograficznego, na obszarach przejętych przez państwa nowo powstałe i wydatnie powiększone (jak Rumunia). Chodziło zwłaszcza o przeciwdziałanie wysiedleniom, łagodzenie skutków opcji narodowościow</w:t>
      </w:r>
      <w:r w:rsidR="00C77821" w:rsidRPr="003C0842">
        <w:t>ych</w:t>
      </w:r>
      <w:r w:rsidRPr="003C0842">
        <w:t>,</w:t>
      </w:r>
      <w:r w:rsidR="00C77821" w:rsidRPr="003C0842">
        <w:t xml:space="preserve"> możliwie</w:t>
      </w:r>
      <w:r w:rsidRPr="003C0842">
        <w:t xml:space="preserve"> bezstronnej narodowościowo reformie rolnej, prawo używania języka zwłaszcza w oświacie, aż po daleko idącą autonomię kulturalno-narodową. Ten ostatni postulat był </w:t>
      </w:r>
      <w:r w:rsidR="00C77821" w:rsidRPr="003C0842">
        <w:t>konsekwentnie zwalczany</w:t>
      </w:r>
      <w:r w:rsidRPr="003C0842">
        <w:t xml:space="preserve"> przez polityków państw mniejszościowych jako zagrożenie dla integralności państwa poprzez odseparowanie określoną formą prawną mniejszości od reszty obywateli. Ponadto zorganizowana na takiej podstawie mniejszość (narodowa, religijna, językowa) mogłaby występować jako strona wobec zamieszkiwanego przez nich państwa.</w:t>
      </w:r>
    </w:p>
    <w:p w:rsidR="00A200B5" w:rsidRPr="003C0842" w:rsidRDefault="00A200B5" w:rsidP="00111348">
      <w:pPr>
        <w:spacing w:line="360" w:lineRule="auto"/>
        <w:ind w:firstLine="709"/>
      </w:pPr>
      <w:r w:rsidRPr="003C0842">
        <w:t>Silnie w tradycji niemieckiej zakorzeniona opieka nad rodakami znajdującymi się poza krajem ojczystym przybrała po „wielkiej wojnie” formę zintegrowanego działania rządu i administracji państwowej, ruchu ziomków (obliczanych wówczas na 2 mln osób) oraz około 120 różnych organizacji skupionych w Niemieckim Związku Ochrony Niemczyzny Nadgranicznej i Zagranicznej. Stowarzyszenie, którego cele zostały jasno sprecyzowane w samej nazwie</w:t>
      </w:r>
      <w:r w:rsidR="00297C47" w:rsidRPr="003C0842">
        <w:t>,</w:t>
      </w:r>
      <w:r w:rsidRPr="003C0842">
        <w:t xml:space="preserve"> starało się zorganizować </w:t>
      </w:r>
      <w:r w:rsidR="00A24133" w:rsidRPr="003C0842">
        <w:t>„</w:t>
      </w:r>
      <w:r w:rsidRPr="003C0842">
        <w:t>auslanderów</w:t>
      </w:r>
      <w:r w:rsidR="00297C47" w:rsidRPr="003C0842">
        <w:rPr>
          <w:highlight w:val="cyan"/>
        </w:rPr>
        <w:t>(</w:t>
      </w:r>
      <w:r w:rsidR="00CA0312" w:rsidRPr="003C0842">
        <w:rPr>
          <w:highlight w:val="cyan"/>
        </w:rPr>
        <w:t>???zewnętrzny</w:t>
      </w:r>
      <w:r w:rsidR="00297C47" w:rsidRPr="003C0842">
        <w:rPr>
          <w:highlight w:val="cyan"/>
        </w:rPr>
        <w:t>)</w:t>
      </w:r>
      <w:r w:rsidRPr="003C0842">
        <w:t xml:space="preserve">zgodnie z oczekiwaniami rządu, </w:t>
      </w:r>
      <w:r w:rsidR="00A24133" w:rsidRPr="003C0842">
        <w:t xml:space="preserve">który </w:t>
      </w:r>
      <w:r w:rsidRPr="003C0842">
        <w:t>w 80% subwencjon</w:t>
      </w:r>
      <w:r w:rsidR="00A24133" w:rsidRPr="003C0842">
        <w:t>ował tę</w:t>
      </w:r>
      <w:r w:rsidRPr="003C0842">
        <w:t xml:space="preserve"> działalność, niezależn</w:t>
      </w:r>
      <w:r w:rsidR="00297C47" w:rsidRPr="003C0842">
        <w:t>ie</w:t>
      </w:r>
      <w:r w:rsidRPr="003C0842">
        <w:t xml:space="preserve"> od stanu kasy państwowej. W ścisłym kontakcie z AA jesienią 1922 r. doprowadzono do zjednoczenia europejskich grup mniejszościowych</w:t>
      </w:r>
      <w:r w:rsidR="00C77821" w:rsidRPr="003C0842">
        <w:t>, widząc w nich</w:t>
      </w:r>
      <w:r w:rsidRPr="003C0842">
        <w:t xml:space="preserve"> ważny czynnik destabilizujący system wersalski</w:t>
      </w:r>
      <w:r w:rsidRPr="003C0842">
        <w:rPr>
          <w:rStyle w:val="Odwoanieprzypisudolnego"/>
          <w:rFonts w:ascii="Times New Roman" w:hAnsi="Times New Roman"/>
          <w:sz w:val="24"/>
        </w:rPr>
        <w:footnoteReference w:id="199"/>
      </w:r>
      <w:r w:rsidRPr="003C0842">
        <w:t>.</w:t>
      </w:r>
    </w:p>
    <w:p w:rsidR="00BD56B3" w:rsidRDefault="00A200B5" w:rsidP="00111348">
      <w:pPr>
        <w:spacing w:line="360" w:lineRule="auto"/>
        <w:ind w:firstLine="709"/>
      </w:pPr>
      <w:r w:rsidRPr="003C0842">
        <w:t>Ogólnoniemiecka zgoda w powyższej sprawie połączona ze stale podniecanym ubolewaniem na złe, niesprawiedliwe traktowanie współziomków przez nuworyszy, korzystających z wielopokoleniowej niemieckiej krwawicy, powodowały, że ochrona mniejszości przez Ligę Narodów była sta</w:t>
      </w:r>
      <w:r w:rsidR="00A24133" w:rsidRPr="003C0842">
        <w:t>łym tematem</w:t>
      </w:r>
      <w:r w:rsidRPr="003C0842">
        <w:t xml:space="preserve">. Spory z mniejszościami narodowymi </w:t>
      </w:r>
      <w:r w:rsidRPr="003C0842">
        <w:lastRenderedPageBreak/>
        <w:t>w tle lub na pierwszej linii wypełniały istotną część relacji Niemiec z państwami, głównie</w:t>
      </w:r>
      <w:r w:rsidR="00A71684" w:rsidRPr="003C0842">
        <w:t xml:space="preserve"> sąsiedzkimi</w:t>
      </w:r>
      <w:r w:rsidRPr="003C0842">
        <w:t>. Unikając ipozostawiając „niewidzialnym” los Niemców w Alzacji i Lotaryngii, by nie drażnić Francji</w:t>
      </w:r>
      <w:r w:rsidR="00C97CE7" w:rsidRPr="003C0842">
        <w:t>,</w:t>
      </w:r>
      <w:r w:rsidRPr="003C0842">
        <w:t xml:space="preserve"> czy też niemieckich mieszkańców Górnej Adygi brutalnie italianizowanych przez Italię Mussoliniego, skupiono uwagę na obszarach uwzględnianych w planach Grossraumwirtschaft</w:t>
      </w:r>
      <w:r w:rsidR="00C97CE7" w:rsidRPr="003C0842">
        <w:t>,</w:t>
      </w:r>
      <w:r w:rsidRPr="003C0842">
        <w:t xml:space="preserve"> obecnych już od połowy XIX w.</w:t>
      </w:r>
      <w:r w:rsidRPr="003C0842">
        <w:rPr>
          <w:rStyle w:val="Odwoanieprzypisudolnego"/>
          <w:rFonts w:ascii="Times New Roman" w:hAnsi="Times New Roman"/>
          <w:sz w:val="24"/>
        </w:rPr>
        <w:footnoteReference w:id="200"/>
      </w:r>
      <w:r w:rsidRPr="003C0842">
        <w:t xml:space="preserve"> W stale żywych planach Mitteleuropy</w:t>
      </w:r>
      <w:r w:rsidR="00A24133" w:rsidRPr="003C0842">
        <w:t>,</w:t>
      </w:r>
      <w:r w:rsidRPr="003C0842">
        <w:t xml:space="preserve"> jako obszarze uprzywilejowanych wpływów niemieckich obejmujących Austrię, Czechy, Polskę, Węgry, Jugosławię i Rumunię</w:t>
      </w:r>
      <w:r w:rsidR="00A24133" w:rsidRPr="003C0842">
        <w:t>,</w:t>
      </w:r>
      <w:r w:rsidRPr="003C0842">
        <w:t xml:space="preserve"> problem mniejszości niemieckiej był obecny </w:t>
      </w:r>
      <w:r w:rsidR="00A71684" w:rsidRPr="003C0842">
        <w:t xml:space="preserve">na </w:t>
      </w:r>
      <w:r w:rsidRPr="003C0842">
        <w:t>różn</w:t>
      </w:r>
      <w:r w:rsidR="00A71684" w:rsidRPr="003C0842">
        <w:t>e sposoby.</w:t>
      </w:r>
      <w:r w:rsidRPr="003C0842">
        <w:t xml:space="preserve"> Wiodącym elementem podporządkowania tego obszaru Berlinowi miała być gospodarka, natomiast oparciem i organizacyjnym zapleczem właśnie ludność niemiecka tam mieszkająca.Nie słabła przeto pomoc dla tamtejszych organizacji mniejszościowyc</w:t>
      </w:r>
      <w:r w:rsidR="00A24133" w:rsidRPr="003C0842">
        <w:t>h ze strony Deutsche Stiftung, nawet</w:t>
      </w:r>
      <w:r w:rsidRPr="003C0842">
        <w:t xml:space="preserve"> wówczas, gdy stan finansów państwa był tragiczny.</w:t>
      </w:r>
    </w:p>
    <w:p w:rsidR="00A200B5" w:rsidRPr="003C0842" w:rsidRDefault="00A200B5" w:rsidP="00111348">
      <w:pPr>
        <w:spacing w:line="360" w:lineRule="auto"/>
        <w:ind w:firstLine="709"/>
      </w:pPr>
      <w:r w:rsidRPr="003C0842">
        <w:t>Propaganda</w:t>
      </w:r>
      <w:r w:rsidR="00F75B3F" w:rsidRPr="003C0842">
        <w:t>, zwłaszcza niemiecka i węgierska,</w:t>
      </w:r>
      <w:r w:rsidRPr="003C0842">
        <w:t xml:space="preserve"> łączyła prawa dla mniejszości z samym istnieniem państw nowo powstałych. Jeśli twórcy tych państw </w:t>
      </w:r>
      <w:r w:rsidR="00F75B3F" w:rsidRPr="003C0842">
        <w:t xml:space="preserve">(tzn. zwycięskie mocarstwa) </w:t>
      </w:r>
      <w:r w:rsidRPr="003C0842">
        <w:t>nie byliby przekonani, że będą one rzetelnie i w dobrzej wierze wywiązywać się z przyjętych zobowiązań, to</w:t>
      </w:r>
      <w:r w:rsidR="00C97CE7" w:rsidRPr="003C0842">
        <w:t xml:space="preserve"> zapewne </w:t>
      </w:r>
      <w:r w:rsidRPr="003C0842">
        <w:t xml:space="preserve">w ogóle </w:t>
      </w:r>
      <w:r w:rsidR="00C97CE7" w:rsidRPr="003C0842">
        <w:t xml:space="preserve">by </w:t>
      </w:r>
      <w:r w:rsidRPr="003C0842">
        <w:t xml:space="preserve">one nie powstały, a już na pewno nie w </w:t>
      </w:r>
      <w:r w:rsidR="00A71684" w:rsidRPr="003C0842">
        <w:t>przyznanych im</w:t>
      </w:r>
      <w:r w:rsidRPr="003C0842">
        <w:t xml:space="preserve"> granicach. Często i szeroko rozprawiano o dziejowej doniosłości zagadnień mniejszościowych dla takich państw jak Polska, Czechosłowacja czy kraje nadbałtyckie. </w:t>
      </w:r>
      <w:r w:rsidR="00900BE3" w:rsidRPr="001E5F63">
        <w:t>„</w:t>
      </w:r>
      <w:r w:rsidRPr="001E5F63">
        <w:t>Tylko zrozumienie tej misji – pisano we Freie Presse 13 kwietnia 1924 r. – i poddanie się bez zastrzeżeń [zobowiązaniom mniejszościowym – dop. S</w:t>
      </w:r>
      <w:r w:rsidR="00A71684" w:rsidRPr="001E5F63">
        <w:t>t</w:t>
      </w:r>
      <w:r w:rsidRPr="001E5F63">
        <w:t xml:space="preserve">.S.] zdoła Polsce zagwarantować przyszłość i zabezpieczyć jej granice. Kto zaś mniema, że świat jest zainteresowany, aby u jego boku wyrosła Polska </w:t>
      </w:r>
      <w:r w:rsidR="00363C44" w:rsidRPr="001E5F63">
        <w:t>o wybitnie polskim charakterze […]</w:t>
      </w:r>
      <w:r w:rsidRPr="001E5F63">
        <w:t xml:space="preserve"> ten lepiej niechaj nie próbuje swych sił w rozwią</w:t>
      </w:r>
      <w:r w:rsidR="00363C44" w:rsidRPr="001E5F63">
        <w:t>zaniu problemu mniejszościowego</w:t>
      </w:r>
      <w:r w:rsidR="00900BE3" w:rsidRPr="001E5F63">
        <w:t>”</w:t>
      </w:r>
      <w:r w:rsidRPr="001E5F63">
        <w:rPr>
          <w:rStyle w:val="Odwoanieprzypisudolnego"/>
          <w:rFonts w:ascii="Times New Roman" w:hAnsi="Times New Roman"/>
          <w:sz w:val="24"/>
        </w:rPr>
        <w:footnoteReference w:id="201"/>
      </w:r>
      <w:r w:rsidRPr="001E5F63">
        <w:t>.</w:t>
      </w:r>
    </w:p>
    <w:p w:rsidR="00A200B5" w:rsidRPr="003C0842" w:rsidRDefault="00A200B5" w:rsidP="00111348">
      <w:pPr>
        <w:spacing w:line="360" w:lineRule="auto"/>
        <w:ind w:firstLine="709"/>
      </w:pPr>
      <w:r w:rsidRPr="003C0842">
        <w:t xml:space="preserve">Ponad wszystkie szczegółowe kwestie podnoszone w Niemczech przez polityków i opinię publiczną wybijał się problem nierównoprawnego, poniżającego miejsca na kontynencie. Epicentrum tych żali i pretensji było w narzuconym i wymuszonym rozbrojeniu, na które w sensie społecznym nigdy nie było zgody, ani w Republice Weimarskiej, </w:t>
      </w:r>
      <w:r w:rsidR="00363C44" w:rsidRPr="003C0842">
        <w:t>ani</w:t>
      </w:r>
      <w:r w:rsidRPr="003C0842">
        <w:t xml:space="preserve"> w III Rzeszy. Historiografia jest zgodna w ocenie skuteczności </w:t>
      </w:r>
      <w:r w:rsidR="00643F2C" w:rsidRPr="003C0842">
        <w:t>s</w:t>
      </w:r>
      <w:r w:rsidRPr="003C0842">
        <w:t xml:space="preserve">tresemannowskiej polityki w dziedzinie rozbrojenia. Bernard Knauss napisał nawet, że niemiecki minister spraw zagranicznych w sposób prosty, a jednocześnie genialny uczynił z rozbrojenia Niemiec </w:t>
      </w:r>
      <w:r w:rsidRPr="003C0842">
        <w:lastRenderedPageBreak/>
        <w:t>„skuteczną broń dyplomatyczną”. Uznano to za „doskonały przykład, jak można uczynić użyteczną politycznie nawet słabość militarną”</w:t>
      </w:r>
      <w:r w:rsidRPr="003C0842">
        <w:rPr>
          <w:rStyle w:val="Odwoanieprzypisudolnego"/>
          <w:rFonts w:ascii="Times New Roman" w:hAnsi="Times New Roman"/>
          <w:sz w:val="24"/>
        </w:rPr>
        <w:footnoteReference w:id="202"/>
      </w:r>
      <w:r w:rsidRPr="003C0842">
        <w:t>.</w:t>
      </w:r>
    </w:p>
    <w:p w:rsidR="00A200B5" w:rsidRPr="003C0842" w:rsidRDefault="00A200B5" w:rsidP="00111348">
      <w:pPr>
        <w:spacing w:line="360" w:lineRule="auto"/>
        <w:ind w:firstLine="709"/>
      </w:pPr>
      <w:r w:rsidRPr="003C0842">
        <w:t xml:space="preserve">Wątek ten silnie obecny w czasie sporów o wyłączenie Niemiec – jako państwa rozbrojonego – ze stosowania art. 16 Paktu, mówiącego o pomocy wzajemnej w razie agresji (o czym niżej) wiązał się z odpowiedzialnością za wojnę. </w:t>
      </w:r>
      <w:r w:rsidR="00F545B9" w:rsidRPr="003C0842">
        <w:t>Powszechny</w:t>
      </w:r>
      <w:r w:rsidRPr="003C0842">
        <w:t xml:space="preserve"> poklask dla przekonania parcelującego tę odpowiedzialność (najdalej szli komuniści</w:t>
      </w:r>
      <w:r w:rsidR="00363C44" w:rsidRPr="003C0842">
        <w:t>,</w:t>
      </w:r>
      <w:r w:rsidRPr="003C0842">
        <w:t xml:space="preserve"> składając winę na bezpaństwowy imperializm) łączył polityków niemieckich wszelkich o</w:t>
      </w:r>
      <w:r w:rsidR="00F545B9" w:rsidRPr="003C0842">
        <w:t xml:space="preserve">dcieni w sprawie stanowczego sprzeciwu na </w:t>
      </w:r>
      <w:r w:rsidRPr="003C0842">
        <w:t>jak</w:t>
      </w:r>
      <w:r w:rsidR="00F545B9" w:rsidRPr="003C0842">
        <w:t>ą</w:t>
      </w:r>
      <w:r w:rsidRPr="003C0842">
        <w:t>ś specjaln</w:t>
      </w:r>
      <w:r w:rsidR="00F545B9" w:rsidRPr="003C0842">
        <w:t>ą</w:t>
      </w:r>
      <w:r w:rsidRPr="003C0842">
        <w:t xml:space="preserve"> deklaracj</w:t>
      </w:r>
      <w:r w:rsidR="00F545B9" w:rsidRPr="003C0842">
        <w:t>ę</w:t>
      </w:r>
      <w:r w:rsidRPr="003C0842">
        <w:t xml:space="preserve"> o ścisłym wykonywaniu traktatu pokojowego (jak to uczynił rząd węgierski). Na podobne oświadczenie, tym razem z własnej woli i wobec całego świata, miała nie pozwolić im duma narodowa, uginająca się pod ciężarem hańbiących zobowiązań. Deklaracja o podobnym charakterze byłaby też zaprzeczeniem i przekreśleniem wszystkich dotychczasowych działań i oświadczeń podających w wątpliwość ustalenia z 1919 r., z terytorialnymi na czele. Rozpamiętywano natomiast chętnie te fragmenty preambuły Paktu Ligi</w:t>
      </w:r>
      <w:r w:rsidR="00363C44" w:rsidRPr="003C0842">
        <w:t>,</w:t>
      </w:r>
      <w:r w:rsidRPr="003C0842">
        <w:t xml:space="preserve"> w których mówiono o polityce międzynarodowej opartej na „sprawiedliwości i honorze” o wprowadzeni</w:t>
      </w:r>
      <w:r w:rsidR="00CD4B9B" w:rsidRPr="003C0842">
        <w:t xml:space="preserve">u „panowania sprawiedliwości”, oczywiście </w:t>
      </w:r>
      <w:r w:rsidRPr="003C0842">
        <w:t>nie eksponując lub zgoła pomijając</w:t>
      </w:r>
      <w:r w:rsidR="00A24133" w:rsidRPr="003C0842">
        <w:t xml:space="preserve"> passus</w:t>
      </w:r>
      <w:r w:rsidRPr="003C0842">
        <w:t xml:space="preserve"> o skrupulatnym szanowaniu „wszelkich zobowiązań wynikających z traktatów”.</w:t>
      </w:r>
    </w:p>
    <w:p w:rsidR="00A200B5" w:rsidRPr="003C0842" w:rsidRDefault="00A200B5" w:rsidP="00111348">
      <w:pPr>
        <w:spacing w:line="360" w:lineRule="auto"/>
        <w:ind w:firstLine="709"/>
      </w:pPr>
      <w:r w:rsidRPr="003C0842">
        <w:t>Przejawem tych nastrojów społecznych były wybory prezydenckie w 1925 r., w których zwycięzcą został sędziwy już feldmarszałek Paul von Hindenburg. Na czele republiki stanął jawny monarchista, jeden z przywódców środowisk junkiersko-konserwatywnych, eksponowany militarysta, sławny pogromca „Słowian” spod Tannenbergu, okrzykniętego jako rewanż za Grunwald 1410 r</w:t>
      </w:r>
      <w:r w:rsidR="00363C44" w:rsidRPr="003C0842">
        <w:t>.</w:t>
      </w:r>
      <w:r w:rsidRPr="003C0842">
        <w:rPr>
          <w:rStyle w:val="Odwoanieprzypisudolnego"/>
          <w:rFonts w:ascii="Times New Roman" w:hAnsi="Times New Roman"/>
          <w:sz w:val="24"/>
        </w:rPr>
        <w:footnoteReference w:id="203"/>
      </w:r>
      <w:r w:rsidRPr="003C0842">
        <w:t xml:space="preserve"> Zamiana zmarłego przedwcześnie 54-letniego Fryderyka Eberta, przywódcy SPD, republikanina dogadującego się z częścią polityków liberalno-demokratycznych</w:t>
      </w:r>
      <w:r w:rsidR="00363C44" w:rsidRPr="003C0842">
        <w:t>,</w:t>
      </w:r>
      <w:r w:rsidRPr="003C0842">
        <w:t xml:space="preserve"> na 77-letniego cesarskiego feldmarszałka, zwracającego się do Wilhelma II o opinię w sprawie ewentualnego kandydowania, wywołała </w:t>
      </w:r>
      <w:r w:rsidR="008D4BF2" w:rsidRPr="003C0842">
        <w:t>negatywne</w:t>
      </w:r>
      <w:r w:rsidRPr="003C0842">
        <w:t xml:space="preserve"> wrażenie zagranicą</w:t>
      </w:r>
      <w:r w:rsidR="008D4BF2" w:rsidRPr="003C0842">
        <w:t>, może poza Anglią, gdzie Lloyd George uznał go za „rozsądnego staruszka”.Niechętnych reakcji s</w:t>
      </w:r>
      <w:r w:rsidRPr="003C0842">
        <w:t>podziewano się nie tylko w kręgach głównego kontrkandydata Wilhelma Marxa i popierającego go Bloku Ludowego, ale także nacjonalistycznej D</w:t>
      </w:r>
      <w:r w:rsidR="00363C44" w:rsidRPr="003C0842">
        <w:t xml:space="preserve">eutsche </w:t>
      </w:r>
      <w:r w:rsidRPr="003C0842">
        <w:t>V</w:t>
      </w:r>
      <w:r w:rsidR="00363C44" w:rsidRPr="003C0842">
        <w:t>olkspartei</w:t>
      </w:r>
      <w:r w:rsidRPr="003C0842">
        <w:t xml:space="preserve"> ze Stresemannem na czele</w:t>
      </w:r>
      <w:r w:rsidR="00920E2B" w:rsidRPr="003C0842">
        <w:rPr>
          <w:rStyle w:val="Odwoanieprzypisudolnego"/>
          <w:rFonts w:ascii="Times New Roman" w:hAnsi="Times New Roman"/>
          <w:sz w:val="24"/>
        </w:rPr>
        <w:footnoteReference w:id="204"/>
      </w:r>
      <w:r w:rsidRPr="003C0842">
        <w:t xml:space="preserve">. </w:t>
      </w:r>
    </w:p>
    <w:p w:rsidR="00A200B5" w:rsidRPr="003C0842" w:rsidRDefault="00A200B5" w:rsidP="00111348">
      <w:pPr>
        <w:spacing w:line="360" w:lineRule="auto"/>
        <w:ind w:firstLine="709"/>
      </w:pPr>
      <w:r w:rsidRPr="003C0842">
        <w:lastRenderedPageBreak/>
        <w:t>Nie bez znaczenia było to, że Blok Ludowy tworzyły ugrupowania centro-lewicowe</w:t>
      </w:r>
      <w:r w:rsidR="00A24133" w:rsidRPr="003C0842">
        <w:t>,</w:t>
      </w:r>
      <w:r w:rsidRPr="003C0842">
        <w:t xml:space="preserve"> będące oparciem dla republikańskiego ustroju i poszukiwania jakiegoś modus vivendi z zagranicą, także przez wstąpienie do L</w:t>
      </w:r>
      <w:r w:rsidR="00F545B9" w:rsidRPr="003C0842">
        <w:t>N</w:t>
      </w:r>
      <w:r w:rsidRPr="003C0842">
        <w:t xml:space="preserve">. Język akcji wyborczej Wilhelma Marxa brał pod uwagę międzynarodowy rezonans kampanii. Mówił więc o bezsensownych złudzeniach </w:t>
      </w:r>
      <w:r w:rsidR="00A24133" w:rsidRPr="003C0842">
        <w:t xml:space="preserve">militarnej </w:t>
      </w:r>
      <w:r w:rsidRPr="003C0842">
        <w:t>odbudowy Niemiec i obowiązku prowadzenia polityki zagranicznej opartej na porozumieniu i dobrosąsiedzkich stosunkach. W głosowaniu poparło go ponad 13,7 mln osób. Było to jednak o 900 tys. mniej niż otrzymał feldmarszałek Hindenburg</w:t>
      </w:r>
      <w:r w:rsidRPr="003C0842">
        <w:rPr>
          <w:rStyle w:val="Odwoanieprzypisudolnego"/>
          <w:rFonts w:ascii="Times New Roman" w:hAnsi="Times New Roman"/>
          <w:sz w:val="24"/>
        </w:rPr>
        <w:footnoteReference w:id="205"/>
      </w:r>
      <w:r w:rsidRPr="003C0842">
        <w:t>.</w:t>
      </w:r>
    </w:p>
    <w:p w:rsidR="00A200B5" w:rsidRPr="003C0842" w:rsidRDefault="00A200B5" w:rsidP="00111348">
      <w:pPr>
        <w:spacing w:line="360" w:lineRule="auto"/>
        <w:ind w:firstLine="709"/>
      </w:pPr>
      <w:r w:rsidRPr="003C0842">
        <w:t xml:space="preserve">Decyzja wyborcza Niemców odzwierciedlała nastroje panujące w kraju, w którym jednym z aktualizowanych tematów było wstąpienie do Ligi. Wyraźna większość, jeśli </w:t>
      </w:r>
      <w:r w:rsidR="00A24133" w:rsidRPr="003C0842">
        <w:t>dodaćokoło 3 mln głosówoddanych</w:t>
      </w:r>
      <w:r w:rsidRPr="003C0842">
        <w:t xml:space="preserve"> na kandydata komunistów– była Lidze przeciwna. Tak też ten sygnał został odczytany w Genewie. Dyrektor sekcji politycznej Sekretariatu Paul Mantoux w prywatnym liście do szefa sekcji informacyjnej Pierr</w:t>
      </w:r>
      <w:r w:rsidR="006270D6">
        <w:t>e’</w:t>
      </w:r>
      <w:r w:rsidRPr="003C0842">
        <w:t xml:space="preserve">a Comerta 29 kwietnia 1925 </w:t>
      </w:r>
      <w:r w:rsidR="008F5CA0" w:rsidRPr="003C0842">
        <w:t xml:space="preserve">r. </w:t>
      </w:r>
      <w:r w:rsidRPr="003C0842">
        <w:t>wyrażał wątpliwości towarzyszące wyborowi Marszałka Polnego bo jest on „wcieleniem pruskiego honoru wojskowego”. Tenże honor oficerowi idącemu chodnik</w:t>
      </w:r>
      <w:r w:rsidR="00F545B9" w:rsidRPr="003C0842">
        <w:t>iem kazał żądać</w:t>
      </w:r>
      <w:r w:rsidRPr="003C0842">
        <w:t xml:space="preserve"> zejścia z niego</w:t>
      </w:r>
      <w:r w:rsidR="00A24133" w:rsidRPr="003C0842">
        <w:t xml:space="preserve"> innym,</w:t>
      </w:r>
      <w:r w:rsidRPr="003C0842">
        <w:t xml:space="preserve"> także kobietom. Opornemu groziło pobicie, a jeśli </w:t>
      </w:r>
      <w:r w:rsidR="001245A9" w:rsidRPr="003C0842">
        <w:t>protestował</w:t>
      </w:r>
      <w:r w:rsidRPr="003C0842">
        <w:t xml:space="preserve"> „oficer zobowiązany był zgodnie z regulaminem honoru wojskowego użyć </w:t>
      </w:r>
      <w:r w:rsidR="001245A9" w:rsidRPr="003C0842">
        <w:t>szabli</w:t>
      </w:r>
      <w:r w:rsidRPr="003C0842">
        <w:t>”. Trudno nie wyciągać wniosków z faktu, że za Hindenburgiem – pisał Mantoux – opowiedziały się „najbardziej egzaltowane elementy szowinizmu niemieckiego”. Prezentowanie nowego prezydenta jako „dzielnego wojskowego oznacza przekroczenie granic dozwolonej naiwności”. Na pytanie</w:t>
      </w:r>
      <w:r w:rsidR="00263F07" w:rsidRPr="003C0842">
        <w:t>,</w:t>
      </w:r>
      <w:r w:rsidRPr="003C0842">
        <w:t xml:space="preserve"> czy wybór marszałka Hindenburga przybliża</w:t>
      </w:r>
      <w:r w:rsidR="00263F07" w:rsidRPr="003C0842">
        <w:t>,</w:t>
      </w:r>
      <w:r w:rsidRPr="003C0842">
        <w:t xml:space="preserve"> czy też oddala Europę od grożących jej niebezpieczeństw</w:t>
      </w:r>
      <w:r w:rsidR="00263F07" w:rsidRPr="003C0842">
        <w:t>,</w:t>
      </w:r>
      <w:r w:rsidRPr="003C0842">
        <w:t xml:space="preserve"> Mantoux pisał o „złym znaku, tak pod względem tendencji</w:t>
      </w:r>
      <w:r w:rsidR="00263F07" w:rsidRPr="003C0842">
        <w:t>,</w:t>
      </w:r>
      <w:r w:rsidRPr="003C0842">
        <w:t xml:space="preserve"> jakie wywołuje w Niemczech, jak </w:t>
      </w:r>
      <w:r w:rsidR="001245A9" w:rsidRPr="003C0842">
        <w:t xml:space="preserve">i </w:t>
      </w:r>
      <w:r w:rsidRPr="003C0842">
        <w:t>pod względem nieuniknionych reakcji</w:t>
      </w:r>
      <w:r w:rsidR="00263F07" w:rsidRPr="003C0842">
        <w:t>,</w:t>
      </w:r>
      <w:r w:rsidRPr="003C0842">
        <w:t xml:space="preserve"> jakie wywołała w innych krajach”</w:t>
      </w:r>
      <w:r w:rsidRPr="003C0842">
        <w:rPr>
          <w:rStyle w:val="Odwoanieprzypisudolnego"/>
          <w:rFonts w:ascii="Times New Roman" w:hAnsi="Times New Roman"/>
          <w:sz w:val="24"/>
        </w:rPr>
        <w:footnoteReference w:id="206"/>
      </w:r>
      <w:r w:rsidRPr="003C0842">
        <w:t>.</w:t>
      </w:r>
    </w:p>
    <w:p w:rsidR="00A200B5" w:rsidRPr="003C0842" w:rsidRDefault="00A200B5" w:rsidP="00111348">
      <w:pPr>
        <w:spacing w:line="360" w:lineRule="auto"/>
        <w:ind w:firstLine="709"/>
      </w:pPr>
      <w:r w:rsidRPr="003C0842">
        <w:t xml:space="preserve">Prezydent Hindenburg i jego otoczenie (kamaryla) znalazły się wśród hamulcowych procesu akcesyjnego także przez to, że opowiadał się za podjęciem takiej decyzji, ale dopiero po uzyskaniu przez Niemcy </w:t>
      </w:r>
      <w:r w:rsidR="001245A9" w:rsidRPr="003C0842">
        <w:t xml:space="preserve">ustępstw </w:t>
      </w:r>
      <w:r w:rsidRPr="003C0842">
        <w:t>obiecanych ze strony mocarstw</w:t>
      </w:r>
      <w:r w:rsidRPr="003C0842">
        <w:rPr>
          <w:rStyle w:val="Odwoanieprzypisudolnego"/>
          <w:rFonts w:ascii="Times New Roman" w:hAnsi="Times New Roman"/>
          <w:sz w:val="24"/>
        </w:rPr>
        <w:footnoteReference w:id="207"/>
      </w:r>
      <w:r w:rsidRPr="003C0842">
        <w:t>. Postawa ta wpisywała się w upowszechnianą równo</w:t>
      </w:r>
      <w:r w:rsidR="00263F07" w:rsidRPr="003C0842">
        <w:t>cześnie</w:t>
      </w:r>
      <w:r w:rsidRPr="003C0842">
        <w:t xml:space="preserve"> opinię, że wstąpienie Niemiec jest przede wszystkim korzystne dla samej Ligi i przez nią oczekiwane. Przekonanie to</w:t>
      </w:r>
      <w:r w:rsidR="00CD4B9B" w:rsidRPr="003C0842">
        <w:t>,</w:t>
      </w:r>
      <w:r w:rsidRPr="003C0842">
        <w:t xml:space="preserve"> różnie uzasadniane</w:t>
      </w:r>
      <w:r w:rsidR="00CD4B9B" w:rsidRPr="003C0842">
        <w:t>,</w:t>
      </w:r>
      <w:r w:rsidRPr="003C0842">
        <w:t xml:space="preserve"> nabierało dodatkowej siły wraz z rosnącym naciskiem Londynu i</w:t>
      </w:r>
      <w:r w:rsidR="00CD4B9B" w:rsidRPr="003C0842">
        <w:t xml:space="preserve"> towarzyszącą </w:t>
      </w:r>
      <w:r w:rsidR="00CD4B9B" w:rsidRPr="003C0842">
        <w:lastRenderedPageBreak/>
        <w:t>temu aktywnością</w:t>
      </w:r>
      <w:r w:rsidR="00F545B9" w:rsidRPr="003C0842">
        <w:t xml:space="preserve">ambasadora brytyjskiego </w:t>
      </w:r>
      <w:r w:rsidRPr="003C0842">
        <w:t xml:space="preserve">lorda d’Abernona. </w:t>
      </w:r>
      <w:r w:rsidR="001245A9" w:rsidRPr="003C0842">
        <w:t xml:space="preserve">Wzmianki </w:t>
      </w:r>
      <w:r w:rsidRPr="003C0842">
        <w:t>o możliwości bojkotu „City” przy realizacji ope</w:t>
      </w:r>
      <w:r w:rsidR="006270D6">
        <w:t>racji finansowych związanych z p</w:t>
      </w:r>
      <w:r w:rsidRPr="003C0842">
        <w:t xml:space="preserve">lanem Dawesa </w:t>
      </w:r>
      <w:r w:rsidR="001245A9" w:rsidRPr="003C0842">
        <w:t>miały zniechęcić</w:t>
      </w:r>
      <w:r w:rsidRPr="003C0842">
        <w:t xml:space="preserve"> Berlin d</w:t>
      </w:r>
      <w:r w:rsidR="001245A9" w:rsidRPr="003C0842">
        <w:t>o</w:t>
      </w:r>
      <w:r w:rsidRPr="003C0842">
        <w:t xml:space="preserve"> łącz</w:t>
      </w:r>
      <w:r w:rsidR="001245A9" w:rsidRPr="003C0842">
        <w:t>enia</w:t>
      </w:r>
      <w:r w:rsidRPr="003C0842">
        <w:t xml:space="preserve"> swoje</w:t>
      </w:r>
      <w:r w:rsidR="001245A9" w:rsidRPr="003C0842">
        <w:t>go</w:t>
      </w:r>
      <w:r w:rsidRPr="003C0842">
        <w:t xml:space="preserve"> wstąpieni</w:t>
      </w:r>
      <w:r w:rsidR="001245A9" w:rsidRPr="003C0842">
        <w:t>a</w:t>
      </w:r>
      <w:r w:rsidRPr="003C0842">
        <w:t xml:space="preserve"> z obecności</w:t>
      </w:r>
      <w:r w:rsidR="001245A9" w:rsidRPr="003C0842">
        <w:t>ą</w:t>
      </w:r>
      <w:r w:rsidRPr="003C0842">
        <w:t xml:space="preserve"> w Genewie Rosji. W Londynie oczekiwano też rezygnacji z antyfrancuskich fobii </w:t>
      </w:r>
      <w:r w:rsidR="001245A9" w:rsidRPr="003C0842">
        <w:t xml:space="preserve">i </w:t>
      </w:r>
      <w:r w:rsidR="009A25E2" w:rsidRPr="003C0842">
        <w:t xml:space="preserve">rezygnacji z oskarżeń </w:t>
      </w:r>
      <w:r w:rsidR="001245A9" w:rsidRPr="003C0842">
        <w:t>o</w:t>
      </w:r>
      <w:r w:rsidRPr="003C0842">
        <w:t xml:space="preserve"> budowan</w:t>
      </w:r>
      <w:r w:rsidR="009A25E2" w:rsidRPr="003C0842">
        <w:t xml:space="preserve">ie </w:t>
      </w:r>
      <w:r w:rsidR="001245A9" w:rsidRPr="003C0842">
        <w:t>przez</w:t>
      </w:r>
      <w:r w:rsidR="00CD4B9B" w:rsidRPr="003C0842">
        <w:t xml:space="preserve"> Paryż „paktu </w:t>
      </w:r>
      <w:r w:rsidRPr="003C0842">
        <w:t xml:space="preserve">siedmiu państw”, </w:t>
      </w:r>
      <w:r w:rsidR="00807DC6" w:rsidRPr="003C0842">
        <w:t xml:space="preserve">w </w:t>
      </w:r>
      <w:r w:rsidR="00263F07" w:rsidRPr="003C0842">
        <w:t>celu okrążenia i zamknięcia</w:t>
      </w:r>
      <w:r w:rsidRPr="003C0842">
        <w:t xml:space="preserve"> Niemiec. </w:t>
      </w:r>
      <w:r w:rsidR="00807DC6" w:rsidRPr="003C0842">
        <w:t xml:space="preserve">W podobnym </w:t>
      </w:r>
      <w:r w:rsidR="009A25E2" w:rsidRPr="003C0842">
        <w:t xml:space="preserve">duchu i </w:t>
      </w:r>
      <w:r w:rsidR="00807DC6" w:rsidRPr="003C0842">
        <w:t>tonie opowiadali się przedstawiciele rządu Francji.Aristide Brand, szef Quai d’Orsay wręcz manifestował wolę</w:t>
      </w:r>
      <w:r w:rsidRPr="003C0842">
        <w:t xml:space="preserve"> porozumienia</w:t>
      </w:r>
      <w:r w:rsidR="00807DC6" w:rsidRPr="003C0842">
        <w:t>. S</w:t>
      </w:r>
      <w:r w:rsidRPr="003C0842">
        <w:t>tał</w:t>
      </w:r>
      <w:r w:rsidR="00807DC6" w:rsidRPr="003C0842">
        <w:t>o</w:t>
      </w:r>
      <w:r w:rsidRPr="003C0842">
        <w:t xml:space="preserve"> się </w:t>
      </w:r>
      <w:r w:rsidR="00807DC6" w:rsidRPr="003C0842">
        <w:t xml:space="preserve">ono </w:t>
      </w:r>
      <w:r w:rsidRPr="003C0842">
        <w:t>wytyczną rządu Paula Painlevé</w:t>
      </w:r>
      <w:r w:rsidR="00263F07" w:rsidRPr="003C0842">
        <w:t>go</w:t>
      </w:r>
      <w:r w:rsidRPr="003C0842">
        <w:t xml:space="preserve">, notabene jednego z liderów kartelu lewicy. Przekonywali oni współobywateli, że przystąpienie Niemiec do Ligi to poddanie się pewnym rygorom i zobowiązaniom wynikającym z Paktu oraz zazębiających się relacji z innymi członkami tej organizacji. To pod wpływem </w:t>
      </w:r>
      <w:r w:rsidR="00807DC6" w:rsidRPr="003C0842">
        <w:t>„kartelu lewicy”</w:t>
      </w:r>
      <w:r w:rsidRPr="003C0842">
        <w:t xml:space="preserve"> nowy rząd (wyłoniony w dniach wyborów prezydenckich w Niemczech) zamierzał urzeczywistnić ambitny p</w:t>
      </w:r>
      <w:r w:rsidR="00F37746" w:rsidRPr="003C0842">
        <w:t>lan, żywo zajmujący stolice ogółu państw</w:t>
      </w:r>
      <w:r w:rsidR="00F545B9" w:rsidRPr="003C0842">
        <w:t>,</w:t>
      </w:r>
      <w:r w:rsidRPr="003C0842">
        <w:t xml:space="preserve"> ale i Genewy.</w:t>
      </w:r>
    </w:p>
    <w:p w:rsidR="00A200B5" w:rsidRPr="003C0842" w:rsidRDefault="00A200B5" w:rsidP="00111348">
      <w:pPr>
        <w:spacing w:line="360" w:lineRule="auto"/>
        <w:ind w:firstLine="709"/>
      </w:pPr>
      <w:r w:rsidRPr="003C0842">
        <w:t xml:space="preserve">Briand należał nie tylko do wybitnych indywidualności francuskich, ale także polityków szczególnie aktywnych w Lidze. Forum genewskie, uznawane też jako światowe centrum propagandy było dla wytrawnego mówcy i oratora (nazywanego </w:t>
      </w:r>
      <w:r w:rsidRPr="003C0842">
        <w:rPr>
          <w:i/>
        </w:rPr>
        <w:t>violonelle</w:t>
      </w:r>
      <w:r w:rsidRPr="003C0842">
        <w:t xml:space="preserve"> – wiolonczela) miejscem ulubionym. Częste odwoływanie się do pokoju jako nadrzędnego celu działań jego, Francji i Ligi, uzasadniało określanie Brianda jako pacyfisty</w:t>
      </w:r>
      <w:r w:rsidRPr="003C0842">
        <w:rPr>
          <w:rStyle w:val="Odwoanieprzypisudolnego"/>
          <w:rFonts w:ascii="Times New Roman" w:hAnsi="Times New Roman"/>
          <w:sz w:val="24"/>
        </w:rPr>
        <w:footnoteReference w:id="208"/>
      </w:r>
      <w:r w:rsidRPr="003C0842">
        <w:t>, a zwłaszcza swoistego germanofila skorego do poświęcenia wszystkich, szczególnie mniejszych sojuszników dla zabezpieczenia Francji przed rewanżem ze wschodu. Bria</w:t>
      </w:r>
      <w:r w:rsidR="006818B7" w:rsidRPr="003C0842">
        <w:t>nd pozostając u steru Quai d’Orsa</w:t>
      </w:r>
      <w:r w:rsidRPr="003C0842">
        <w:t xml:space="preserve">y przez siedem lat (co przy zmieniających się często </w:t>
      </w:r>
      <w:r w:rsidR="009A25E2" w:rsidRPr="003C0842">
        <w:t>gabinetach zasługuje na uwagę</w:t>
      </w:r>
      <w:r w:rsidRPr="003C0842">
        <w:t>) uzasadnia związanie tego okresu w dziejach Europy z jego nazwiskiem. Konkurentem dla t</w:t>
      </w:r>
      <w:r w:rsidR="009A25E2" w:rsidRPr="003C0842">
        <w:t xml:space="preserve">ak proponowanej </w:t>
      </w:r>
      <w:r w:rsidRPr="003C0842">
        <w:t xml:space="preserve">periodyzacji może być z europejskiej perspektywy Stresemann, który kierował AA równie długo. Umierając miał 51 lat i sławę wybitnego polityka niemieckiego, który </w:t>
      </w:r>
      <w:r w:rsidR="00164234" w:rsidRPr="003C0842">
        <w:t>–</w:t>
      </w:r>
      <w:r w:rsidRPr="003C0842">
        <w:t>posługując się tylko językiem rodzimym</w:t>
      </w:r>
      <w:r w:rsidR="00164234" w:rsidRPr="003C0842">
        <w:t>–</w:t>
      </w:r>
      <w:r w:rsidRPr="003C0842">
        <w:t xml:space="preserve"> poruszał się po angielsko-francuskiej </w:t>
      </w:r>
      <w:r w:rsidR="00807DC6" w:rsidRPr="003C0842">
        <w:t>L</w:t>
      </w:r>
      <w:r w:rsidRPr="003C0842">
        <w:t>idze z dużą swobodą i zauważaną skutecznością w propagowaniu narodowo-państwowych celów.</w:t>
      </w:r>
    </w:p>
    <w:p w:rsidR="00A200B5" w:rsidRPr="003C0842" w:rsidRDefault="00A200B5" w:rsidP="00111348">
      <w:pPr>
        <w:spacing w:line="360" w:lineRule="auto"/>
        <w:ind w:firstLine="709"/>
      </w:pPr>
    </w:p>
    <w:p w:rsidR="00A200B5" w:rsidRPr="003C0842" w:rsidRDefault="00930F1A" w:rsidP="00111348">
      <w:pPr>
        <w:spacing w:line="360" w:lineRule="auto"/>
        <w:ind w:firstLine="0"/>
        <w:outlineLvl w:val="0"/>
        <w:rPr>
          <w:b/>
        </w:rPr>
      </w:pPr>
      <w:r w:rsidRPr="003C0842">
        <w:rPr>
          <w:b/>
        </w:rPr>
        <w:t>3</w:t>
      </w:r>
      <w:r w:rsidR="00A200B5" w:rsidRPr="003C0842">
        <w:rPr>
          <w:b/>
        </w:rPr>
        <w:t>. C</w:t>
      </w:r>
      <w:r w:rsidR="002E3E08" w:rsidRPr="003C0842">
        <w:rPr>
          <w:b/>
        </w:rPr>
        <w:t>ień Locarno</w:t>
      </w:r>
    </w:p>
    <w:p w:rsidR="00A200B5" w:rsidRPr="003C0842" w:rsidRDefault="00A200B5" w:rsidP="00111348">
      <w:pPr>
        <w:spacing w:line="360" w:lineRule="auto"/>
        <w:ind w:firstLine="709"/>
      </w:pPr>
    </w:p>
    <w:p w:rsidR="00A200B5" w:rsidRPr="003C0842" w:rsidRDefault="00A200B5" w:rsidP="00111348">
      <w:pPr>
        <w:spacing w:line="360" w:lineRule="auto"/>
        <w:ind w:firstLine="709"/>
      </w:pPr>
      <w:r w:rsidRPr="003C0842">
        <w:lastRenderedPageBreak/>
        <w:t>Próba uszeregowania międzynarodowych sukcesów Stresemanna wymusza wyznaczenie wysokiego miejsca dla postanowień kojarzonych z Locarnem – niewielką miejscowością w Szwajcarii</w:t>
      </w:r>
      <w:r w:rsidR="00263F07" w:rsidRPr="003C0842">
        <w:t>,</w:t>
      </w:r>
      <w:r w:rsidRPr="003C0842">
        <w:t xml:space="preserve"> gdzie 16 października 1925 r. cztery mocarstwa europejskie, przy asyście Belgii i statystowaniu Czechosłowacji i Polski ustaliły </w:t>
      </w:r>
      <w:r w:rsidR="00807DC6" w:rsidRPr="003C0842">
        <w:t xml:space="preserve">nowe zasady wzajemnych relacji, w tym także </w:t>
      </w:r>
      <w:r w:rsidRPr="003C0842">
        <w:t xml:space="preserve">warunki przystąpienia Niemiec do Ligi. Zapoczątkowane wówczas spory o zwycięzców i przegranych mimo upływu lat nie gasną. Nie ulega jednak wątpliwości, że instytucja genewska z rozgrywki tej wyszła z poważnymi obrażeniami, chociaż </w:t>
      </w:r>
      <w:r w:rsidR="00164234" w:rsidRPr="003C0842">
        <w:t>–</w:t>
      </w:r>
      <w:r w:rsidR="009A25E2" w:rsidRPr="003C0842">
        <w:t xml:space="preserve"> z formalnego punktu widzenia – niemiała ona żadnego udziału </w:t>
      </w:r>
      <w:r w:rsidRPr="003C0842">
        <w:t>w ówczesnej rozgrywce</w:t>
      </w:r>
      <w:r w:rsidR="009A25E2" w:rsidRPr="003C0842">
        <w:t>.</w:t>
      </w:r>
      <w:r w:rsidRPr="003C0842">
        <w:t xml:space="preserve"> Jednak zaangażowane w spory lokarneńskie państwa</w:t>
      </w:r>
      <w:r w:rsidR="00F37746" w:rsidRPr="003C0842">
        <w:t>,</w:t>
      </w:r>
      <w:r w:rsidRPr="003C0842">
        <w:t xml:space="preserve"> jak również rozpatrywana materia oraz sposób procedowania, emocje i konflikty społeczno-polityczne w kilku państwach, w końcu różna ocena i historyczna pamięć o układach</w:t>
      </w:r>
      <w:r w:rsidR="009A25E2" w:rsidRPr="003C0842">
        <w:t>,</w:t>
      </w:r>
      <w:r w:rsidRPr="003C0842">
        <w:t xml:space="preserve"> czynią z „lokarneńskich szachów” jeden z najważniejszych punktów kulminacyjnych międzywojnia</w:t>
      </w:r>
      <w:r w:rsidR="00807DC6" w:rsidRPr="003C0842">
        <w:t xml:space="preserve">. </w:t>
      </w:r>
      <w:r w:rsidR="00D34CC4" w:rsidRPr="003C0842">
        <w:t>A że g</w:t>
      </w:r>
      <w:r w:rsidR="009A25E2" w:rsidRPr="003C0842">
        <w:t xml:space="preserve">ra toczyła się </w:t>
      </w:r>
      <w:r w:rsidRPr="003C0842">
        <w:t>na kilku szachownicach</w:t>
      </w:r>
      <w:r w:rsidR="00D34CC4" w:rsidRPr="003C0842">
        <w:t xml:space="preserve">, </w:t>
      </w:r>
      <w:r w:rsidRPr="003C0842">
        <w:t xml:space="preserve">to </w:t>
      </w:r>
      <w:r w:rsidR="00D34CC4" w:rsidRPr="003C0842">
        <w:t>trzeba</w:t>
      </w:r>
      <w:r w:rsidRPr="003C0842">
        <w:t xml:space="preserve"> rozpatrywać problem trudny, skomplikowany i wielowątkowy</w:t>
      </w:r>
      <w:r w:rsidR="002236B9" w:rsidRPr="003C0842">
        <w:rPr>
          <w:rStyle w:val="Odwoanieprzypisudolnego"/>
          <w:rFonts w:ascii="Times New Roman" w:hAnsi="Times New Roman"/>
          <w:sz w:val="24"/>
        </w:rPr>
        <w:footnoteReference w:id="209"/>
      </w:r>
      <w:r w:rsidRPr="003C0842">
        <w:t>.</w:t>
      </w:r>
    </w:p>
    <w:p w:rsidR="00755FAA" w:rsidRPr="003C0842" w:rsidRDefault="00A200B5" w:rsidP="00111348">
      <w:pPr>
        <w:spacing w:line="360" w:lineRule="auto"/>
        <w:ind w:firstLine="709"/>
      </w:pPr>
      <w:r w:rsidRPr="003C0842">
        <w:t xml:space="preserve">Wcale nie marginalne miejsce </w:t>
      </w:r>
      <w:r w:rsidR="00F37746" w:rsidRPr="003C0842">
        <w:t xml:space="preserve">w owych szachach </w:t>
      </w:r>
      <w:r w:rsidRPr="003C0842">
        <w:t xml:space="preserve">zajmuje entuzjazm towarzyszący przyjęciu przez V Zgromadzenie 2 października 1924 r. tzw. protokołu genewskiego o pokojowym rozstrzyganiu spraw międzynarodowych. Dokument ten pozostawiał Niemcy poza głównym nurtem </w:t>
      </w:r>
      <w:r w:rsidR="00F37746" w:rsidRPr="003C0842">
        <w:t>debatyłączącej</w:t>
      </w:r>
      <w:r w:rsidRPr="003C0842">
        <w:t xml:space="preserve"> trz</w:t>
      </w:r>
      <w:r w:rsidR="00F37746" w:rsidRPr="003C0842">
        <w:t>y</w:t>
      </w:r>
      <w:r w:rsidRPr="003C0842">
        <w:t xml:space="preserve"> element</w:t>
      </w:r>
      <w:r w:rsidR="00F37746" w:rsidRPr="003C0842">
        <w:t>y</w:t>
      </w:r>
      <w:r w:rsidRPr="003C0842">
        <w:t xml:space="preserve"> – arbitraż, bezpieczeństw</w:t>
      </w:r>
      <w:r w:rsidR="00F37746" w:rsidRPr="003C0842">
        <w:t>o</w:t>
      </w:r>
      <w:r w:rsidRPr="003C0842">
        <w:t xml:space="preserve"> i rozbrojeni</w:t>
      </w:r>
      <w:r w:rsidR="00F37746" w:rsidRPr="003C0842">
        <w:t>e</w:t>
      </w:r>
      <w:r w:rsidRPr="003C0842">
        <w:t xml:space="preserve">. W niemieckim planie przybliżania się do Genewy wszystkie trzy człony miały </w:t>
      </w:r>
      <w:r w:rsidR="008D76A7" w:rsidRPr="003C0842">
        <w:t>koniunkturalną</w:t>
      </w:r>
      <w:r w:rsidRPr="003C0842">
        <w:t xml:space="preserve"> przydatność. Rozbrojone Niemcy wołały o rozbrojenie innych w imię własnego bezpieczeństwa. Godziły się też na arbitraż, ale z podtekstem specjalnych praw dla państwa pokrzywdzonego i oszukanego</w:t>
      </w:r>
      <w:r w:rsidR="00D34CC4" w:rsidRPr="003C0842">
        <w:t>, ale pozostającego niezmiennie wśródliderów kontynentu</w:t>
      </w:r>
      <w:r w:rsidRPr="003C0842">
        <w:t xml:space="preserve">. Z </w:t>
      </w:r>
      <w:r w:rsidR="00755FAA" w:rsidRPr="003C0842">
        <w:t xml:space="preserve">koniunkturalnie </w:t>
      </w:r>
      <w:r w:rsidR="00D34CC4" w:rsidRPr="003C0842">
        <w:t>formułowanych</w:t>
      </w:r>
      <w:r w:rsidRPr="003C0842">
        <w:t xml:space="preserve"> argumentów wypływało zainteresowanie dla arbitrażu w takich kwestiach</w:t>
      </w:r>
      <w:r w:rsidR="00263F07" w:rsidRPr="003C0842">
        <w:t>,</w:t>
      </w:r>
      <w:r w:rsidRPr="003C0842">
        <w:t xml:space="preserve"> jak </w:t>
      </w:r>
      <w:r w:rsidR="00D34CC4" w:rsidRPr="003C0842">
        <w:t>wycofanie</w:t>
      </w:r>
      <w:r w:rsidRPr="003C0842">
        <w:t xml:space="preserve"> wojsk francusko-belgijs</w:t>
      </w:r>
      <w:r w:rsidR="008D76A7" w:rsidRPr="003C0842">
        <w:t>kich z Zagłębia Ruhry, ewakuacja całej Nadrenii i rychły powró</w:t>
      </w:r>
      <w:r w:rsidRPr="003C0842">
        <w:t>t Zagłębia Saary, korekt</w:t>
      </w:r>
      <w:r w:rsidR="008D76A7" w:rsidRPr="003C0842">
        <w:t>y</w:t>
      </w:r>
      <w:r w:rsidRPr="003C0842">
        <w:t xml:space="preserve"> na granicy wschodniej i południowo-wschodniej, ale też kwestie mniejszościowe i kolonialne – wszystkie</w:t>
      </w:r>
      <w:r w:rsidR="00263F07" w:rsidRPr="003C0842">
        <w:t>,</w:t>
      </w:r>
      <w:r w:rsidRPr="003C0842">
        <w:t xml:space="preserve"> jakie rewizjonistyczna propaganda włączała do programu walki o odzyskanie przedwojennej pozycji. Miała to być pozycja mocarstwowa, kojarzona z</w:t>
      </w:r>
      <w:r w:rsidR="008D76A7" w:rsidRPr="003C0842">
        <w:t xml:space="preserve"> historyczną wielkością i współczesną</w:t>
      </w:r>
      <w:r w:rsidRPr="003C0842">
        <w:t xml:space="preserve"> stabilnością gospodarczą </w:t>
      </w:r>
      <w:r w:rsidR="008D76A7" w:rsidRPr="003C0842">
        <w:t>z</w:t>
      </w:r>
      <w:r w:rsidR="00263F07" w:rsidRPr="003C0842">
        <w:t>wiązaną z p</w:t>
      </w:r>
      <w:r w:rsidRPr="003C0842">
        <w:t>lanem Dawesa</w:t>
      </w:r>
      <w:r w:rsidR="008D76A7" w:rsidRPr="003C0842">
        <w:t xml:space="preserve">. </w:t>
      </w:r>
    </w:p>
    <w:p w:rsidR="008D76A7" w:rsidRPr="003C0842" w:rsidRDefault="008D76A7" w:rsidP="00111348">
      <w:pPr>
        <w:spacing w:line="360" w:lineRule="auto"/>
        <w:ind w:firstLine="709"/>
      </w:pPr>
      <w:r w:rsidRPr="003C0842">
        <w:t>Podobne elementy</w:t>
      </w:r>
      <w:r w:rsidR="00A200B5" w:rsidRPr="003C0842">
        <w:t xml:space="preserve"> podpowiadał</w:t>
      </w:r>
      <w:r w:rsidRPr="003C0842">
        <w:t>y</w:t>
      </w:r>
      <w:r w:rsidR="00755FAA" w:rsidRPr="003C0842">
        <w:t xml:space="preserve"> i zapowiadały</w:t>
      </w:r>
      <w:r w:rsidRPr="003C0842">
        <w:t xml:space="preserve">, zwłaszcza </w:t>
      </w:r>
      <w:r w:rsidR="00755FAA" w:rsidRPr="003C0842">
        <w:t xml:space="preserve">z udziałem </w:t>
      </w:r>
      <w:r w:rsidRPr="003C0842">
        <w:t>populistycznie pojmowane</w:t>
      </w:r>
      <w:r w:rsidR="00755FAA" w:rsidRPr="003C0842">
        <w:t>go</w:t>
      </w:r>
      <w:r w:rsidR="00A200B5" w:rsidRPr="003C0842">
        <w:t xml:space="preserve"> arbitraż</w:t>
      </w:r>
      <w:r w:rsidR="00755FAA" w:rsidRPr="003C0842">
        <w:t>u</w:t>
      </w:r>
      <w:r w:rsidRPr="003C0842">
        <w:t xml:space="preserve">, w którym po stronie przeciwnej miały stanąć </w:t>
      </w:r>
      <w:r w:rsidR="00A200B5" w:rsidRPr="003C0842">
        <w:t>państw</w:t>
      </w:r>
      <w:r w:rsidRPr="003C0842">
        <w:t>a</w:t>
      </w:r>
      <w:r w:rsidR="00A200B5" w:rsidRPr="003C0842">
        <w:t xml:space="preserve"> mniejsz</w:t>
      </w:r>
      <w:r w:rsidRPr="003C0842">
        <w:t>e</w:t>
      </w:r>
      <w:r w:rsidR="00A200B5" w:rsidRPr="003C0842">
        <w:t>, słabsz</w:t>
      </w:r>
      <w:r w:rsidRPr="003C0842">
        <w:t>e</w:t>
      </w:r>
      <w:r w:rsidR="00A200B5" w:rsidRPr="003C0842">
        <w:t>, „sezonow</w:t>
      </w:r>
      <w:r w:rsidRPr="003C0842">
        <w:t>e</w:t>
      </w:r>
      <w:r w:rsidR="00A200B5" w:rsidRPr="003C0842">
        <w:t xml:space="preserve">”. </w:t>
      </w:r>
      <w:r w:rsidR="00755FAA" w:rsidRPr="003C0842">
        <w:t xml:space="preserve">Ich </w:t>
      </w:r>
      <w:r w:rsidR="00A200B5" w:rsidRPr="003C0842">
        <w:t>ustępliwość</w:t>
      </w:r>
      <w:r w:rsidR="00755FAA" w:rsidRPr="003C0842">
        <w:t xml:space="preserve"> i</w:t>
      </w:r>
      <w:r w:rsidR="00A200B5" w:rsidRPr="003C0842">
        <w:t xml:space="preserve"> uległość</w:t>
      </w:r>
      <w:r w:rsidR="00755FAA" w:rsidRPr="003C0842">
        <w:t xml:space="preserve">, wynikająca z dysproporcji siły i </w:t>
      </w:r>
      <w:r w:rsidR="00755FAA" w:rsidRPr="003C0842">
        <w:lastRenderedPageBreak/>
        <w:t>potencjału,</w:t>
      </w:r>
      <w:r w:rsidR="00A200B5" w:rsidRPr="003C0842">
        <w:t xml:space="preserve">mieściła się w niemieckich wyobrażeniach o polityce międzynarodowej, które zresztą </w:t>
      </w:r>
      <w:r w:rsidR="00755FAA" w:rsidRPr="003C0842">
        <w:t>było obecne i często dawało o sobie znać</w:t>
      </w:r>
      <w:r w:rsidR="00A200B5" w:rsidRPr="003C0842">
        <w:t xml:space="preserve"> wśród innych narodów</w:t>
      </w:r>
      <w:r w:rsidR="00755FAA" w:rsidRPr="003C0842">
        <w:t xml:space="preserve"> i państw.</w:t>
      </w:r>
    </w:p>
    <w:p w:rsidR="00A200B5" w:rsidRPr="003C0842" w:rsidRDefault="00A200B5" w:rsidP="00111348">
      <w:pPr>
        <w:spacing w:line="360" w:lineRule="auto"/>
        <w:ind w:firstLine="709"/>
      </w:pPr>
      <w:r w:rsidRPr="003C0842">
        <w:t xml:space="preserve">Doświadczenia historyczne i teza o większej odpowiedzialności mocarstw za bieg spraw światowych kazały twórcom Ligi </w:t>
      </w:r>
      <w:r w:rsidR="008D76A7" w:rsidRPr="003C0842">
        <w:t xml:space="preserve">przenieść do </w:t>
      </w:r>
      <w:r w:rsidR="00B94950" w:rsidRPr="003C0842">
        <w:t xml:space="preserve">tworzonej organizacji </w:t>
      </w:r>
      <w:r w:rsidR="008D76A7" w:rsidRPr="003C0842">
        <w:t xml:space="preserve">instytucji genewskiej świeże doświadczenia z konferencji pokojowej w Paryżu. </w:t>
      </w:r>
      <w:r w:rsidR="00B94950" w:rsidRPr="003C0842">
        <w:t>Elitarną, tzw. radę pięciu odnajdujemy wśród organów Ligi jako Radę LN, dzielącą się nadto na członków z miejscami stałymi (to owa piątka) iniestałymi, z wyboru Zgromadzenia</w:t>
      </w:r>
      <w:r w:rsidR="00B94950" w:rsidRPr="003C0842">
        <w:rPr>
          <w:rStyle w:val="Odwoanieprzypisudolnego"/>
          <w:rFonts w:ascii="Times New Roman" w:hAnsi="Times New Roman"/>
          <w:sz w:val="24"/>
        </w:rPr>
        <w:footnoteReference w:id="210"/>
      </w:r>
      <w:r w:rsidR="00B94950" w:rsidRPr="003C0842">
        <w:t xml:space="preserve">. </w:t>
      </w:r>
      <w:r w:rsidR="00963E93" w:rsidRPr="003C0842">
        <w:t xml:space="preserve">Szczególne, uprzywilejowane miejsce Rady </w:t>
      </w:r>
      <w:r w:rsidR="00EE511C" w:rsidRPr="003C0842">
        <w:t>uwypuklono przez szerokozakreślone kompetencje, zapisane w</w:t>
      </w:r>
      <w:r w:rsidRPr="003C0842">
        <w:t xml:space="preserve"> Pakcie identycznymi słowami jak </w:t>
      </w:r>
      <w:r w:rsidR="00EE511C" w:rsidRPr="003C0842">
        <w:t xml:space="preserve">w przypadku </w:t>
      </w:r>
      <w:r w:rsidRPr="003C0842">
        <w:t>Zgromadzenia.</w:t>
      </w:r>
      <w:r w:rsidR="00EE511C" w:rsidRPr="003C0842">
        <w:t xml:space="preserve"> Oczekiwana i spodziewana obecność Niemiec w tej uprzywilejowanej grupie była ważnym argumentem zwolenników wykorzystania Ligii dla narodowych celów. Silnie i kilkakrotnie na ten aspekt obecności w Lidze wskazywał von Bülow w swym fundamentalnym dziele, krytykując przy okazji</w:t>
      </w:r>
      <w:r w:rsidR="00C21ED4" w:rsidRPr="003C0842">
        <w:t xml:space="preserve"> AA</w:t>
      </w:r>
      <w:r w:rsidR="00EE511C" w:rsidRPr="003C0842">
        <w:t>,</w:t>
      </w:r>
      <w:r w:rsidR="00C21ED4" w:rsidRPr="003C0842">
        <w:t xml:space="preserve"> gdzie takżemia</w:t>
      </w:r>
      <w:r w:rsidR="00263F07" w:rsidRPr="003C0842">
        <w:t>ła</w:t>
      </w:r>
      <w:r w:rsidR="00EE511C" w:rsidRPr="003C0842">
        <w:t>nie</w:t>
      </w:r>
      <w:r w:rsidR="00263F07" w:rsidRPr="003C0842">
        <w:t xml:space="preserve"> być doceniona</w:t>
      </w:r>
      <w:r w:rsidR="00C21ED4" w:rsidRPr="003C0842">
        <w:t xml:space="preserve"> i nie </w:t>
      </w:r>
      <w:r w:rsidR="00263F07" w:rsidRPr="003C0842">
        <w:t>z</w:t>
      </w:r>
      <w:r w:rsidR="00EE511C" w:rsidRPr="003C0842">
        <w:t>rozumi</w:t>
      </w:r>
      <w:r w:rsidR="00263F07" w:rsidRPr="003C0842">
        <w:t>ane</w:t>
      </w:r>
      <w:r w:rsidR="00EE511C" w:rsidRPr="003C0842">
        <w:t xml:space="preserve"> jej praktyczne znaczeni</w:t>
      </w:r>
      <w:r w:rsidR="00263F07" w:rsidRPr="003C0842">
        <w:t>e</w:t>
      </w:r>
      <w:r w:rsidR="007E7A98" w:rsidRPr="003C0842">
        <w:rPr>
          <w:rStyle w:val="Odwoanieprzypisudolnego"/>
          <w:rFonts w:ascii="Times New Roman" w:hAnsi="Times New Roman"/>
          <w:sz w:val="24"/>
        </w:rPr>
        <w:footnoteReference w:id="211"/>
      </w:r>
      <w:r w:rsidR="00EE511C" w:rsidRPr="003C0842">
        <w:t>.</w:t>
      </w:r>
      <w:r w:rsidR="00C21ED4" w:rsidRPr="003C0842">
        <w:t xml:space="preserve"> Bez przeceniania wpływu </w:t>
      </w:r>
      <w:r w:rsidR="001F185B" w:rsidRPr="003C0842">
        <w:t>analizowanego</w:t>
      </w:r>
      <w:r w:rsidR="00C21ED4" w:rsidRPr="003C0842">
        <w:t xml:space="preserve"> dzieła von Bülowa, nale</w:t>
      </w:r>
      <w:r w:rsidR="00755FAA" w:rsidRPr="003C0842">
        <w:t>ży</w:t>
      </w:r>
      <w:r w:rsidR="00C21ED4" w:rsidRPr="003C0842">
        <w:t xml:space="preserve"> zauważyć, że już po kilku miesiącach od </w:t>
      </w:r>
      <w:r w:rsidR="00831939" w:rsidRPr="003C0842">
        <w:t>jego opublikowania</w:t>
      </w:r>
      <w:r w:rsidR="00C21ED4" w:rsidRPr="003C0842">
        <w:t>,a</w:t>
      </w:r>
      <w:r w:rsidRPr="003C0842">
        <w:t xml:space="preserve">spiracje Niemiec do </w:t>
      </w:r>
      <w:r w:rsidR="00C21ED4" w:rsidRPr="003C0842">
        <w:t xml:space="preserve">stałego miejsca w Radzie byłyzasadniczo akceptowanym aksjomatem i </w:t>
      </w:r>
      <w:r w:rsidRPr="003C0842">
        <w:t xml:space="preserve">nie budziły godnych uwagi zastrzeżeń. </w:t>
      </w:r>
      <w:r w:rsidR="00831939" w:rsidRPr="003C0842">
        <w:t xml:space="preserve">Po części był to efekt </w:t>
      </w:r>
      <w:r w:rsidR="00C21ED4" w:rsidRPr="003C0842">
        <w:t>p</w:t>
      </w:r>
      <w:r w:rsidRPr="003C0842">
        <w:t>rzypisywan</w:t>
      </w:r>
      <w:r w:rsidR="00755FAA" w:rsidRPr="003C0842">
        <w:t>ych</w:t>
      </w:r>
      <w:r w:rsidRPr="003C0842">
        <w:t xml:space="preserve"> Radzie atrybut</w:t>
      </w:r>
      <w:r w:rsidR="00831939" w:rsidRPr="003C0842">
        <w:t>om</w:t>
      </w:r>
      <w:r w:rsidRPr="003C0842">
        <w:t xml:space="preserve"> „superrządu”</w:t>
      </w:r>
      <w:r w:rsidR="00831939" w:rsidRPr="003C0842">
        <w:t xml:space="preserve">, </w:t>
      </w:r>
      <w:r w:rsidR="00755FAA" w:rsidRPr="003C0842">
        <w:t>co</w:t>
      </w:r>
      <w:r w:rsidR="00831939" w:rsidRPr="003C0842">
        <w:t xml:space="preserve"> sugerował</w:t>
      </w:r>
      <w:r w:rsidR="00755FAA" w:rsidRPr="003C0842">
        <w:t>o</w:t>
      </w:r>
      <w:r w:rsidRPr="003C0842">
        <w:t xml:space="preserve"> niemieckiej opinii publicznej możliwości wykorzystywania go dla </w:t>
      </w:r>
      <w:r w:rsidR="00C21ED4" w:rsidRPr="003C0842">
        <w:t>pożądanych rozwiązań.</w:t>
      </w:r>
    </w:p>
    <w:p w:rsidR="00A200B5" w:rsidRPr="003C0842" w:rsidRDefault="00A200B5" w:rsidP="00111348">
      <w:pPr>
        <w:spacing w:line="360" w:lineRule="auto"/>
        <w:ind w:firstLine="709"/>
      </w:pPr>
      <w:r w:rsidRPr="003C0842">
        <w:t>W memorandum niemieckim z 25 września 1924 r.</w:t>
      </w:r>
      <w:r w:rsidR="00263F07" w:rsidRPr="003C0842">
        <w:t>,</w:t>
      </w:r>
      <w:r w:rsidRPr="003C0842">
        <w:t xml:space="preserve"> będącym próbą zaznaczenia zainteresowania kwestiami dyskutowanymi w Genewie oraz obecnością w Lidze, zwroty dotyczące miejsca w Radzie były zredagowane stanowczo: rząd niemiecki „winien mieć pewność” swej obecności w tym „przede wszystkim wykonawczym organie Ligi” oraz w „innych organach Ligi, a zwłaszcza w Sekretariacie Generalnym”. Członkowie Rady, do których było adresowane memorandum</w:t>
      </w:r>
      <w:r w:rsidRPr="003C0842">
        <w:rPr>
          <w:rStyle w:val="Odwoanieprzypisudolnego"/>
          <w:rFonts w:ascii="Times New Roman" w:hAnsi="Times New Roman"/>
          <w:sz w:val="24"/>
        </w:rPr>
        <w:footnoteReference w:id="212"/>
      </w:r>
      <w:r w:rsidRPr="003C0842">
        <w:t xml:space="preserve"> podobnie jak pozostali członkowie Ligi nie kwestionowali zasadności niemieckich oczekiwań</w:t>
      </w:r>
      <w:r w:rsidR="00831939" w:rsidRPr="003C0842">
        <w:t xml:space="preserve"> w sprawie </w:t>
      </w:r>
      <w:r w:rsidRPr="003C0842">
        <w:t xml:space="preserve">stałego miejsca w Radzie. W nadsyłanych odpowiedziach, o które prosił rząd niemiecki, wystąpiły jednak wątpliwości </w:t>
      </w:r>
      <w:r w:rsidR="00831939" w:rsidRPr="003C0842">
        <w:t>dotyczące stosowania przez Niemcy</w:t>
      </w:r>
      <w:r w:rsidRPr="003C0842">
        <w:t xml:space="preserve"> art. 16 Paktu, który odnosił się do wzajemnej pomocy na wypadek agresji. Wszczęta dyskusja była ważn</w:t>
      </w:r>
      <w:r w:rsidR="00831939" w:rsidRPr="003C0842">
        <w:t>a</w:t>
      </w:r>
      <w:r w:rsidR="00263F07" w:rsidRPr="003C0842">
        <w:t>,</w:t>
      </w:r>
      <w:r w:rsidR="00831939" w:rsidRPr="003C0842">
        <w:t xml:space="preserve"> gdyż</w:t>
      </w:r>
      <w:r w:rsidRPr="003C0842">
        <w:t xml:space="preserve"> dotykała fundamentów Ligi, jej filozofii, a nawet sensu istnienia. Rząd niemiecki swoje oczekiwania uzasadniał tym, że „Naród rozbrojony, który nie posiada nawet środków dostatecznych do obrony swych granic, </w:t>
      </w:r>
      <w:r w:rsidRPr="003C0842">
        <w:lastRenderedPageBreak/>
        <w:t>otoczony sąsiadami potężnie uzbrojonymi i rozporządzającymi najbardziej n</w:t>
      </w:r>
      <w:r w:rsidR="00263F07" w:rsidRPr="003C0842">
        <w:t>owoczesnym uzbrojeniem nie może</w:t>
      </w:r>
      <w:r w:rsidRPr="003C0842">
        <w:t xml:space="preserve"> na wypadek międzynarodowych konfliktów wyrzec się od razu polityki neutralności”</w:t>
      </w:r>
      <w:r w:rsidRPr="003C0842">
        <w:rPr>
          <w:rStyle w:val="Odwoanieprzypisudolnego"/>
          <w:rFonts w:ascii="Times New Roman" w:hAnsi="Times New Roman"/>
          <w:sz w:val="24"/>
        </w:rPr>
        <w:footnoteReference w:id="213"/>
      </w:r>
      <w:r w:rsidRPr="003C0842">
        <w:t>.</w:t>
      </w:r>
    </w:p>
    <w:p w:rsidR="00A200B5" w:rsidRPr="003C0842" w:rsidRDefault="00755FAA" w:rsidP="00111348">
      <w:pPr>
        <w:spacing w:line="360" w:lineRule="auto"/>
        <w:ind w:firstLine="709"/>
      </w:pPr>
      <w:r w:rsidRPr="003C0842">
        <w:t>R</w:t>
      </w:r>
      <w:r w:rsidR="00A200B5" w:rsidRPr="003C0842">
        <w:t>ząd niemiecki zdecydował się uczynić z art. 16 narzędzie walki o uznanie równych praw do bezpieczeństwa (a więc i zbrojeń) wszystkich członków Ligi. Uwypuklił to w obszernym piśmie do Sekretarza Generalnego z 12 grudnia 1924 r. będącym formalnym wszczęciem procedury akcesyjnej. Chciano jednak ten krok poprzedzić wyjaśnieniem swoich zobowiązań na wypadek sankcji wobec państwa, które pogwałci pokój. Zastosowanie sankcji stwarza bowiem ryzyko retorsji, co przybiera</w:t>
      </w:r>
      <w:r w:rsidR="00900BE3" w:rsidRPr="001E5F63">
        <w:t>„</w:t>
      </w:r>
      <w:r w:rsidR="00A200B5" w:rsidRPr="001E5F63">
        <w:t>rozmiary nie do zniesienia dla takiego kraju, który jak Niemcy zajmuje położenie środko</w:t>
      </w:r>
      <w:r w:rsidR="00B21A46" w:rsidRPr="001E5F63">
        <w:t>we, a jest zupełnie rozbrojony […]</w:t>
      </w:r>
      <w:r w:rsidR="00A200B5" w:rsidRPr="001E5F63">
        <w:t xml:space="preserve"> cała organizacja Ligi Narodów z trudem daje się pogodzić z przewagą militarną poszczególnych państw, bez względu na to, </w:t>
      </w:r>
      <w:r w:rsidR="00263F07" w:rsidRPr="001E5F63">
        <w:t>czy należą one do Ligi czy nie [</w:t>
      </w:r>
      <w:r w:rsidR="00B21A46" w:rsidRPr="001E5F63">
        <w:t>…</w:t>
      </w:r>
      <w:r w:rsidR="00263F07" w:rsidRPr="001E5F63">
        <w:t>]</w:t>
      </w:r>
      <w:r w:rsidR="00117B9D" w:rsidRPr="001E5F63">
        <w:t>.</w:t>
      </w:r>
      <w:r w:rsidR="00A200B5" w:rsidRPr="001E5F63">
        <w:t xml:space="preserve"> Istnieje zdaniem rządu niemieckiego jedno tylko wyjście z trudności, która ta dysproporcja pociąga za sobą w sprawie uczestniczenie Niemiec w procedurze sankcji. Należy pozostawić Niemcom, na wypadek konfliktów międzynarodowych, możliwość samookreślenia roz</w:t>
      </w:r>
      <w:r w:rsidR="00263F07" w:rsidRPr="001E5F63">
        <w:t>miaru ich czynnego uczestnictwa</w:t>
      </w:r>
      <w:r w:rsidR="00900BE3" w:rsidRPr="001E5F63">
        <w:t>”</w:t>
      </w:r>
      <w:r w:rsidR="00A200B5" w:rsidRPr="001E5F63">
        <w:rPr>
          <w:rStyle w:val="Odwoanieprzypisudolnego"/>
          <w:rFonts w:ascii="Times New Roman" w:hAnsi="Times New Roman"/>
          <w:sz w:val="24"/>
        </w:rPr>
        <w:footnoteReference w:id="214"/>
      </w:r>
      <w:r w:rsidR="00A200B5" w:rsidRPr="001E5F63">
        <w:t>.</w:t>
      </w:r>
    </w:p>
    <w:p w:rsidR="00DC2F33" w:rsidRPr="003C0842" w:rsidRDefault="00A200B5" w:rsidP="00111348">
      <w:pPr>
        <w:spacing w:line="360" w:lineRule="auto"/>
        <w:ind w:firstLine="709"/>
      </w:pPr>
      <w:r w:rsidRPr="003C0842">
        <w:t>Żądania niemieckie ubrane w „partnerską formę” przyczyniły się do tego, że oczekiwane w perspektywie miesiąca opuszczenie strefy kolońskiej zostało zablokowane wspólną notą sprzymierzonych. Zaskoczenie i złość ogółu Niemców był</w:t>
      </w:r>
      <w:r w:rsidR="002236B9" w:rsidRPr="003C0842">
        <w:t>y</w:t>
      </w:r>
      <w:r w:rsidRPr="003C0842">
        <w:t xml:space="preserve"> ogromn</w:t>
      </w:r>
      <w:r w:rsidR="002236B9" w:rsidRPr="003C0842">
        <w:t>e</w:t>
      </w:r>
      <w:r w:rsidRPr="003C0842">
        <w:t xml:space="preserve">. Oddalona bowiem została przewidziana przez traktat wersalski 15-letnia perspektywa ewakuacji Nadrenii, </w:t>
      </w:r>
      <w:r w:rsidR="00831939" w:rsidRPr="003C0842">
        <w:t xml:space="preserve">tak ważnej dla gospodarki kraju i stanowiącej </w:t>
      </w:r>
      <w:r w:rsidRPr="003C0842">
        <w:t xml:space="preserve">12% </w:t>
      </w:r>
      <w:r w:rsidR="00831939" w:rsidRPr="003C0842">
        <w:t xml:space="preserve">jego </w:t>
      </w:r>
      <w:r w:rsidRPr="003C0842">
        <w:t>powierzchni (55 tys. km</w:t>
      </w:r>
      <w:r w:rsidRPr="003C0842">
        <w:rPr>
          <w:vertAlign w:val="superscript"/>
        </w:rPr>
        <w:t>2</w:t>
      </w:r>
      <w:r w:rsidRPr="003C0842">
        <w:t>). Zarazem jednak ta właśnie decyzja odegrała przemożny wpływ na dalszą politykę Niemiec, uchylając „zasłony kryjącej perspektywy Locarno”</w:t>
      </w:r>
      <w:r w:rsidRPr="003C0842">
        <w:rPr>
          <w:rStyle w:val="Odwoanieprzypisudolnego"/>
          <w:rFonts w:ascii="Times New Roman" w:hAnsi="Times New Roman"/>
          <w:sz w:val="24"/>
        </w:rPr>
        <w:footnoteReference w:id="215"/>
      </w:r>
      <w:r w:rsidRPr="003C0842">
        <w:t>. Bogdan Winiarski</w:t>
      </w:r>
      <w:r w:rsidR="004F3A53" w:rsidRPr="003C0842">
        <w:t>, publikując ten pogląd w 1928 r.,</w:t>
      </w:r>
      <w:r w:rsidRPr="003C0842">
        <w:t>łączył ową zmianę z pogrzebaniem przez Brytyjczyków protokołu genewskiego</w:t>
      </w:r>
      <w:r w:rsidR="004F3A53" w:rsidRPr="003C0842">
        <w:t>. Sprawa miała jednak szerszy kontekst</w:t>
      </w:r>
      <w:r w:rsidR="00456F04" w:rsidRPr="003C0842">
        <w:t>,</w:t>
      </w:r>
      <w:r w:rsidR="004F3A53" w:rsidRPr="003C0842">
        <w:t xml:space="preserve"> co pokazujen</w:t>
      </w:r>
      <w:r w:rsidRPr="003C0842">
        <w:t>ie znane</w:t>
      </w:r>
      <w:r w:rsidR="004F3A53" w:rsidRPr="003C0842">
        <w:t xml:space="preserve"> B.Winiarskiemu </w:t>
      </w:r>
      <w:r w:rsidRPr="003C0842">
        <w:t xml:space="preserve">memorandum przedłożone </w:t>
      </w:r>
      <w:r w:rsidR="00DC2F33" w:rsidRPr="003C0842">
        <w:t xml:space="preserve">9 lutego 1925 r. </w:t>
      </w:r>
      <w:r w:rsidRPr="003C0842">
        <w:t>w Paryżu przez ambasadora Leopolda von Hoescha</w:t>
      </w:r>
      <w:r w:rsidR="004F3A53" w:rsidRPr="003C0842">
        <w:t>. Było ono</w:t>
      </w:r>
      <w:r w:rsidRPr="003C0842">
        <w:t>zapowi</w:t>
      </w:r>
      <w:r w:rsidR="00755FAA" w:rsidRPr="003C0842">
        <w:t>edzią</w:t>
      </w:r>
      <w:r w:rsidRPr="003C0842">
        <w:t xml:space="preserve"> now</w:t>
      </w:r>
      <w:r w:rsidR="00755FAA" w:rsidRPr="003C0842">
        <w:t>ej</w:t>
      </w:r>
      <w:r w:rsidRPr="003C0842">
        <w:t xml:space="preserve"> faz</w:t>
      </w:r>
      <w:r w:rsidR="00755FAA" w:rsidRPr="003C0842">
        <w:t>y</w:t>
      </w:r>
      <w:r w:rsidRPr="003C0842">
        <w:t xml:space="preserve"> w stosunkach francusko-niemieckich z Ligą w tle. </w:t>
      </w:r>
      <w:r w:rsidR="00DA7621" w:rsidRPr="003C0842">
        <w:t xml:space="preserve">W gręwchodził </w:t>
      </w:r>
      <w:r w:rsidRPr="003C0842">
        <w:t>pak</w:t>
      </w:r>
      <w:r w:rsidR="00DA7621" w:rsidRPr="003C0842">
        <w:t>t gwarantujący</w:t>
      </w:r>
      <w:r w:rsidRPr="003C0842">
        <w:t xml:space="preserve"> terytorialne status quo na Renie oraz uznaniu demilitaryzacji tego terytorium. Wzmiankowano także o możliwości opracowania konwencji światowej, w rodzaju „protokołu o pokojowym załatwianiu sporów międzynarodowych” </w:t>
      </w:r>
      <w:r w:rsidRPr="003C0842">
        <w:lastRenderedPageBreak/>
        <w:t>ułożonego przez Ligę Narodów</w:t>
      </w:r>
      <w:r w:rsidRPr="003C0842">
        <w:rPr>
          <w:rStyle w:val="Odwoanieprzypisudolnego"/>
          <w:rFonts w:ascii="Times New Roman" w:hAnsi="Times New Roman"/>
          <w:sz w:val="24"/>
        </w:rPr>
        <w:footnoteReference w:id="216"/>
      </w:r>
      <w:r w:rsidRPr="003C0842">
        <w:t>. Ta ostatnia wzmianka nawiązywała do protokołu genewskiego</w:t>
      </w:r>
      <w:r w:rsidR="00456F04" w:rsidRPr="003C0842">
        <w:t>,</w:t>
      </w:r>
      <w:r w:rsidRPr="003C0842">
        <w:t xml:space="preserve"> będącego „nadal w grze”</w:t>
      </w:r>
      <w:r w:rsidR="00117B9D" w:rsidRPr="003C0842">
        <w:t>,</w:t>
      </w:r>
      <w:r w:rsidRPr="003C0842">
        <w:t xml:space="preserve"> ale z małą nadzieją na przezwyciężenie</w:t>
      </w:r>
      <w:r w:rsidR="00DC2F33" w:rsidRPr="003C0842">
        <w:t>, nie tylko zresztą</w:t>
      </w:r>
      <w:r w:rsidRPr="003C0842">
        <w:t xml:space="preserve"> brytyjskich zastrzeżeń. </w:t>
      </w:r>
    </w:p>
    <w:p w:rsidR="00A200B5" w:rsidRPr="003C0842" w:rsidRDefault="00A200B5" w:rsidP="00111348">
      <w:pPr>
        <w:spacing w:line="360" w:lineRule="auto"/>
        <w:ind w:firstLine="709"/>
      </w:pPr>
      <w:r w:rsidRPr="003C0842">
        <w:t xml:space="preserve">Sygnalizowaną już niechęć Londynu do „znacznych powikłań” płynących z ewentualnego zastosowania protokołu genewskiego odczytano w Paryżu jako kolejną porażkę w zabiegach o brytyjskie gwarancje dla granicy francusko-niemieckiej. </w:t>
      </w:r>
      <w:r w:rsidR="00DC2F33" w:rsidRPr="003C0842">
        <w:t xml:space="preserve">Był to istotny powód, że </w:t>
      </w:r>
      <w:r w:rsidR="00117B9D" w:rsidRPr="003C0842">
        <w:t>Francja, w</w:t>
      </w:r>
      <w:r w:rsidRPr="003C0842">
        <w:t xml:space="preserve"> miejsce „drogi okrężnej” oferowanej przez L</w:t>
      </w:r>
      <w:r w:rsidR="00DC2F33" w:rsidRPr="003C0842">
        <w:t>N</w:t>
      </w:r>
      <w:r w:rsidR="00117B9D" w:rsidRPr="003C0842">
        <w:t>,</w:t>
      </w:r>
      <w:r w:rsidRPr="003C0842">
        <w:t xml:space="preserve">zdecydowała się na swoisty „patronat” brytyjski </w:t>
      </w:r>
      <w:r w:rsidR="00DC2F33" w:rsidRPr="003C0842">
        <w:t>w ich</w:t>
      </w:r>
      <w:r w:rsidRPr="003C0842">
        <w:t xml:space="preserve"> bezpośrednich rozm</w:t>
      </w:r>
      <w:r w:rsidR="00DC2F33" w:rsidRPr="003C0842">
        <w:t>owach</w:t>
      </w:r>
      <w:r w:rsidRPr="003C0842">
        <w:t xml:space="preserve"> z Niemcami. </w:t>
      </w:r>
      <w:r w:rsidR="00DC2F33" w:rsidRPr="003C0842">
        <w:t xml:space="preserve">Możemy mówić zarazem o </w:t>
      </w:r>
      <w:r w:rsidRPr="003C0842">
        <w:t>ważny</w:t>
      </w:r>
      <w:r w:rsidR="00DC2F33" w:rsidRPr="003C0842">
        <w:t>m</w:t>
      </w:r>
      <w:r w:rsidR="00667D8E" w:rsidRPr="003C0842">
        <w:t>momencie</w:t>
      </w:r>
      <w:r w:rsidRPr="003C0842">
        <w:t xml:space="preserve"> przesuwania się ciężkości polityki europejskiej z Paryża do Londynu. System wersalski, będący w istotnej części wytworem francuskim, przybierał coraz bardziej barwy brytyjskie</w:t>
      </w:r>
      <w:r w:rsidR="00117B9D" w:rsidRPr="003C0842">
        <w:t>,</w:t>
      </w:r>
      <w:r w:rsidRPr="003C0842">
        <w:t xml:space="preserve"> zdominowane myśleniem o zachowaniu na kontynencie</w:t>
      </w:r>
      <w:r w:rsidR="00117B9D" w:rsidRPr="003C0842">
        <w:t xml:space="preserve"> pokoju</w:t>
      </w:r>
      <w:r w:rsidRPr="003C0842">
        <w:t xml:space="preserve"> tak długo, jak tylko będzie możliwe opłacanie tych zabiegów z cudzej kieszeni. Była to taktyka racjonalna</w:t>
      </w:r>
      <w:r w:rsidR="00456F04" w:rsidRPr="003C0842">
        <w:t>,</w:t>
      </w:r>
      <w:r w:rsidRPr="003C0842">
        <w:t xml:space="preserve"> gdyż aspiracje rewizjonistyczno-rewindykacyjne państw pokonanych (z Niemcami w roli głównej) dotyczyły </w:t>
      </w:r>
      <w:r w:rsidR="00DC2F33" w:rsidRPr="003C0842">
        <w:t xml:space="preserve">głównie </w:t>
      </w:r>
      <w:r w:rsidRPr="003C0842">
        <w:t xml:space="preserve">rejonów wschodnich, mających </w:t>
      </w:r>
      <w:r w:rsidR="00117B9D" w:rsidRPr="003C0842">
        <w:t xml:space="preserve">dla Londynu </w:t>
      </w:r>
      <w:r w:rsidRPr="003C0842">
        <w:t>trzeciorzędne znaczenie.</w:t>
      </w:r>
    </w:p>
    <w:p w:rsidR="00A200B5" w:rsidRPr="003C0842" w:rsidRDefault="00A200B5" w:rsidP="00111348">
      <w:pPr>
        <w:spacing w:line="360" w:lineRule="auto"/>
        <w:ind w:firstLine="709"/>
      </w:pPr>
      <w:r w:rsidRPr="003C0842">
        <w:t>Trwające równo</w:t>
      </w:r>
      <w:r w:rsidR="00456F04" w:rsidRPr="003C0842">
        <w:t>cześnie</w:t>
      </w:r>
      <w:r w:rsidRPr="003C0842">
        <w:t xml:space="preserve"> pertraktacje ekscytowały </w:t>
      </w:r>
      <w:r w:rsidR="00DC2F33" w:rsidRPr="003C0842">
        <w:t>dodatkowo, bo</w:t>
      </w:r>
      <w:r w:rsidRPr="003C0842">
        <w:t xml:space="preserve"> miejsce </w:t>
      </w:r>
      <w:r w:rsidR="00DC2F33" w:rsidRPr="003C0842">
        <w:t xml:space="preserve">multilateralnego </w:t>
      </w:r>
      <w:r w:rsidRPr="003C0842">
        <w:t>protokołu genewskiego miało zająć porozumienie tylko kilk</w:t>
      </w:r>
      <w:r w:rsidR="00DC2F33" w:rsidRPr="003C0842">
        <w:t>u</w:t>
      </w:r>
      <w:r w:rsidRPr="003C0842">
        <w:t xml:space="preserve"> państw. To jeden z powodów, że V Zgromadzenie (7</w:t>
      </w:r>
      <w:r w:rsidR="005A5F3B">
        <w:t>-</w:t>
      </w:r>
      <w:r w:rsidRPr="003C0842">
        <w:t xml:space="preserve">26 września 1925 r.) było bezbarwne i </w:t>
      </w:r>
      <w:r w:rsidR="00DC2F33" w:rsidRPr="003C0842">
        <w:t>zdominowane</w:t>
      </w:r>
      <w:r w:rsidRPr="003C0842">
        <w:t xml:space="preserve"> oczekiwanie</w:t>
      </w:r>
      <w:r w:rsidR="00DC2F33" w:rsidRPr="003C0842">
        <w:t>m</w:t>
      </w:r>
      <w:r w:rsidRPr="003C0842">
        <w:t xml:space="preserve"> na</w:t>
      </w:r>
      <w:r w:rsidR="00DC2F33" w:rsidRPr="003C0842">
        <w:t>rad</w:t>
      </w:r>
      <w:r w:rsidRPr="003C0842">
        <w:t xml:space="preserve"> z udziałem Francji, Wielkiej Brytanii, Włoch i Niemiec</w:t>
      </w:r>
      <w:r w:rsidRPr="003C0842">
        <w:rPr>
          <w:rStyle w:val="Odwoanieprzypisudolnego"/>
          <w:rFonts w:ascii="Times New Roman" w:hAnsi="Times New Roman"/>
          <w:sz w:val="24"/>
        </w:rPr>
        <w:footnoteReference w:id="217"/>
      </w:r>
      <w:r w:rsidRPr="003C0842">
        <w:t xml:space="preserve">. Za stołem obrad w Locarno 5 października zasiadł także na równych prawach, acz z nierówną siłą głosu Emil Vandervelde z Belgii, a także jawni </w:t>
      </w:r>
      <w:r w:rsidR="00110AC3" w:rsidRPr="003C0842">
        <w:t>outsiderzy</w:t>
      </w:r>
      <w:r w:rsidRPr="003C0842">
        <w:t xml:space="preserve"> – ministrowie Edward Benesz i Aleksander Skrzyński</w:t>
      </w:r>
      <w:r w:rsidR="00304D01" w:rsidRPr="003C0842">
        <w:rPr>
          <w:rStyle w:val="Odwoanieprzypisudolnego"/>
          <w:rFonts w:ascii="Times New Roman" w:hAnsi="Times New Roman"/>
          <w:sz w:val="24"/>
        </w:rPr>
        <w:footnoteReference w:id="218"/>
      </w:r>
      <w:r w:rsidRPr="003C0842">
        <w:t>. Ich udział nie tylko w Pradze i Warszawie starano się przedstawić jako sukces</w:t>
      </w:r>
      <w:r w:rsidR="00DA7621" w:rsidRPr="003C0842">
        <w:t>,</w:t>
      </w:r>
      <w:r w:rsidRPr="003C0842">
        <w:t xml:space="preserve"> zważywszy na </w:t>
      </w:r>
      <w:r w:rsidR="00DA7621" w:rsidRPr="003C0842">
        <w:t xml:space="preserve">kunktatorskie zachowanie ich najważniejszego </w:t>
      </w:r>
      <w:r w:rsidR="00DA7621" w:rsidRPr="003C0842">
        <w:lastRenderedPageBreak/>
        <w:t>sprzymierzeńca, przy</w:t>
      </w:r>
      <w:r w:rsidR="001F4840">
        <w:t xml:space="preserve"> </w:t>
      </w:r>
      <w:r w:rsidRPr="003C0842">
        <w:t>zdecydowany</w:t>
      </w:r>
      <w:r w:rsidR="00DA7621" w:rsidRPr="003C0842">
        <w:t>m</w:t>
      </w:r>
      <w:r w:rsidRPr="003C0842">
        <w:t xml:space="preserve"> sprzeciw</w:t>
      </w:r>
      <w:r w:rsidR="00DA7621" w:rsidRPr="003C0842">
        <w:t>ie</w:t>
      </w:r>
      <w:r w:rsidRPr="003C0842">
        <w:t xml:space="preserve"> ministrów Niemiec i Wielkiej Brytanii. Usilne zabiegi i starania Czechosłowacji, a zwłaszcza Polski miały za podstawę świadomość, że dyskutowany przez kilka miesięcy między trzema mocarstwami pakt gwarancyjny od początku nazywano „reńskim” dla podkreślenia, że dotyczy wyłącznie granic na zachodzie. Strona niemiecka wcale nie skrywała, że rachuby na równe traktowanie granic ze wszystkimi sąsiadami nie może wchodzić w grę. William Martin, wzięty dziennikarz Journal des Genève, 23 czerwca 1925 r. </w:t>
      </w:r>
      <w:r w:rsidR="003E2862" w:rsidRPr="003C0842">
        <w:t xml:space="preserve">usłyszał </w:t>
      </w:r>
      <w:r w:rsidRPr="003C0842">
        <w:t xml:space="preserve">od swego niemieckiego rozmówcy Ernesta Kleina, znanego literata i dziennikarza, </w:t>
      </w:r>
      <w:r w:rsidR="00110AC3" w:rsidRPr="003C0842">
        <w:t>słowa powszechnie znane:</w:t>
      </w:r>
      <w:r w:rsidRPr="003C0842">
        <w:t xml:space="preserve"> „</w:t>
      </w:r>
      <w:r w:rsidR="00456F04" w:rsidRPr="003C0842">
        <w:t>[…]</w:t>
      </w:r>
      <w:r w:rsidRPr="003C0842">
        <w:t xml:space="preserve"> my nie możemy przyłączyć się do systemu, który oznaczałby </w:t>
      </w:r>
      <w:r w:rsidR="00110AC3" w:rsidRPr="003C0842">
        <w:t>jego</w:t>
      </w:r>
      <w:r w:rsidRPr="003C0842">
        <w:t xml:space="preserve"> potwierdzenie”</w:t>
      </w:r>
      <w:r w:rsidRPr="003C0842">
        <w:rPr>
          <w:rStyle w:val="Odwoanieprzypisudolnego"/>
          <w:rFonts w:ascii="Times New Roman" w:hAnsi="Times New Roman"/>
          <w:sz w:val="24"/>
        </w:rPr>
        <w:footnoteReference w:id="219"/>
      </w:r>
      <w:r w:rsidRPr="003C0842">
        <w:t>.</w:t>
      </w:r>
    </w:p>
    <w:p w:rsidR="00A200B5" w:rsidRPr="003C0842" w:rsidRDefault="00A200B5" w:rsidP="00111348">
      <w:pPr>
        <w:spacing w:line="360" w:lineRule="auto"/>
        <w:ind w:firstLine="709"/>
      </w:pPr>
      <w:r w:rsidRPr="003C0842">
        <w:t>Frondujące Czechosłowacja i Polska zostały poddane silnej presji</w:t>
      </w:r>
      <w:r w:rsidR="00110AC3" w:rsidRPr="003C0842">
        <w:t>. Mówiono, że</w:t>
      </w:r>
      <w:r w:rsidRPr="003C0842">
        <w:t xml:space="preserve"> utrudniają</w:t>
      </w:r>
      <w:r w:rsidR="00456F04" w:rsidRPr="003C0842">
        <w:t>,</w:t>
      </w:r>
      <w:r w:rsidRPr="003C0842">
        <w:t xml:space="preserve"> czy wręcz próbują blokować rozwiązania o fundamentalnym znaczeniu dla </w:t>
      </w:r>
      <w:r w:rsidR="003E2862" w:rsidRPr="003C0842">
        <w:t xml:space="preserve">dobra </w:t>
      </w:r>
      <w:r w:rsidR="00110AC3" w:rsidRPr="003C0842">
        <w:t>powszechnego</w:t>
      </w:r>
      <w:r w:rsidR="003E2862" w:rsidRPr="003C0842">
        <w:t>.</w:t>
      </w:r>
      <w:r w:rsidRPr="003C0842">
        <w:t xml:space="preserve"> Do chóru tego przyłączyli się też niektórzy urzędnicy Sekretariatu wbrew zawsze podkreślanej, ale mało przestrzeganej zasady neutralności, a nawet apolityczności. Za charakterystyczną można uznać konwersację między Tadeuszem Gwiazdoskim i Tytusem Komarnickim a Pierre</w:t>
      </w:r>
      <w:r w:rsidR="000405D2">
        <w:t>’em</w:t>
      </w:r>
      <w:r w:rsidRPr="003C0842">
        <w:t xml:space="preserve"> Comertem, dyrektorem sekcji informacyjnej Sekretariatu, podczas „wielkiej wojny” dyrektorem Biura Misji Francuskiej w Londynie, a później zaufanym współpracownikiem </w:t>
      </w:r>
      <w:r w:rsidR="00110AC3" w:rsidRPr="003C0842">
        <w:t>Drummonda</w:t>
      </w:r>
      <w:r w:rsidRPr="003C0842">
        <w:t xml:space="preserve">. Rozmowa </w:t>
      </w:r>
      <w:r w:rsidR="005C5AC4" w:rsidRPr="003C0842">
        <w:t xml:space="preserve">miała na celu </w:t>
      </w:r>
      <w:r w:rsidRPr="003C0842">
        <w:t>doprecyzowani</w:t>
      </w:r>
      <w:r w:rsidR="005C5AC4" w:rsidRPr="003C0842">
        <w:t>e</w:t>
      </w:r>
      <w:r w:rsidRPr="003C0842">
        <w:t xml:space="preserve"> francuskich oczekiwań od min. Aleksandra Skrzyńskiego</w:t>
      </w:r>
      <w:r w:rsidR="005C5AC4" w:rsidRPr="003C0842">
        <w:t xml:space="preserve">, który </w:t>
      </w:r>
      <w:r w:rsidRPr="003C0842">
        <w:t xml:space="preserve">przed wyjazdem do Szwajcarii </w:t>
      </w:r>
      <w:r w:rsidR="005C5AC4" w:rsidRPr="003C0842">
        <w:t>mógłby zapowiedzieć</w:t>
      </w:r>
      <w:r w:rsidRPr="003C0842">
        <w:t xml:space="preserve"> gotowość Polski do zawarcia z Niemcami paktu gwarancyjnego i układu arbitrażowego. </w:t>
      </w:r>
      <w:r w:rsidR="005C5AC4" w:rsidRPr="003C0842">
        <w:t>Za</w:t>
      </w:r>
      <w:r w:rsidR="00456F04" w:rsidRPr="003C0842">
        <w:t>p</w:t>
      </w:r>
      <w:r w:rsidR="005C5AC4" w:rsidRPr="003C0842">
        <w:t>owiadaną w Warszawie w</w:t>
      </w:r>
      <w:r w:rsidRPr="003C0842">
        <w:t>alkę o pakt wschodni</w:t>
      </w:r>
      <w:r w:rsidR="005C5AC4" w:rsidRPr="003C0842">
        <w:t xml:space="preserve"> – analogiczny w charakterze do paktu reńskiego </w:t>
      </w:r>
      <w:r w:rsidR="00164234" w:rsidRPr="003C0842">
        <w:t>–</w:t>
      </w:r>
      <w:r w:rsidRPr="003C0842">
        <w:t xml:space="preserve"> uważał Comert za przegraną</w:t>
      </w:r>
      <w:r w:rsidR="005C5AC4" w:rsidRPr="003C0842">
        <w:t>,</w:t>
      </w:r>
      <w:r w:rsidRPr="003C0842">
        <w:t xml:space="preserve"> gdyż „byłoby to poniekąd zaprzeczeniem polityki niemieckiej w stosunku do Polski”. </w:t>
      </w:r>
      <w:r w:rsidR="0052200F" w:rsidRPr="003C0842">
        <w:t xml:space="preserve">Nie krył zarazem, że </w:t>
      </w:r>
      <w:r w:rsidRPr="003C0842">
        <w:t>zawarcie oddzielnego paktu reńskiego</w:t>
      </w:r>
      <w:r w:rsidR="0052200F" w:rsidRPr="003C0842">
        <w:t>, bez polsko-niemieckiego układu arbitrażowego</w:t>
      </w:r>
      <w:r w:rsidRPr="003C0842">
        <w:t>, byłoby „najgorszą ewentualnością”</w:t>
      </w:r>
      <w:r w:rsidR="00456F04" w:rsidRPr="003C0842">
        <w:t>,</w:t>
      </w:r>
      <w:r w:rsidR="001F4840">
        <w:t xml:space="preserve"> </w:t>
      </w:r>
      <w:r w:rsidR="0052200F" w:rsidRPr="003C0842">
        <w:t>gdyż</w:t>
      </w:r>
      <w:r w:rsidRPr="003C0842">
        <w:t xml:space="preserve"> umknęłaby sposobność uzyskania „pośrednich” gwarancji brytyjskich</w:t>
      </w:r>
      <w:r w:rsidRPr="003C0842">
        <w:rPr>
          <w:rStyle w:val="Odwoanieprzypisudolnego"/>
          <w:rFonts w:ascii="Times New Roman" w:hAnsi="Times New Roman"/>
          <w:sz w:val="24"/>
        </w:rPr>
        <w:footnoteReference w:id="220"/>
      </w:r>
      <w:r w:rsidRPr="003C0842">
        <w:t>.</w:t>
      </w:r>
    </w:p>
    <w:p w:rsidR="0058713D" w:rsidRPr="003C0842" w:rsidRDefault="00A200B5" w:rsidP="00111348">
      <w:pPr>
        <w:spacing w:line="360" w:lineRule="auto"/>
        <w:ind w:firstLine="709"/>
      </w:pPr>
      <w:r w:rsidRPr="003C0842">
        <w:t>Do owych gwarancji Wielkiej Brytanii dyr</w:t>
      </w:r>
      <w:r w:rsidR="003E2862" w:rsidRPr="003C0842">
        <w:t>ektor</w:t>
      </w:r>
      <w:r w:rsidRPr="003C0842">
        <w:t xml:space="preserve"> Comert przywiązywał równie wielką wagę</w:t>
      </w:r>
      <w:r w:rsidR="00456F04" w:rsidRPr="003C0842">
        <w:t>,</w:t>
      </w:r>
      <w:r w:rsidRPr="003C0842">
        <w:t xml:space="preserve"> co i jego współpracownicy z Quai d’Orsay. Jeśli jednak min</w:t>
      </w:r>
      <w:r w:rsidR="0052200F" w:rsidRPr="003C0842">
        <w:t>istrowi</w:t>
      </w:r>
      <w:r w:rsidRPr="003C0842">
        <w:t xml:space="preserve"> Briandowi oraz jego podwładnym pożądanie gwarancji dla przebiegu granicy z Niemcami mogło wydawać się uprawnione, to już </w:t>
      </w:r>
      <w:r w:rsidR="005C5AC4" w:rsidRPr="003C0842">
        <w:t xml:space="preserve">upowszechnianie takiego punktu widzenia przez </w:t>
      </w:r>
      <w:r w:rsidRPr="003C0842">
        <w:t>dyr</w:t>
      </w:r>
      <w:r w:rsidR="003E2862" w:rsidRPr="003C0842">
        <w:t>ektor</w:t>
      </w:r>
      <w:r w:rsidR="005C5AC4" w:rsidRPr="003C0842">
        <w:t>a</w:t>
      </w:r>
      <w:r w:rsidRPr="003C0842">
        <w:t xml:space="preserve"> Comert</w:t>
      </w:r>
      <w:r w:rsidR="005C5AC4" w:rsidRPr="003C0842">
        <w:t>a</w:t>
      </w:r>
      <w:r w:rsidRPr="003C0842">
        <w:t xml:space="preserve"> jako urzędnik</w:t>
      </w:r>
      <w:r w:rsidR="005C5AC4" w:rsidRPr="003C0842">
        <w:t>a</w:t>
      </w:r>
      <w:r w:rsidR="00456F04" w:rsidRPr="003C0842">
        <w:t xml:space="preserve"> Ligi Narodów</w:t>
      </w:r>
      <w:r w:rsidR="001F4840">
        <w:t xml:space="preserve"> </w:t>
      </w:r>
      <w:r w:rsidR="0058713D" w:rsidRPr="003C0842">
        <w:t>uznać trzeba za</w:t>
      </w:r>
      <w:r w:rsidR="001F4840">
        <w:t xml:space="preserve"> </w:t>
      </w:r>
      <w:r w:rsidR="005C5AC4" w:rsidRPr="003C0842">
        <w:t>ewenement, naganny, a nawet niedopuszczalny</w:t>
      </w:r>
      <w:r w:rsidR="0058713D" w:rsidRPr="003C0842">
        <w:t xml:space="preserve">. </w:t>
      </w:r>
    </w:p>
    <w:p w:rsidR="00A200B5" w:rsidRPr="003C0842" w:rsidRDefault="00A200B5" w:rsidP="00111348">
      <w:pPr>
        <w:spacing w:line="360" w:lineRule="auto"/>
        <w:ind w:firstLine="709"/>
      </w:pPr>
      <w:r w:rsidRPr="003C0842">
        <w:lastRenderedPageBreak/>
        <w:t xml:space="preserve">Usilne, trwające już kilka lat zabiegi francuskie o jakieś suplementarne gwarancje ze strony mocarstw anglosaskich miały same w sobie deprymującą wymowę. Manifestowany tym samym brak wiary w Ligę jako organizację wspólnego bezpieczeństwa raził tym bardziej, że owe gwarancje miały obejmować państwa będące filarami całego systemu. Powszechnie znane, rewizjonistyczne plany niemieckie nakazywały słabym i słabszym członkom tego systemu żywić obawy, że to ich kosztem dokonywać się będzie </w:t>
      </w:r>
      <w:r w:rsidR="005C5AC4" w:rsidRPr="003C0842">
        <w:t>„reorganizacja” międzynarodowe</w:t>
      </w:r>
      <w:r w:rsidR="00F60056" w:rsidRPr="003C0842">
        <w:t>go</w:t>
      </w:r>
      <w:r w:rsidR="005C5AC4" w:rsidRPr="003C0842">
        <w:t xml:space="preserve"> układu</w:t>
      </w:r>
      <w:r w:rsidR="00F60056" w:rsidRPr="003C0842">
        <w:t xml:space="preserve"> na </w:t>
      </w:r>
      <w:r w:rsidRPr="003C0842">
        <w:t>kontynen</w:t>
      </w:r>
      <w:r w:rsidR="00F60056" w:rsidRPr="003C0842">
        <w:t>cie</w:t>
      </w:r>
      <w:r w:rsidRPr="003C0842">
        <w:t xml:space="preserve">. W sprawie kierunków tych aspiracji nie trzeba było zaglądać do tajnego wówczas listu Stresemanna </w:t>
      </w:r>
      <w:r w:rsidR="0052200F" w:rsidRPr="003C0842">
        <w:t xml:space="preserve">adresowanego 9 września 1925 r. </w:t>
      </w:r>
      <w:r w:rsidRPr="003C0842">
        <w:t>do byłego następcy tronu</w:t>
      </w:r>
      <w:r w:rsidR="0052200F" w:rsidRPr="003C0842">
        <w:t>.</w:t>
      </w:r>
      <w:r w:rsidRPr="003C0842">
        <w:t xml:space="preserve"> Jego treść, poznana zresztą kilka lat później</w:t>
      </w:r>
      <w:r w:rsidR="00F60056" w:rsidRPr="003C0842">
        <w:t>,</w:t>
      </w:r>
      <w:r w:rsidRPr="003C0842">
        <w:t xml:space="preserve"> wcale nie szokowała. Wiedziano przecież, że celem polityki Niemiec po przystąpieniu do Ligi będzie „korekta granic wschodnich, odzyskanie Gdańska, polskiego korytarza oraz korekta granicy na Górnym Śląsku. W dalszym planie jest przyłączenie Austrii”</w:t>
      </w:r>
      <w:r w:rsidRPr="003C0842">
        <w:rPr>
          <w:rStyle w:val="Odwoanieprzypisudolnego"/>
          <w:rFonts w:ascii="Times New Roman" w:hAnsi="Times New Roman"/>
          <w:sz w:val="24"/>
        </w:rPr>
        <w:footnoteReference w:id="221"/>
      </w:r>
      <w:r w:rsidRPr="003C0842">
        <w:t xml:space="preserve">. </w:t>
      </w:r>
    </w:p>
    <w:p w:rsidR="00A200B5" w:rsidRPr="003C0842" w:rsidRDefault="00A200B5" w:rsidP="00111348">
      <w:pPr>
        <w:spacing w:line="360" w:lineRule="auto"/>
        <w:ind w:firstLine="709"/>
      </w:pPr>
      <w:r w:rsidRPr="003C0842">
        <w:t>Krokiem na tej drodze było zmuszenie „dusiciela</w:t>
      </w:r>
      <w:r w:rsidR="00456F04" w:rsidRPr="003C0842">
        <w:t>,</w:t>
      </w:r>
      <w:r w:rsidRPr="003C0842">
        <w:t xml:space="preserve"> aby rozluźnił uścisk” i podważenie autorytetu Francji jako filaru bezpieczeństwa wedle zapatrywań jej wschodnich sojuszników. Pozostawiając na boku jakże liczne, wielowątkowe dywagacje i projekcje możliwego, domniemanego, planowanego itp. rozwoju wypadków</w:t>
      </w:r>
      <w:r w:rsidR="00456F04" w:rsidRPr="003C0842">
        <w:t>,</w:t>
      </w:r>
      <w:r w:rsidRPr="003C0842">
        <w:t xml:space="preserve"> należy uwypuklić, że istotą marszu do porozumień lokarneńskich było stworzenie fasady, za którą </w:t>
      </w:r>
      <w:r w:rsidR="0052200F" w:rsidRPr="003C0842">
        <w:t xml:space="preserve">nowa (w stosunku do czasów konferencji pokojowej) </w:t>
      </w:r>
      <w:r w:rsidRPr="003C0842">
        <w:t xml:space="preserve">„wielka trójka” dokonała podziału granic na posiadające niemiecką akceptację </w:t>
      </w:r>
      <w:r w:rsidR="00E606BF" w:rsidRPr="003C0842">
        <w:t>oraz</w:t>
      </w:r>
      <w:r w:rsidRPr="003C0842">
        <w:t xml:space="preserve"> gwarancje mocarstw </w:t>
      </w:r>
      <w:r w:rsidR="00E606BF" w:rsidRPr="003C0842">
        <w:t>i te</w:t>
      </w:r>
      <w:r w:rsidRPr="003C0842">
        <w:t xml:space="preserve"> inne</w:t>
      </w:r>
      <w:r w:rsidR="00164234" w:rsidRPr="003C0842">
        <w:t>–</w:t>
      </w:r>
      <w:r w:rsidRPr="003C0842">
        <w:t xml:space="preserve"> „gorsze”. Fasadowość i hipokryzję całej konstrukcji uwypuklało to, że gwarantem granic Czechosłowacji i Polski była Francja – ta sama</w:t>
      </w:r>
      <w:r w:rsidR="00E606BF" w:rsidRPr="003C0842">
        <w:t xml:space="preserve"> Francja</w:t>
      </w:r>
      <w:r w:rsidRPr="003C0842">
        <w:t>, która ze strachu o własną „skórę” pożądała brytyjskiej asekuracji</w:t>
      </w:r>
      <w:r w:rsidRPr="003C0842">
        <w:rPr>
          <w:rStyle w:val="Odwoanieprzypisudolnego"/>
          <w:rFonts w:ascii="Times New Roman" w:hAnsi="Times New Roman"/>
          <w:sz w:val="24"/>
        </w:rPr>
        <w:footnoteReference w:id="222"/>
      </w:r>
      <w:r w:rsidRPr="003C0842">
        <w:t>.</w:t>
      </w:r>
    </w:p>
    <w:p w:rsidR="00A200B5" w:rsidRPr="003C0842" w:rsidRDefault="00A200B5" w:rsidP="00111348">
      <w:pPr>
        <w:spacing w:line="360" w:lineRule="auto"/>
        <w:ind w:firstLine="709"/>
      </w:pPr>
      <w:r w:rsidRPr="003C0842">
        <w:t xml:space="preserve">Wspomnianą wyżej fasadą miało być godne miejsce w dokumentach lokarneńskich Ligi Narodów. Kilkakrotnie wskazywano na nią jako instytucję o charakterze odwoławczo-rozjemczym. W art. 7 paktu reńskiego, a więc wiodącego w </w:t>
      </w:r>
      <w:r w:rsidR="00AB59EA" w:rsidRPr="003C0842">
        <w:t>„</w:t>
      </w:r>
      <w:r w:rsidRPr="003C0842">
        <w:t>siedmiopaku</w:t>
      </w:r>
      <w:r w:rsidR="00AB59EA" w:rsidRPr="003C0842">
        <w:t>”</w:t>
      </w:r>
      <w:r w:rsidRPr="003C0842">
        <w:t xml:space="preserve"> lokarneńskim powiedziano o jego zgodności z Paktem Ligi, czyli, że „nie może być tłumaczony w sensie ograniczającym jej zadania” w skutecznej obron</w:t>
      </w:r>
      <w:r w:rsidR="00AB59EA" w:rsidRPr="003C0842">
        <w:t>ie</w:t>
      </w:r>
      <w:r w:rsidRPr="003C0842">
        <w:t xml:space="preserve"> pokoju. Art. 10 łączył wejście w życie układu ze złożeniem dokumentów ratyfikacyjnych w Sekretariacie i wstąpieniem Niemiec do </w:t>
      </w:r>
      <w:r w:rsidRPr="003C0842">
        <w:lastRenderedPageBreak/>
        <w:t>Ligi. W protokole końcowym przyjętym przez przedstawicieli 7 państw, a więc także Skrzyńskiego i Benesza umieszczono kilka sformułowań mających uwypuklić dobroczynny charakter zawartych układów dla pokoju w Europie. Wejście w życie owych traktatów i konwencji miało „w dużym stopniu” przyczynić się do „sprowadzenia odprężenia moralnego” między narodami oraz uła</w:t>
      </w:r>
      <w:r w:rsidR="0004698D" w:rsidRPr="003C0842">
        <w:t>twić</w:t>
      </w:r>
      <w:r w:rsidRPr="003C0842">
        <w:t xml:space="preserve"> „w wysokiej mierze rozwiązanie wielu zagadnień politycznych i ekonomicznych”</w:t>
      </w:r>
      <w:r w:rsidR="00456F04" w:rsidRPr="003C0842">
        <w:t>,</w:t>
      </w:r>
      <w:r w:rsidRPr="003C0842">
        <w:t xml:space="preserve"> co pozwoli przyspieszyć „w sposób skuteczny rozbrojenie”. Sygnatariusze „Protokołu Końcowego”, wśród nich dr Luther i Stresemann (pozostali sygnatariusze </w:t>
      </w:r>
      <w:r w:rsidR="0004698D" w:rsidRPr="003C0842">
        <w:t xml:space="preserve">reprezentowali swoje kraje </w:t>
      </w:r>
      <w:r w:rsidR="00AB59EA" w:rsidRPr="003C0842">
        <w:t>pojedynczo</w:t>
      </w:r>
      <w:r w:rsidR="0004698D" w:rsidRPr="003C0842">
        <w:t>)</w:t>
      </w:r>
      <w:r w:rsidRPr="003C0842">
        <w:t xml:space="preserve"> zobowiązywali się także „udzielić szczerego poparcia” prowadzonym przez LN pracom rozbrojeniowym</w:t>
      </w:r>
      <w:r w:rsidRPr="003C0842">
        <w:rPr>
          <w:rStyle w:val="Odwoanieprzypisudolnego"/>
          <w:rFonts w:ascii="Times New Roman" w:hAnsi="Times New Roman"/>
          <w:sz w:val="24"/>
        </w:rPr>
        <w:footnoteReference w:id="223"/>
      </w:r>
      <w:r w:rsidRPr="003C0842">
        <w:t>.</w:t>
      </w:r>
    </w:p>
    <w:p w:rsidR="00BD56B3" w:rsidRDefault="00A200B5" w:rsidP="00111348">
      <w:pPr>
        <w:spacing w:line="360" w:lineRule="auto"/>
        <w:ind w:firstLine="709"/>
      </w:pPr>
      <w:r w:rsidRPr="003C0842">
        <w:t>Protokoły lokarneńskie przez swoje instrumentalne podejście do kilku ważnych podmiotów międzynarodowych znalazły się w grupie najbardziej sprzecznie ocenianych dokumentów XX w. Pokojowe Nagrody Nobla dla Brianda i Stresemanna w 1926 r. (</w:t>
      </w:r>
      <w:r w:rsidR="005F25AA" w:rsidRPr="003C0842">
        <w:t xml:space="preserve">jak już wspomniano wyżej, </w:t>
      </w:r>
      <w:r w:rsidRPr="003C0842">
        <w:t xml:space="preserve">Chamberlain otrzymał </w:t>
      </w:r>
      <w:r w:rsidR="005F25AA" w:rsidRPr="003C0842">
        <w:t xml:space="preserve">ją </w:t>
      </w:r>
      <w:r w:rsidRPr="003C0842">
        <w:t>w roku poprzednim wspólnie z Dawesem) w niewielkim stopniu zacierają kontury sprzecznych interpretacji, warunkowanych głównie przyjętym punktem widzenia. Względna zgoda panuje co do tego, że to Londyn wymusił reorientacj</w:t>
      </w:r>
      <w:r w:rsidR="0004698D" w:rsidRPr="003C0842">
        <w:t>ę polityki Paryża wobec Berlina</w:t>
      </w:r>
      <w:r w:rsidR="0058713D" w:rsidRPr="003C0842">
        <w:t>,</w:t>
      </w:r>
      <w:r w:rsidR="0004698D" w:rsidRPr="003C0842">
        <w:t xml:space="preserve"> co z kolei odbiło się </w:t>
      </w:r>
      <w:r w:rsidR="0058713D" w:rsidRPr="003C0842">
        <w:t xml:space="preserve">na </w:t>
      </w:r>
      <w:r w:rsidR="0004698D" w:rsidRPr="003C0842">
        <w:t xml:space="preserve">relacjach z </w:t>
      </w:r>
      <w:r w:rsidRPr="003C0842">
        <w:t>państw</w:t>
      </w:r>
      <w:r w:rsidR="0004698D" w:rsidRPr="003C0842">
        <w:t>ami</w:t>
      </w:r>
      <w:r w:rsidRPr="003C0842">
        <w:t xml:space="preserve"> Europy </w:t>
      </w:r>
      <w:r w:rsidR="003414B9" w:rsidRPr="003C0842">
        <w:t>Ś</w:t>
      </w:r>
      <w:r w:rsidRPr="003C0842">
        <w:t>rodkowo-</w:t>
      </w:r>
      <w:r w:rsidR="003414B9" w:rsidRPr="003C0842">
        <w:t>W</w:t>
      </w:r>
      <w:r w:rsidRPr="003C0842">
        <w:t>schodniej.</w:t>
      </w:r>
    </w:p>
    <w:p w:rsidR="00A200B5" w:rsidRPr="003C0842" w:rsidRDefault="00A200B5" w:rsidP="00111348">
      <w:pPr>
        <w:spacing w:line="360" w:lineRule="auto"/>
        <w:ind w:firstLine="709"/>
      </w:pPr>
      <w:r w:rsidRPr="003C0842">
        <w:t>Uroczyste podpisanie układów lokarneńskich 1 grudnia 1925 r. w Londynie nabierało symbolicznej wymowy. Oś polityki międzynarodowej coraz wyraźniej znajdowała punkt stabilizacyjny nad Tamizą</w:t>
      </w:r>
      <w:r w:rsidRPr="003C0842">
        <w:rPr>
          <w:rStyle w:val="Odwoanieprzypisudolnego"/>
          <w:rFonts w:ascii="Times New Roman" w:hAnsi="Times New Roman"/>
          <w:sz w:val="24"/>
        </w:rPr>
        <w:footnoteReference w:id="224"/>
      </w:r>
      <w:r w:rsidRPr="003C0842">
        <w:t>. Z uznaniem odnotowywali sukces rządu JKM uczestnicy konferencji imperialnej, której protokół z 18 listopada 1926 r. mówił o „pełnym powodzeniu” narad lokarneńskich „dla popierania pokoju świata”</w:t>
      </w:r>
      <w:r w:rsidRPr="003C0842">
        <w:rPr>
          <w:rStyle w:val="Odwoanieprzypisudolnego"/>
          <w:rFonts w:ascii="Times New Roman" w:hAnsi="Times New Roman"/>
          <w:sz w:val="24"/>
        </w:rPr>
        <w:footnoteReference w:id="225"/>
      </w:r>
      <w:r w:rsidRPr="003C0842">
        <w:t xml:space="preserve">. Zarazem gwarancje dla granic zachodnich </w:t>
      </w:r>
      <w:r w:rsidR="00E606BF" w:rsidRPr="003C0842">
        <w:t xml:space="preserve">na kontynencie </w:t>
      </w:r>
      <w:r w:rsidRPr="003C0842">
        <w:t xml:space="preserve">były dla Londynu </w:t>
      </w:r>
      <w:r w:rsidRPr="003C0842">
        <w:rPr>
          <w:i/>
        </w:rPr>
        <w:t>the extreme limit</w:t>
      </w:r>
      <w:r w:rsidRPr="003C0842">
        <w:t xml:space="preserve"> ich zaangażowania na rzecz niezmienności traktatu wersalskiego. Nie po to brano na swoje barki oskarżenia o istotne naruszenie, zmianę, pogwałcenie zasad ustalonych w powojennych traktatach pokojowych, by mogło wchodzić w grę jakieś „Ost Locarno”. Henryk Batowski, historyk o niekwestionowanych kompetencjach w zakresie stosunków międzynarodowych sta</w:t>
      </w:r>
      <w:r w:rsidR="00E606BF" w:rsidRPr="003C0842">
        <w:t>nął</w:t>
      </w:r>
      <w:r w:rsidRPr="003C0842">
        <w:t xml:space="preserve"> na stanowisku, lekko tylko przez lata modyfikowanym, że system lokarneński zainaugurował „pół legalną fazę nowego Drang nach Osten, przy milczącej aprobacie mocarstw </w:t>
      </w:r>
      <w:r w:rsidRPr="003C0842">
        <w:lastRenderedPageBreak/>
        <w:t>zachodnich”</w:t>
      </w:r>
      <w:r w:rsidRPr="003C0842">
        <w:rPr>
          <w:rStyle w:val="Odwoanieprzypisudolnego"/>
          <w:rFonts w:ascii="Times New Roman" w:hAnsi="Times New Roman"/>
          <w:sz w:val="24"/>
        </w:rPr>
        <w:footnoteReference w:id="226"/>
      </w:r>
      <w:r w:rsidRPr="003C0842">
        <w:t>. Do sztambucha pobożnych, acz nieszczerych życzeń należy włożyć słowa Brianda wypowiedziane podczas parafowania układów w Locarno, że wolałby nie uczestniczyć w tych rokowaniach</w:t>
      </w:r>
      <w:r w:rsidR="003414B9" w:rsidRPr="003C0842">
        <w:t>,</w:t>
      </w:r>
      <w:r w:rsidRPr="003C0842">
        <w:t xml:space="preserve"> jeśliby miały one stanowić koniec, a nie początek wielkiego dzieła, które właśnie się zaczyna. Nieszczerych</w:t>
      </w:r>
      <w:r w:rsidR="00845DDF" w:rsidRPr="003C0842">
        <w:t>,</w:t>
      </w:r>
      <w:r w:rsidRPr="003C0842">
        <w:t xml:space="preserve"> bo kilkadziesiąt dni wcześniej, 6 sierpnia 1925 r. w rozmowie z ambasadorem niemieckim Leopoldem von Hoeschem dopuszczał możliwość rewizji granicy z Polską</w:t>
      </w:r>
      <w:r w:rsidRPr="003C0842">
        <w:rPr>
          <w:rStyle w:val="Odwoanieprzypisudolnego"/>
          <w:rFonts w:ascii="Times New Roman" w:hAnsi="Times New Roman"/>
          <w:sz w:val="24"/>
        </w:rPr>
        <w:footnoteReference w:id="227"/>
      </w:r>
      <w:r w:rsidRPr="003C0842">
        <w:t>.</w:t>
      </w:r>
    </w:p>
    <w:p w:rsidR="00A200B5" w:rsidRPr="003C0842" w:rsidRDefault="00A200B5" w:rsidP="00111348">
      <w:pPr>
        <w:spacing w:line="360" w:lineRule="auto"/>
        <w:ind w:firstLine="709"/>
      </w:pPr>
      <w:r w:rsidRPr="003C0842">
        <w:t xml:space="preserve">To ten </w:t>
      </w:r>
      <w:r w:rsidR="00C056F5" w:rsidRPr="003C0842">
        <w:t>właśnie element szarady</w:t>
      </w:r>
      <w:r w:rsidRPr="003C0842">
        <w:t xml:space="preserve"> lokarneńskiej był równie ważny dla Francji</w:t>
      </w:r>
      <w:r w:rsidR="003414B9" w:rsidRPr="003C0842">
        <w:t>,</w:t>
      </w:r>
      <w:r w:rsidRPr="003C0842">
        <w:t xml:space="preserve"> jak i jej wschodnich sojuszników. </w:t>
      </w:r>
      <w:r w:rsidR="00C056F5" w:rsidRPr="003C0842">
        <w:t>Ich o</w:t>
      </w:r>
      <w:r w:rsidRPr="003C0842">
        <w:t xml:space="preserve">cena była jednak </w:t>
      </w:r>
      <w:r w:rsidR="00C056F5" w:rsidRPr="003C0842">
        <w:t>zupełnie różna</w:t>
      </w:r>
      <w:r w:rsidRPr="003C0842">
        <w:t xml:space="preserve">. Dla Brianda i Francuzów był to skarb, który współistniał z polityką defensywną i koncepcjami umocnień Maginota. Była to udana ich zdaniem próba odciągnięcia pożądliwego wzroku Niemców od Alzacji i Lotaryngii, od francuskiego </w:t>
      </w:r>
      <w:r w:rsidRPr="003C0842">
        <w:rPr>
          <w:i/>
        </w:rPr>
        <w:t>ben esse</w:t>
      </w:r>
      <w:r w:rsidR="00845DDF" w:rsidRPr="003C0842">
        <w:rPr>
          <w:i/>
        </w:rPr>
        <w:t>r</w:t>
      </w:r>
      <w:r w:rsidRPr="003C0842">
        <w:rPr>
          <w:i/>
        </w:rPr>
        <w:t>e</w:t>
      </w:r>
      <w:r w:rsidRPr="003C0842">
        <w:t>. Izba Deputowanych zdominowana notorycznymi trudnościami gospodarczo-finansowymi uległa argumentacji rządu i bez większego trudu ratyfikowała układy lokarneńskie</w:t>
      </w:r>
      <w:r w:rsidRPr="003C0842">
        <w:rPr>
          <w:rStyle w:val="Odwoanieprzypisudolnego"/>
          <w:rFonts w:ascii="Times New Roman" w:hAnsi="Times New Roman"/>
          <w:sz w:val="24"/>
        </w:rPr>
        <w:footnoteReference w:id="228"/>
      </w:r>
      <w:r w:rsidRPr="003C0842">
        <w:t>.</w:t>
      </w:r>
    </w:p>
    <w:p w:rsidR="00A200B5" w:rsidRPr="003C0842" w:rsidRDefault="00A200B5" w:rsidP="00111348">
      <w:pPr>
        <w:spacing w:line="360" w:lineRule="auto"/>
        <w:ind w:firstLine="709"/>
      </w:pPr>
      <w:r w:rsidRPr="003C0842">
        <w:t>Znacznie trudniejszą przeprawę miał rząd w Polsce. Oliwy do ognia dodało objęcie 20 listopada 1925 r. steru rządu przez Aleksandra Skrzyńskiego, napiętnowanego za podpisanie układów, które nawet część jego zwolenników uznawała za groźne dla interesów państwa. Kontrowersje dotyczące polityki zagranicznej nabierały dodatkowej siły wobec głębokiego kryzysu gospodarczego i społecznego. Wrażenie ogólnego zamętu współtworzyła rosnąca aktywność piłsudczyków z przekonaniem rozgłaszającyc</w:t>
      </w:r>
      <w:r w:rsidR="00C056F5" w:rsidRPr="003C0842">
        <w:t>h, że kraj może uratować tylko K</w:t>
      </w:r>
      <w:r w:rsidRPr="003C0842">
        <w:t>omendant. Groźba przedłużenia bezczynności politycznej Piłsudskiego nasiliła jego ataki na „suczkę lokarneńską</w:t>
      </w:r>
      <w:r w:rsidR="00845DDF" w:rsidRPr="003C0842">
        <w:t>”</w:t>
      </w:r>
      <w:r w:rsidRPr="003C0842">
        <w:t xml:space="preserve">. Miał </w:t>
      </w:r>
      <w:r w:rsidR="00845DDF" w:rsidRPr="003C0842">
        <w:t xml:space="preserve">Skrzyńskiemu </w:t>
      </w:r>
      <w:r w:rsidRPr="003C0842">
        <w:t>za złe przede wszystkim to, że naiwnie wierzył w nowy system</w:t>
      </w:r>
      <w:r w:rsidR="003414B9" w:rsidRPr="003C0842">
        <w:t>,</w:t>
      </w:r>
      <w:r w:rsidRPr="003C0842">
        <w:t xml:space="preserve"> jako skuteczne zabezpieczenie przed rewizjonizmem niemieckim i uparcie bronił tego stanowiska</w:t>
      </w:r>
      <w:r w:rsidRPr="003C0842">
        <w:rPr>
          <w:rStyle w:val="Odwoanieprzypisudolnego"/>
          <w:rFonts w:ascii="Times New Roman" w:hAnsi="Times New Roman"/>
          <w:sz w:val="24"/>
        </w:rPr>
        <w:footnoteReference w:id="229"/>
      </w:r>
      <w:r w:rsidRPr="003C0842">
        <w:t xml:space="preserve">. Skrzyński w rozmowie z posłem brytyjskim w Warszawie żalił się </w:t>
      </w:r>
      <w:r w:rsidRPr="003C0842">
        <w:lastRenderedPageBreak/>
        <w:t>na Marszałka: „egotyzm i autokratyzm uczyniły go człowiekiem anormalnym, z którym współpraca nie jest możliwa”</w:t>
      </w:r>
      <w:r w:rsidRPr="003C0842">
        <w:rPr>
          <w:rStyle w:val="Odwoanieprzypisudolnego"/>
          <w:rFonts w:ascii="Times New Roman" w:hAnsi="Times New Roman"/>
          <w:sz w:val="24"/>
        </w:rPr>
        <w:footnoteReference w:id="230"/>
      </w:r>
      <w:r w:rsidRPr="003C0842">
        <w:t>.</w:t>
      </w:r>
    </w:p>
    <w:p w:rsidR="00845DDF" w:rsidRPr="003C0842" w:rsidRDefault="00A200B5" w:rsidP="00111348">
      <w:pPr>
        <w:spacing w:line="360" w:lineRule="auto"/>
        <w:ind w:firstLine="709"/>
      </w:pPr>
      <w:r w:rsidRPr="003C0842">
        <w:t>Większość sejmowa, którą rząd zdołał pozyskać dla ratyfikacji umów lokarneńskich w marcu 1926 r.</w:t>
      </w:r>
      <w:r w:rsidR="00845DDF" w:rsidRPr="003C0842">
        <w:t>,</w:t>
      </w:r>
      <w:r w:rsidRPr="003C0842">
        <w:t xml:space="preserve"> została przez opozycję zdyskredytowana, bo według Piłsudskiego każdy przyzwoity Polak spluwa jak sł</w:t>
      </w:r>
      <w:r w:rsidR="00C327C4" w:rsidRPr="003C0842">
        <w:t xml:space="preserve">yszy to słowo. Zła sława </w:t>
      </w:r>
      <w:r w:rsidR="003414B9" w:rsidRPr="003C0842">
        <w:t>Locarno</w:t>
      </w:r>
      <w:r w:rsidRPr="003C0842">
        <w:t xml:space="preserve"> wśród francuskich sojuszników bywa rozciągana także na głównych architektów tego porozumienia. Zara Steiner, historyk O</w:t>
      </w:r>
      <w:r w:rsidR="003414B9" w:rsidRPr="003C0842">
        <w:t>ks</w:t>
      </w:r>
      <w:r w:rsidRPr="003C0842">
        <w:t>fordu o dużej eksperiencji</w:t>
      </w:r>
      <w:r w:rsidR="00A75B63" w:rsidRPr="003C0842">
        <w:t>,</w:t>
      </w:r>
      <w:r w:rsidRPr="003C0842">
        <w:t xml:space="preserve"> odnosi to do Austena Chamberlaina, który po upadku gabinetu Baldwina w 1929 r. zszedł z widowni międzynarodowej, chociaż – jak o tym pisano wyżej – należał do polityków wybitnych. O pięć lat przeżył Brianda i siedem Stresemanna, który do ostatnich swych dni był silnie krytykowany za ustępstwa</w:t>
      </w:r>
      <w:r w:rsidR="003414B9" w:rsidRPr="003C0842">
        <w:t>,</w:t>
      </w:r>
      <w:r w:rsidRPr="003C0842">
        <w:t xml:space="preserve"> na jakie poszedł wobec Francji w 1925 r.</w:t>
      </w:r>
      <w:r w:rsidRPr="003C0842">
        <w:rPr>
          <w:rStyle w:val="Odwoanieprzypisudolnego"/>
          <w:rFonts w:ascii="Times New Roman" w:hAnsi="Times New Roman"/>
          <w:sz w:val="24"/>
        </w:rPr>
        <w:footnoteReference w:id="231"/>
      </w:r>
      <w:r w:rsidRPr="003C0842">
        <w:t xml:space="preserve"> Rezygnacja z własnej woli z Alzacji i Lotaryngii była, wedle dużej części opinii niemieckiej, stratą bolesną, której nie wyrównywały szanse zmian otwierające się na wschodzie. </w:t>
      </w:r>
    </w:p>
    <w:p w:rsidR="00A200B5" w:rsidRPr="003C0842" w:rsidRDefault="00F404C4" w:rsidP="00111348">
      <w:pPr>
        <w:spacing w:line="360" w:lineRule="auto"/>
        <w:ind w:firstLine="709"/>
      </w:pPr>
      <w:r w:rsidRPr="003C0842">
        <w:t>Ten właśnie k</w:t>
      </w:r>
      <w:r w:rsidR="00A200B5" w:rsidRPr="003C0842">
        <w:t xml:space="preserve">ierunek </w:t>
      </w:r>
      <w:r w:rsidRPr="003C0842">
        <w:t xml:space="preserve">potencjalnych zysków </w:t>
      </w:r>
      <w:r w:rsidR="00A200B5" w:rsidRPr="003C0842">
        <w:t>wypełniał istotną część dyskusji i narad rządowych oraz zainteresowania całej prasy. Pojawiające się domniemania, że po „pakcie zachodnim” może dojść do opartego na analogicznych podstawach paktu wschodniego</w:t>
      </w:r>
      <w:r w:rsidRPr="003C0842">
        <w:t>,</w:t>
      </w:r>
      <w:r w:rsidR="00A200B5" w:rsidRPr="003C0842">
        <w:t xml:space="preserve"> wywoływały popłoch. Szczególnie ostro reagowały różne, tak w Niemczech liczne stowarzyszenia i organizacje </w:t>
      </w:r>
      <w:r w:rsidR="00247492" w:rsidRPr="003C0842">
        <w:t>ziomkowskie</w:t>
      </w:r>
      <w:r w:rsidR="00A200B5" w:rsidRPr="003C0842">
        <w:t xml:space="preserve">, z Niemieckim Związkiem Wschodnim na czele. Do Berlina napływała istna lawina inspirowanych </w:t>
      </w:r>
      <w:r w:rsidR="005F25AA" w:rsidRPr="003C0842">
        <w:t xml:space="preserve">przez nacjonalistyczną </w:t>
      </w:r>
      <w:r w:rsidR="00A200B5" w:rsidRPr="003C0842">
        <w:t>DNVP rezolucji potępiających ministra i jego politykę</w:t>
      </w:r>
      <w:r w:rsidR="00A200B5" w:rsidRPr="003C0842">
        <w:rPr>
          <w:rStyle w:val="Odwoanieprzypisudolnego"/>
          <w:rFonts w:ascii="Times New Roman" w:hAnsi="Times New Roman"/>
          <w:sz w:val="24"/>
        </w:rPr>
        <w:footnoteReference w:id="232"/>
      </w:r>
      <w:r w:rsidR="00A200B5" w:rsidRPr="003C0842">
        <w:t xml:space="preserve">. Ministrowie Deutschnationale, </w:t>
      </w:r>
      <w:r w:rsidR="00845DDF" w:rsidRPr="003C0842">
        <w:t xml:space="preserve">chociaż </w:t>
      </w:r>
      <w:r w:rsidR="00A200B5" w:rsidRPr="003C0842">
        <w:t>zadowoleni z udziału w rządzie</w:t>
      </w:r>
      <w:r w:rsidR="00247492" w:rsidRPr="003C0842">
        <w:t>,</w:t>
      </w:r>
      <w:r w:rsidR="00A200B5" w:rsidRPr="003C0842">
        <w:t xml:space="preserve"> przyjmowali postawę niemal opozycyjną</w:t>
      </w:r>
      <w:r w:rsidR="003414B9" w:rsidRPr="003C0842">
        <w:t>,</w:t>
      </w:r>
      <w:r w:rsidR="00A200B5" w:rsidRPr="003C0842">
        <w:t xml:space="preserve"> jeśli chodzi o politykę zagraniczną i nie chcieli mieć nic wspólnego z dobrowolną akceptacją utraty części Rzeszy</w:t>
      </w:r>
      <w:r w:rsidR="00A200B5" w:rsidRPr="003C0842">
        <w:rPr>
          <w:rStyle w:val="Odwoanieprzypisudolnego"/>
          <w:rFonts w:ascii="Times New Roman" w:hAnsi="Times New Roman"/>
          <w:sz w:val="24"/>
        </w:rPr>
        <w:footnoteReference w:id="233"/>
      </w:r>
      <w:r w:rsidR="00A200B5" w:rsidRPr="003C0842">
        <w:t xml:space="preserve">. Dali temu wyraz podczas zjazdu partyjnego, który 25 października 1925 r. sprzeciwił się układom lokarneńskim. W ślad za tym ministrowie z </w:t>
      </w:r>
      <w:r w:rsidR="00A75B63" w:rsidRPr="003C0842">
        <w:t>tej partii</w:t>
      </w:r>
      <w:r w:rsidR="00007FC5" w:rsidRPr="003C0842">
        <w:t xml:space="preserve"> ustąpili z rządu. </w:t>
      </w:r>
      <w:r w:rsidR="00A75B63" w:rsidRPr="003C0842">
        <w:t>S</w:t>
      </w:r>
      <w:r w:rsidR="00A200B5" w:rsidRPr="003C0842">
        <w:t>tanowisko</w:t>
      </w:r>
      <w:r w:rsidR="00A75B63" w:rsidRPr="003C0842">
        <w:t xml:space="preserve"> zajęteprzez </w:t>
      </w:r>
      <w:r w:rsidR="00A200B5" w:rsidRPr="003C0842">
        <w:t>drug</w:t>
      </w:r>
      <w:r w:rsidR="00A75B63" w:rsidRPr="003C0842">
        <w:t>ą</w:t>
      </w:r>
      <w:r w:rsidR="00A200B5" w:rsidRPr="003C0842">
        <w:t xml:space="preserve"> co do liczby posłów w Reichstagu</w:t>
      </w:r>
      <w:r w:rsidRPr="003C0842">
        <w:t xml:space="preserve"> partię</w:t>
      </w:r>
      <w:r w:rsidR="00A200B5" w:rsidRPr="003C0842">
        <w:t xml:space="preserve"> w</w:t>
      </w:r>
      <w:r w:rsidR="00A75B63" w:rsidRPr="003C0842">
        <w:t>ywołało</w:t>
      </w:r>
      <w:r w:rsidR="00A200B5" w:rsidRPr="003C0842">
        <w:t xml:space="preserve"> alarm w Paryżu i Londynie. Konferencja Ambasadorów nie tylko zapowiedziała rychłą ewakuację strefy kolońskiej, ale także ważne i oczekiwane przez Niemców udogodnienia w pozostałych częściach Nadrenii.</w:t>
      </w:r>
    </w:p>
    <w:p w:rsidR="00247492" w:rsidRPr="003C0842" w:rsidRDefault="00A200B5" w:rsidP="00111348">
      <w:pPr>
        <w:spacing w:line="360" w:lineRule="auto"/>
        <w:ind w:firstLine="709"/>
      </w:pPr>
      <w:r w:rsidRPr="003C0842">
        <w:lastRenderedPageBreak/>
        <w:t>Pojawiły się też nadzieje</w:t>
      </w:r>
      <w:r w:rsidR="00247492" w:rsidRPr="003C0842">
        <w:t>,</w:t>
      </w:r>
      <w:r w:rsidRPr="003C0842">
        <w:t xml:space="preserve"> rozpowszechniane i wyolbrzymiane przez prasę niemiecką kooperującą z częścią brytyjskiej (wzajemnie się cytującą)</w:t>
      </w:r>
      <w:r w:rsidR="00247492" w:rsidRPr="003C0842">
        <w:t>,</w:t>
      </w:r>
      <w:r w:rsidRPr="003C0842">
        <w:t xml:space="preserve"> o bliskiej likwidacji Międzysojuszniczej Wojskowej Komisji Kontroli. Sam fakt jej istnienia oraz szerokie kompetencje obejmujące nie tylko sprawy wykonania przez Niemcy traktatu wersalskiego w dziedzinie rozbrojenia</w:t>
      </w:r>
      <w:r w:rsidR="00F404C4" w:rsidRPr="003C0842">
        <w:t>,</w:t>
      </w:r>
      <w:r w:rsidRPr="003C0842">
        <w:t xml:space="preserve"> ożywiał spory tak merytoryczne (dotyczące m.in. liczebności, organizacji i szkolenia </w:t>
      </w:r>
      <w:r w:rsidR="00007FC5" w:rsidRPr="003C0842">
        <w:t>policji</w:t>
      </w:r>
      <w:r w:rsidRPr="003C0842">
        <w:t>, dowództwa Reichswehry, organizacji paramilitarnych)</w:t>
      </w:r>
      <w:r w:rsidR="003414B9" w:rsidRPr="003C0842">
        <w:t>,</w:t>
      </w:r>
      <w:r w:rsidRPr="003C0842">
        <w:t xml:space="preserve"> jak i prestiżowe. Przełom lokarneński </w:t>
      </w:r>
      <w:r w:rsidR="00F404C4" w:rsidRPr="003C0842">
        <w:t xml:space="preserve">podsycał wyobraźnie </w:t>
      </w:r>
      <w:r w:rsidRPr="003C0842">
        <w:t xml:space="preserve">także przez to, że zlikwidowana została </w:t>
      </w:r>
      <w:r w:rsidR="00731E97" w:rsidRPr="003C0842">
        <w:t xml:space="preserve">już </w:t>
      </w:r>
      <w:r w:rsidRPr="003C0842">
        <w:t xml:space="preserve">kontrola w zakresie rozbrojenia morskiego. Zmiany te </w:t>
      </w:r>
      <w:r w:rsidR="00283647" w:rsidRPr="003C0842">
        <w:t xml:space="preserve">satysfakcjonowały Niemców krótko, bo </w:t>
      </w:r>
      <w:r w:rsidR="003414B9" w:rsidRPr="003C0842">
        <w:t xml:space="preserve">niebawem </w:t>
      </w:r>
      <w:r w:rsidR="00283647" w:rsidRPr="003C0842">
        <w:t>uznane zostały za oczywiste</w:t>
      </w:r>
      <w:r w:rsidRPr="003C0842">
        <w:t xml:space="preserve"> w kontekście rychłego wstąpieniaNiemiec do Ligi i natrętnie przypominanego art. 1 Paktu o zasadniczej równości wszystkich członków organizacji. </w:t>
      </w:r>
      <w:r w:rsidR="00283647" w:rsidRPr="003C0842">
        <w:t xml:space="preserve">Prorokowano, że </w:t>
      </w:r>
      <w:r w:rsidRPr="003C0842">
        <w:t xml:space="preserve">po likwidacji (rozwiązaniu) Komisji Kontrolnej </w:t>
      </w:r>
      <w:r w:rsidR="00283647" w:rsidRPr="003C0842">
        <w:t>wszystkie jej</w:t>
      </w:r>
      <w:r w:rsidRPr="003C0842">
        <w:t xml:space="preserve"> funkcje ustaną</w:t>
      </w:r>
      <w:r w:rsidR="00CD1517" w:rsidRPr="003C0842">
        <w:t>. Ewentualne</w:t>
      </w:r>
      <w:r w:rsidR="00283647" w:rsidRPr="003C0842">
        <w:t xml:space="preserve"> przeję</w:t>
      </w:r>
      <w:r w:rsidR="00CD1517" w:rsidRPr="003C0842">
        <w:t>cie ich</w:t>
      </w:r>
      <w:r w:rsidR="00283647" w:rsidRPr="003C0842">
        <w:t xml:space="preserve"> przez Ligę</w:t>
      </w:r>
      <w:r w:rsidR="00CD1517" w:rsidRPr="003C0842">
        <w:t xml:space="preserve"> torpedowano </w:t>
      </w:r>
      <w:r w:rsidR="00247492" w:rsidRPr="003C0842">
        <w:t xml:space="preserve">pojawiającą się </w:t>
      </w:r>
      <w:r w:rsidRPr="003C0842">
        <w:t>kolizj</w:t>
      </w:r>
      <w:r w:rsidR="00247492" w:rsidRPr="003C0842">
        <w:t>ą</w:t>
      </w:r>
      <w:r w:rsidR="003414B9" w:rsidRPr="003C0842">
        <w:t>,</w:t>
      </w:r>
      <w:r w:rsidR="00283647" w:rsidRPr="003C0842">
        <w:t xml:space="preserve"> gdyż</w:t>
      </w:r>
      <w:r w:rsidRPr="003C0842">
        <w:t xml:space="preserve"> kontrolowany byłby (po wstąpieniu Niemiec do Ligi) członkiem ciała kontrolowanego. </w:t>
      </w:r>
    </w:p>
    <w:p w:rsidR="00A200B5" w:rsidRPr="003C0842" w:rsidRDefault="00CD1517" w:rsidP="00111348">
      <w:pPr>
        <w:spacing w:line="360" w:lineRule="auto"/>
        <w:ind w:firstLine="709"/>
      </w:pPr>
      <w:r w:rsidRPr="003C0842">
        <w:t>Oczekiwani</w:t>
      </w:r>
      <w:r w:rsidR="00F404C4" w:rsidRPr="003C0842">
        <w:t>a</w:t>
      </w:r>
      <w:r w:rsidRPr="003C0842">
        <w:t xml:space="preserve"> na</w:t>
      </w:r>
      <w:r w:rsidR="00A200B5" w:rsidRPr="003C0842">
        <w:t xml:space="preserve"> pozbycia się </w:t>
      </w:r>
      <w:r w:rsidRPr="003C0842">
        <w:t xml:space="preserve">dokuczliwej w sensie społeczno-prestiżowym </w:t>
      </w:r>
      <w:r w:rsidR="00A200B5" w:rsidRPr="003C0842">
        <w:t>kontroli międzysojuszniczej były wśród Niemców duże i biorąc pod uwagę życzliwe stanowisko Wielkiej Brytanii</w:t>
      </w:r>
      <w:r w:rsidR="003414B9" w:rsidRPr="003C0842">
        <w:t>,</w:t>
      </w:r>
      <w:r w:rsidR="00A200B5" w:rsidRPr="003C0842">
        <w:t xml:space="preserve"> uzasadnione. Tak też problem ten widział marszałek Hindenburg i cała kamaryla prezydencko-wojskowa skłonna odwlekać fakt wstąpienia do Ligi do czasu zakończenia rozmów o szczegółach ustępstw ze strony Francji, </w:t>
      </w:r>
      <w:r w:rsidR="003414B9" w:rsidRPr="003C0842">
        <w:t>gdyż</w:t>
      </w:r>
      <w:r w:rsidR="00A200B5" w:rsidRPr="003C0842">
        <w:t xml:space="preserve"> – ich zdaniem – na akcesie niemieckim najbardziej zależało</w:t>
      </w:r>
      <w:r w:rsidR="00F404C4" w:rsidRPr="003C0842">
        <w:t xml:space="preserve"> </w:t>
      </w:r>
      <w:r w:rsidR="001F4840" w:rsidRPr="003C0842">
        <w:t>właśnie</w:t>
      </w:r>
      <w:r w:rsidR="00A200B5" w:rsidRPr="003C0842">
        <w:t xml:space="preserve"> Francji i samej Lidze</w:t>
      </w:r>
      <w:r w:rsidR="00A200B5" w:rsidRPr="003C0842">
        <w:rPr>
          <w:rStyle w:val="Odwoanieprzypisudolnego"/>
          <w:rFonts w:ascii="Times New Roman" w:hAnsi="Times New Roman"/>
          <w:sz w:val="24"/>
        </w:rPr>
        <w:footnoteReference w:id="234"/>
      </w:r>
      <w:r w:rsidR="00A200B5" w:rsidRPr="003C0842">
        <w:t>.</w:t>
      </w:r>
    </w:p>
    <w:p w:rsidR="00247492" w:rsidRPr="003C0842" w:rsidRDefault="00A200B5" w:rsidP="00111348">
      <w:pPr>
        <w:spacing w:line="360" w:lineRule="auto"/>
        <w:ind w:firstLine="709"/>
      </w:pPr>
      <w:r w:rsidRPr="003C0842">
        <w:t>Najdalej idące żądania i oczekiwania prawicy z natury rzeczy „ciągnęły” za sobą pozostałe siły polityczne</w:t>
      </w:r>
      <w:r w:rsidR="003414B9" w:rsidRPr="003C0842">
        <w:t>,</w:t>
      </w:r>
      <w:r w:rsidRPr="003C0842">
        <w:t xml:space="preserve"> przesuwając </w:t>
      </w:r>
      <w:r w:rsidR="009F3D12" w:rsidRPr="003C0842">
        <w:t xml:space="preserve">je </w:t>
      </w:r>
      <w:r w:rsidRPr="003C0842">
        <w:t>w prawo.</w:t>
      </w:r>
      <w:r w:rsidR="009F3D12" w:rsidRPr="003C0842">
        <w:t xml:space="preserve"> B</w:t>
      </w:r>
      <w:r w:rsidR="00CD1517" w:rsidRPr="003C0842">
        <w:t>ardzo eksponowana, p</w:t>
      </w:r>
      <w:r w:rsidRPr="003C0842">
        <w:t xml:space="preserve">odstawowa pretensja do zwycięzców, że </w:t>
      </w:r>
      <w:r w:rsidR="00CD1517" w:rsidRPr="003C0842">
        <w:t>uznali</w:t>
      </w:r>
      <w:r w:rsidRPr="003C0842">
        <w:t xml:space="preserve"> Niemcy jako odpowiedzialnych za wywołanie wojny</w:t>
      </w:r>
      <w:r w:rsidR="00CD1517" w:rsidRPr="003C0842">
        <w:t>,</w:t>
      </w:r>
      <w:r w:rsidR="001F4840">
        <w:t xml:space="preserve"> </w:t>
      </w:r>
      <w:r w:rsidR="00CD1517" w:rsidRPr="003C0842">
        <w:t xml:space="preserve">od końca </w:t>
      </w:r>
      <w:r w:rsidRPr="003C0842">
        <w:t>w 192</w:t>
      </w:r>
      <w:r w:rsidR="00CD1517" w:rsidRPr="003C0842">
        <w:t>4</w:t>
      </w:r>
      <w:r w:rsidRPr="003C0842">
        <w:t xml:space="preserve"> r. </w:t>
      </w:r>
      <w:r w:rsidR="00CD1517" w:rsidRPr="003C0842">
        <w:t xml:space="preserve">nieco </w:t>
      </w:r>
      <w:r w:rsidR="008E2BA3" w:rsidRPr="003C0842">
        <w:t>zelżała</w:t>
      </w:r>
      <w:r w:rsidRPr="003C0842">
        <w:t xml:space="preserve">. </w:t>
      </w:r>
      <w:r w:rsidR="0081665A" w:rsidRPr="003C0842">
        <w:t>Zwycięzcy także nie wracali do tej kwestii ani w oficjalnych notach</w:t>
      </w:r>
      <w:r w:rsidR="003414B9" w:rsidRPr="003C0842">
        <w:t>,</w:t>
      </w:r>
      <w:r w:rsidR="0081665A" w:rsidRPr="003C0842">
        <w:t xml:space="preserve"> ani </w:t>
      </w:r>
      <w:r w:rsidR="009F3D12" w:rsidRPr="003C0842">
        <w:t>prowadzonych rozmowach</w:t>
      </w:r>
      <w:r w:rsidR="0081665A" w:rsidRPr="003C0842">
        <w:t xml:space="preserve">. Przytoczona przez min. Stresemanna maksyma – </w:t>
      </w:r>
      <w:r w:rsidR="0081665A" w:rsidRPr="003C0842">
        <w:rPr>
          <w:i/>
        </w:rPr>
        <w:t xml:space="preserve">Qui tacet consentire </w:t>
      </w:r>
      <w:r w:rsidR="009F3D12" w:rsidRPr="003C0842">
        <w:rPr>
          <w:i/>
        </w:rPr>
        <w:t>vide tur</w:t>
      </w:r>
      <w:r w:rsidR="001F4840">
        <w:rPr>
          <w:i/>
        </w:rPr>
        <w:t xml:space="preserve"> </w:t>
      </w:r>
      <w:r w:rsidR="0081665A" w:rsidRPr="003C0842">
        <w:t>(kto milczy, też zdaje się zezwalać)</w:t>
      </w:r>
      <w:r w:rsidR="00A23268" w:rsidRPr="003C0842">
        <w:t>,</w:t>
      </w:r>
      <w:r w:rsidR="0081665A" w:rsidRPr="003C0842">
        <w:t xml:space="preserve"> skłoniła go do oświadczenia, że postanowienie art. 231 traktatu zostało podważone</w:t>
      </w:r>
      <w:r w:rsidR="0081665A" w:rsidRPr="003C0842">
        <w:rPr>
          <w:rStyle w:val="Odwoanieprzypisudolnego"/>
          <w:rFonts w:ascii="Times New Roman" w:hAnsi="Times New Roman"/>
          <w:sz w:val="24"/>
        </w:rPr>
        <w:footnoteReference w:id="235"/>
      </w:r>
      <w:r w:rsidR="0081665A" w:rsidRPr="003C0842">
        <w:t>. Dla słuchaczy słowa te jawiły się jako oczywiste</w:t>
      </w:r>
      <w:r w:rsidR="003414B9" w:rsidRPr="003C0842">
        <w:t>,</w:t>
      </w:r>
      <w:r w:rsidR="0081665A" w:rsidRPr="003C0842">
        <w:t xml:space="preserve"> skoro n</w:t>
      </w:r>
      <w:r w:rsidRPr="003C0842">
        <w:t>adrzędnym pr</w:t>
      </w:r>
      <w:r w:rsidR="008E2BA3" w:rsidRPr="003C0842">
        <w:t xml:space="preserve">zesłaniem rządu zabiegającego o </w:t>
      </w:r>
      <w:r w:rsidRPr="003C0842">
        <w:t>ratyfikację układów lokarneńskich był</w:t>
      </w:r>
      <w:r w:rsidR="00A9786E" w:rsidRPr="003C0842">
        <w:t>a likwidacja</w:t>
      </w:r>
      <w:r w:rsidRPr="003C0842">
        <w:t xml:space="preserve"> podziału na zwycięzców i zwyciężonych</w:t>
      </w:r>
      <w:r w:rsidR="00A9786E" w:rsidRPr="003C0842">
        <w:t>, czyli</w:t>
      </w:r>
      <w:r w:rsidRPr="003C0842">
        <w:t xml:space="preserve"> powrót Niemiec do „trójki” decydując</w:t>
      </w:r>
      <w:r w:rsidR="00007FC5" w:rsidRPr="003C0842">
        <w:t>ych o</w:t>
      </w:r>
      <w:r w:rsidRPr="003C0842">
        <w:t xml:space="preserve"> losach kontynentu. </w:t>
      </w:r>
    </w:p>
    <w:p w:rsidR="00A200B5" w:rsidRPr="003C0842" w:rsidRDefault="00A200B5" w:rsidP="00111348">
      <w:pPr>
        <w:spacing w:line="360" w:lineRule="auto"/>
        <w:ind w:firstLine="709"/>
      </w:pPr>
      <w:r w:rsidRPr="003C0842">
        <w:t>Znaczenie pozostałych uczestników obrad lokarneńskich pomniejszano, a „natrętnych” Benesza i Skrzyńskiego wręcz dyskredytowano. Min</w:t>
      </w:r>
      <w:r w:rsidR="00A23268" w:rsidRPr="003C0842">
        <w:t>ister</w:t>
      </w:r>
      <w:r w:rsidRPr="003C0842">
        <w:t xml:space="preserve"> Stresemann 14 grudnia </w:t>
      </w:r>
      <w:r w:rsidRPr="003C0842">
        <w:lastRenderedPageBreak/>
        <w:t xml:space="preserve">1925 r., a więc już po pozytywnym głosowaniu w Reichstagu w sprawie ratyfikacji </w:t>
      </w:r>
      <w:r w:rsidR="00007FC5" w:rsidRPr="003C0842">
        <w:t>(</w:t>
      </w:r>
      <w:r w:rsidRPr="003C0842">
        <w:t>292 „za”, 174 „przeciw”</w:t>
      </w:r>
      <w:r w:rsidR="00007FC5" w:rsidRPr="003C0842">
        <w:t>)</w:t>
      </w:r>
      <w:r w:rsidRPr="003C0842">
        <w:t xml:space="preserve"> publicznie wynosił zasługi min. Brianda, jako tego, który </w:t>
      </w:r>
      <w:r w:rsidR="009F3D12" w:rsidRPr="003C0842">
        <w:t>znajdującym się</w:t>
      </w:r>
      <w:r w:rsidRPr="003C0842">
        <w:t xml:space="preserve"> poza salą obrad politykom z Czechosłowacji i Polski </w:t>
      </w:r>
      <w:r w:rsidR="00A9786E" w:rsidRPr="003C0842">
        <w:t>pr</w:t>
      </w:r>
      <w:r w:rsidR="00247492" w:rsidRPr="003C0842">
        <w:t>zekazywał</w:t>
      </w:r>
      <w:r w:rsidRPr="003C0842">
        <w:t xml:space="preserve"> powzięte decyzje dotyczące bezpieczeństwa w E</w:t>
      </w:r>
      <w:r w:rsidR="00007FC5" w:rsidRPr="003C0842">
        <w:t>uropie, a więc także ich państw</w:t>
      </w:r>
      <w:r w:rsidRPr="003C0842">
        <w:t xml:space="preserve">: „Panowie Benesz i Skrzyński musieli tam siedzieć w sąsiednim pokoju, dopóki ich nie wpuściliśmy. Była to sytuacja państw, które dotychczas sztucznie podkarmiano, bo były sługami innych, a porzucono je w momencie, gdy uznano za możliwe porozumieć się z Niemcami”. </w:t>
      </w:r>
      <w:r w:rsidR="00247492" w:rsidRPr="003C0842">
        <w:t>Chełpił się</w:t>
      </w:r>
      <w:r w:rsidR="00A23268" w:rsidRPr="003C0842">
        <w:t>,</w:t>
      </w:r>
      <w:r w:rsidRPr="003C0842">
        <w:t xml:space="preserve"> mówi</w:t>
      </w:r>
      <w:r w:rsidR="00247492" w:rsidRPr="003C0842">
        <w:t>ąc</w:t>
      </w:r>
      <w:r w:rsidRPr="003C0842">
        <w:t xml:space="preserve">, że </w:t>
      </w:r>
      <w:r w:rsidR="00247492" w:rsidRPr="003C0842">
        <w:t xml:space="preserve">odrzucone zostały </w:t>
      </w:r>
      <w:r w:rsidRPr="003C0842">
        <w:t>zdecydowanie życzenia Polski i Czechosłowacji</w:t>
      </w:r>
      <w:r w:rsidR="00A23268" w:rsidRPr="003C0842">
        <w:t>,</w:t>
      </w:r>
      <w:r w:rsidRPr="003C0842">
        <w:t xml:space="preserve"> aby w układzie znalazło się „wyrzeczenie wszelkiej agresji. Zobowiązania te podjęliśmy w stosunku do Zachodu, odrzuciliśmy je w stosunku do Wschodu. Również wstąpienie do Ligi Narodów nie wyklucza wojny </w:t>
      </w:r>
      <w:r w:rsidR="00A23268" w:rsidRPr="003C0842">
        <w:t>[…]</w:t>
      </w:r>
      <w:r w:rsidRPr="003C0842">
        <w:t xml:space="preserve"> jeśli w sprawach politycznych nie uda się osiągnąć porozumienia”</w:t>
      </w:r>
      <w:r w:rsidRPr="003C0842">
        <w:rPr>
          <w:rStyle w:val="Odwoanieprzypisudolnego"/>
          <w:rFonts w:ascii="Times New Roman" w:hAnsi="Times New Roman"/>
          <w:sz w:val="24"/>
        </w:rPr>
        <w:footnoteReference w:id="236"/>
      </w:r>
      <w:r w:rsidRPr="003C0842">
        <w:t>.</w:t>
      </w:r>
    </w:p>
    <w:p w:rsidR="00A200B5" w:rsidRPr="003C0842" w:rsidRDefault="00A200B5" w:rsidP="00111348">
      <w:pPr>
        <w:spacing w:line="360" w:lineRule="auto"/>
        <w:ind w:firstLine="709"/>
      </w:pPr>
      <w:r w:rsidRPr="003C0842">
        <w:t>Schlebianiu prawicowo-nacjonalistycznej części obywateli Republiki Weimarskiej towarzyszyło przekonanie o pozytywnym</w:t>
      </w:r>
      <w:r w:rsidR="00A9786E" w:rsidRPr="003C0842">
        <w:t>, korzystnym</w:t>
      </w:r>
      <w:r w:rsidRPr="003C0842">
        <w:t xml:space="preserve"> prze</w:t>
      </w:r>
      <w:r w:rsidR="00247492" w:rsidRPr="003C0842">
        <w:t>kroczeniu</w:t>
      </w:r>
      <w:r w:rsidRPr="003C0842">
        <w:t xml:space="preserve"> najważniejszych progów związanych z powrotem Niemiec na arenę międzynarodową w roli partnera słuchanego przez Paryż i Londyn. Dotyczyło to również długo dyskutowanej</w:t>
      </w:r>
      <w:r w:rsidR="00247492" w:rsidRPr="003C0842">
        <w:t xml:space="preserve"> interpretacji art. 16 Paktu</w:t>
      </w:r>
      <w:r w:rsidRPr="003C0842">
        <w:t>, tak ważnej dla</w:t>
      </w:r>
      <w:r w:rsidR="00247492" w:rsidRPr="003C0842">
        <w:t xml:space="preserve"> całej Ligi, ale i</w:t>
      </w:r>
      <w:r w:rsidRPr="003C0842">
        <w:t xml:space="preserve"> „linii rap</w:t>
      </w:r>
      <w:r w:rsidR="00A615EC" w:rsidRPr="003C0842">
        <w:t>a</w:t>
      </w:r>
      <w:r w:rsidRPr="003C0842">
        <w:t>llskiej”. Podkreślana wielokroć z niezwykłą mocą wierność dla tej „linii”</w:t>
      </w:r>
      <w:r w:rsidR="009F3D12" w:rsidRPr="003C0842">
        <w:t>,</w:t>
      </w:r>
      <w:r w:rsidRPr="003C0842">
        <w:t xml:space="preserve"> wraz z zapewnieniami, że Niemcy nie przyłączą się do żadnej krucjaty antyradzieckiej, znalazła swój wyraz w specjalnym liście uczestników konferencji lokarneńskiej do delegacji niemieckiej. Powiedziano w nim, że każdy członek Ligi powinien współpracować przeciwko w</w:t>
      </w:r>
      <w:r w:rsidR="00007FC5" w:rsidRPr="003C0842">
        <w:t>sz</w:t>
      </w:r>
      <w:r w:rsidRPr="003C0842">
        <w:t>elkiej agresji stosownie do swojej „sytuacji wojskowej i liczącej się z jego położeniem geograficznym”</w:t>
      </w:r>
      <w:r w:rsidRPr="003C0842">
        <w:rPr>
          <w:rStyle w:val="Odwoanieprzypisudolnego"/>
          <w:rFonts w:ascii="Times New Roman" w:hAnsi="Times New Roman"/>
          <w:sz w:val="24"/>
        </w:rPr>
        <w:footnoteReference w:id="237"/>
      </w:r>
      <w:r w:rsidRPr="003C0842">
        <w:t>.</w:t>
      </w:r>
    </w:p>
    <w:p w:rsidR="00A200B5" w:rsidRPr="003C0842" w:rsidRDefault="00A200B5" w:rsidP="00111348">
      <w:pPr>
        <w:spacing w:line="360" w:lineRule="auto"/>
        <w:ind w:firstLine="709"/>
      </w:pPr>
      <w:r w:rsidRPr="003C0842">
        <w:t>Kilkumiesięczne wykluwanie się porozumień sfinalizowanych 16 października 192</w:t>
      </w:r>
      <w:r w:rsidR="002236B9" w:rsidRPr="003C0842">
        <w:t>5</w:t>
      </w:r>
      <w:r w:rsidRPr="003C0842">
        <w:t xml:space="preserve"> r. w Locarno i podpisanych 1 grudnia w Londynie były śledzone ze świadomością, że jej wyniki zaciążą na biegu spraw międzynarodowych z udziałem Niemiec jako </w:t>
      </w:r>
      <w:r w:rsidR="00A9786E" w:rsidRPr="003C0842">
        <w:t xml:space="preserve">trudnego </w:t>
      </w:r>
      <w:r w:rsidRPr="003C0842">
        <w:t>partnera mocarstw i</w:t>
      </w:r>
      <w:r w:rsidR="001F4840">
        <w:t xml:space="preserve"> </w:t>
      </w:r>
      <w:r w:rsidR="00A9786E" w:rsidRPr="003C0842">
        <w:t xml:space="preserve">kontestującego powojenną rzeczywistość </w:t>
      </w:r>
      <w:r w:rsidRPr="003C0842">
        <w:t>stałego członka Rady</w:t>
      </w:r>
      <w:r w:rsidR="00A9786E" w:rsidRPr="003C0842">
        <w:t xml:space="preserve"> LN</w:t>
      </w:r>
      <w:r w:rsidRPr="003C0842">
        <w:t>.</w:t>
      </w:r>
      <w:r w:rsidR="00A9786E" w:rsidRPr="003C0842">
        <w:t xml:space="preserve"> Tego spodziewało się wielu, w tym</w:t>
      </w:r>
      <w:r w:rsidRPr="003C0842">
        <w:t xml:space="preserve"> Georges Scelle, profesor prawa międzynarodowego i ekspert delegacji francuskiej</w:t>
      </w:r>
      <w:r w:rsidR="00A9786E" w:rsidRPr="003C0842">
        <w:t>. W</w:t>
      </w:r>
      <w:r w:rsidRPr="003C0842">
        <w:t xml:space="preserve"> rozprawie o wymownym tytule </w:t>
      </w:r>
      <w:r w:rsidRPr="003C0842">
        <w:rPr>
          <w:i/>
        </w:rPr>
        <w:t>Une crise de la Société des Nations</w:t>
      </w:r>
      <w:r w:rsidRPr="003C0842">
        <w:t xml:space="preserve"> ogłoszonej w 1927 r.</w:t>
      </w:r>
      <w:r w:rsidR="00FA6D20" w:rsidRPr="003C0842">
        <w:t>uwypuklił</w:t>
      </w:r>
      <w:r w:rsidRPr="003C0842">
        <w:t xml:space="preserve">, że politycy związani z dziełem lokarneńskim chcieli Ligę Narodów zmusić do zajęcia miejsca w ramach układów lokarneńskich, a nie umowy </w:t>
      </w:r>
      <w:r w:rsidRPr="003C0842">
        <w:lastRenderedPageBreak/>
        <w:t>lokarneńskie przystosować do ram Ligi</w:t>
      </w:r>
      <w:r w:rsidRPr="003C0842">
        <w:rPr>
          <w:rStyle w:val="Odwoanieprzypisudolnego"/>
          <w:rFonts w:ascii="Times New Roman" w:hAnsi="Times New Roman"/>
          <w:sz w:val="24"/>
        </w:rPr>
        <w:footnoteReference w:id="238"/>
      </w:r>
      <w:r w:rsidRPr="003C0842">
        <w:t xml:space="preserve">. </w:t>
      </w:r>
      <w:r w:rsidR="00FA6D20" w:rsidRPr="003C0842">
        <w:t>M</w:t>
      </w:r>
      <w:r w:rsidRPr="003C0842">
        <w:t xml:space="preserve">ożna </w:t>
      </w:r>
      <w:r w:rsidR="00FA6D20" w:rsidRPr="003C0842">
        <w:t xml:space="preserve">zatem </w:t>
      </w:r>
      <w:r w:rsidRPr="003C0842">
        <w:t>stwierdzić, że „system genewski” nie był substytutem polityki mocarstw, ale raczej jej uzupełnieniem i dopełnieniem. Mógł on bowiem funkcjonować jedynie wtedy, gdy najbardziej wpływowe państwa porozumieją się</w:t>
      </w:r>
      <w:r w:rsidR="00FA6D20" w:rsidRPr="003C0842">
        <w:t xml:space="preserve"> i będą </w:t>
      </w:r>
      <w:r w:rsidR="00247492" w:rsidRPr="003C0842">
        <w:t xml:space="preserve">forsowały uzgodnione </w:t>
      </w:r>
      <w:r w:rsidR="00CE4E0F" w:rsidRPr="003C0842">
        <w:t>stanowiska</w:t>
      </w:r>
      <w:r w:rsidRPr="003C0842">
        <w:t xml:space="preserve"> wobec pozostałych uczestników wielonarodowej dyplomacji, której centrum mieściło się wówczas w Genewie.</w:t>
      </w:r>
    </w:p>
    <w:p w:rsidR="00A200B5" w:rsidRPr="003C0842" w:rsidRDefault="00A200B5" w:rsidP="00111348">
      <w:pPr>
        <w:spacing w:line="360" w:lineRule="auto"/>
        <w:ind w:firstLine="0"/>
      </w:pPr>
    </w:p>
    <w:p w:rsidR="00A200B5" w:rsidRPr="003C0842" w:rsidRDefault="00A200B5" w:rsidP="00111348">
      <w:pPr>
        <w:spacing w:line="360" w:lineRule="auto"/>
        <w:ind w:firstLine="0"/>
      </w:pPr>
    </w:p>
    <w:p w:rsidR="00350E2F" w:rsidRPr="003C0842" w:rsidRDefault="00350E2F" w:rsidP="00111348">
      <w:pPr>
        <w:spacing w:line="360" w:lineRule="auto"/>
        <w:ind w:firstLine="0"/>
      </w:pPr>
    </w:p>
    <w:p w:rsidR="00350E2F" w:rsidRPr="003C0842" w:rsidRDefault="00350E2F" w:rsidP="00111348">
      <w:pPr>
        <w:spacing w:line="360" w:lineRule="auto"/>
        <w:ind w:firstLine="0"/>
      </w:pPr>
    </w:p>
    <w:p w:rsidR="00A200B5" w:rsidRPr="003C0842" w:rsidRDefault="00930F1A" w:rsidP="00111348">
      <w:pPr>
        <w:spacing w:line="360" w:lineRule="auto"/>
        <w:ind w:firstLine="0"/>
        <w:outlineLvl w:val="0"/>
        <w:rPr>
          <w:b/>
        </w:rPr>
      </w:pPr>
      <w:r w:rsidRPr="003C0842">
        <w:rPr>
          <w:b/>
        </w:rPr>
        <w:t>4</w:t>
      </w:r>
      <w:r w:rsidR="00A200B5" w:rsidRPr="003C0842">
        <w:rPr>
          <w:b/>
        </w:rPr>
        <w:t>. Bunt „średniaków”</w:t>
      </w:r>
    </w:p>
    <w:p w:rsidR="00A200B5" w:rsidRPr="003C0842" w:rsidRDefault="00A200B5" w:rsidP="00111348">
      <w:pPr>
        <w:spacing w:line="360" w:lineRule="auto"/>
      </w:pPr>
    </w:p>
    <w:p w:rsidR="00A200B5" w:rsidRPr="003C0842" w:rsidRDefault="00A200B5" w:rsidP="00111348">
      <w:pPr>
        <w:spacing w:line="360" w:lineRule="auto"/>
      </w:pPr>
      <w:r w:rsidRPr="003C0842">
        <w:t>Wśród eksponowanych w Niemczech korzyści wynikających z układów lokarneńskich szczególne miejsce zajmowało podkreślane równouprawnienie z pozostałymi mocarstwami. Zewnętrznym wyrazem tej sytuacji był</w:t>
      </w:r>
      <w:r w:rsidR="00FA6D20" w:rsidRPr="003C0842">
        <w:t>o</w:t>
      </w:r>
      <w:r w:rsidRPr="003C0842">
        <w:t xml:space="preserve"> stałe miejsc</w:t>
      </w:r>
      <w:r w:rsidR="00FA6D20" w:rsidRPr="003C0842">
        <w:t>e</w:t>
      </w:r>
      <w:r w:rsidRPr="003C0842">
        <w:t xml:space="preserve"> w Radzie. Problem ten był aktualizowany nie tylko w Niemczech, ale także w kilku innych państwach, które w podtrzymywaniu dyskusji na ten temat upatrywały dowartościowania na arenie międzynarodowej. Towarzyszyła temu reklama wewnętrzna z reguły przewyższająca faktyczną </w:t>
      </w:r>
      <w:r w:rsidR="00FA6D20" w:rsidRPr="003C0842">
        <w:t xml:space="preserve">(zawsze subiektywną) </w:t>
      </w:r>
      <w:r w:rsidRPr="003C0842">
        <w:t>pozycję danego państwa</w:t>
      </w:r>
      <w:r w:rsidR="000D531D" w:rsidRPr="003C0842">
        <w:t xml:space="preserve">, w tym i </w:t>
      </w:r>
      <w:r w:rsidRPr="003C0842">
        <w:t>jego przedstawicieli</w:t>
      </w:r>
      <w:r w:rsidR="000D531D" w:rsidRPr="003C0842">
        <w:t>,</w:t>
      </w:r>
      <w:r w:rsidRPr="003C0842">
        <w:t xml:space="preserve"> w Genewie. To powszechne zjawisko przybierało nie</w:t>
      </w:r>
      <w:r w:rsidR="00FA6D20" w:rsidRPr="003C0842">
        <w:t>raz</w:t>
      </w:r>
      <w:r w:rsidRPr="003C0842">
        <w:t xml:space="preserve"> karykaturalną postać w przypadku polityków skromniejszego formatu traktujących aktywność na forum Ligi jako trampolinę dla kariery wewnętrznej.</w:t>
      </w:r>
      <w:r w:rsidR="00FA6D20" w:rsidRPr="003C0842">
        <w:t xml:space="preserve"> Udzia</w:t>
      </w:r>
      <w:r w:rsidR="00CE4E0F" w:rsidRPr="003C0842">
        <w:t>ł</w:t>
      </w:r>
      <w:r w:rsidR="00FA6D20" w:rsidRPr="003C0842">
        <w:t xml:space="preserve"> w pracach Rady dla takich polityków i dyplomatów </w:t>
      </w:r>
      <w:r w:rsidR="000D531D" w:rsidRPr="003C0842">
        <w:t xml:space="preserve">stało się </w:t>
      </w:r>
      <w:r w:rsidR="00CE4E0F" w:rsidRPr="003C0842">
        <w:t>obiektem zabiegów, nieraz</w:t>
      </w:r>
      <w:r w:rsidR="00FA6D20" w:rsidRPr="003C0842">
        <w:t xml:space="preserve"> szczytem marzeń.</w:t>
      </w:r>
      <w:r w:rsidRPr="003C0842">
        <w:t xml:space="preserve"> Sytuacje takie dodatkowo podnosiły temperaturę jesiennych sezonów politycznych </w:t>
      </w:r>
      <w:r w:rsidR="00132095" w:rsidRPr="003C0842">
        <w:t>otaczających doroczne Zgromadzenia</w:t>
      </w:r>
      <w:r w:rsidRPr="003C0842">
        <w:t xml:space="preserve">, podczas których </w:t>
      </w:r>
      <w:r w:rsidR="000D531D" w:rsidRPr="003C0842">
        <w:t xml:space="preserve">niezmiennie </w:t>
      </w:r>
      <w:r w:rsidRPr="003C0842">
        <w:t xml:space="preserve">powracała sprawa składu Rady. </w:t>
      </w:r>
    </w:p>
    <w:p w:rsidR="00CE4E0F" w:rsidRPr="003C0842" w:rsidRDefault="00A200B5" w:rsidP="00111348">
      <w:pPr>
        <w:spacing w:line="360" w:lineRule="auto"/>
      </w:pPr>
      <w:r w:rsidRPr="003C0842">
        <w:t>Pierwszych nies</w:t>
      </w:r>
      <w:r w:rsidR="008A304C" w:rsidRPr="003C0842">
        <w:t>tałych członków Rady wyznaczył t</w:t>
      </w:r>
      <w:r w:rsidRPr="003C0842">
        <w:t xml:space="preserve">raktat </w:t>
      </w:r>
      <w:r w:rsidR="008A304C" w:rsidRPr="003C0842">
        <w:t>w</w:t>
      </w:r>
      <w:r w:rsidRPr="003C0842">
        <w:t>ersalski: Belgię, Brazylię, Hiszpanię i Grecję. Pierwsze trzy skutecznie zakonserwowały swoje miejsce w Radzie</w:t>
      </w:r>
      <w:r w:rsidR="00BA6FDF" w:rsidRPr="003C0842">
        <w:t>,</w:t>
      </w:r>
      <w:r w:rsidRPr="003C0842">
        <w:t xml:space="preserve"> wywołując krytykę i sprzeciw</w:t>
      </w:r>
      <w:r w:rsidR="00132095" w:rsidRPr="003C0842">
        <w:t>, zdominowanych</w:t>
      </w:r>
      <w:r w:rsidRPr="003C0842">
        <w:t xml:space="preserve"> oczekiwanie</w:t>
      </w:r>
      <w:r w:rsidR="00132095" w:rsidRPr="003C0842">
        <w:t>m na</w:t>
      </w:r>
      <w:r w:rsidRPr="003C0842">
        <w:t xml:space="preserve"> zmian</w:t>
      </w:r>
      <w:r w:rsidR="00132095" w:rsidRPr="003C0842">
        <w:t>y</w:t>
      </w:r>
      <w:r w:rsidRPr="003C0842">
        <w:t>. III Zgromadzeni</w:t>
      </w:r>
      <w:r w:rsidR="00132095" w:rsidRPr="003C0842">
        <w:t>e</w:t>
      </w:r>
      <w:r w:rsidRPr="003C0842">
        <w:t xml:space="preserve"> 25 września 1922 r. </w:t>
      </w:r>
      <w:r w:rsidR="00132095" w:rsidRPr="003C0842">
        <w:t>powiększyło</w:t>
      </w:r>
      <w:r w:rsidRPr="003C0842">
        <w:t xml:space="preserve"> liczbę miejsc niestałych z 4 do </w:t>
      </w:r>
      <w:smartTag w:uri="urn:schemas-microsoft-com:office:smarttags" w:element="metricconverter">
        <w:smartTagPr>
          <w:attr w:name="ProductID" w:val="6, a"/>
        </w:smartTagPr>
        <w:r w:rsidRPr="003C0842">
          <w:t>6, a</w:t>
        </w:r>
      </w:smartTag>
      <w:r w:rsidRPr="003C0842">
        <w:t xml:space="preserve"> także przyję</w:t>
      </w:r>
      <w:r w:rsidR="00132095" w:rsidRPr="003C0842">
        <w:t>ło zasadę</w:t>
      </w:r>
      <w:r w:rsidRPr="003C0842">
        <w:t xml:space="preserve"> rotacji</w:t>
      </w:r>
      <w:r w:rsidR="00BC7409" w:rsidRPr="003C0842">
        <w:rPr>
          <w:rStyle w:val="Odwoanieprzypisudolnego"/>
          <w:rFonts w:ascii="Times New Roman" w:hAnsi="Times New Roman"/>
          <w:sz w:val="24"/>
        </w:rPr>
        <w:footnoteReference w:id="239"/>
      </w:r>
      <w:r w:rsidRPr="003C0842">
        <w:t>. Jednak wspomniane wyżej trzy państwa obroniły swe miejsca w Radzie</w:t>
      </w:r>
      <w:r w:rsidR="00BA6FDF" w:rsidRPr="003C0842">
        <w:t>,</w:t>
      </w:r>
      <w:r w:rsidRPr="003C0842">
        <w:t xml:space="preserve"> zyskując coroczną prolongatę z woli Zgromadzenia. Jednocześnie zwłaszcza Hiszpania i Brazylia przy </w:t>
      </w:r>
      <w:r w:rsidRPr="003C0842">
        <w:lastRenderedPageBreak/>
        <w:t>różnych sytuacjach poszukiwały sojuszników do przekształcenia ich miejsc w Radzie z niestałego na stałe. Problem pojawił się już podczas konferencji pokojowe</w:t>
      </w:r>
      <w:r w:rsidR="00132095" w:rsidRPr="003C0842">
        <w:t>j, jednak został łatwo utrącony:</w:t>
      </w:r>
      <w:r w:rsidRPr="003C0842">
        <w:t xml:space="preserve"> Hiszpania nie uczestniczyła w wojnie i nie była stroną traktatów pokojowych. </w:t>
      </w:r>
      <w:r w:rsidR="00132095" w:rsidRPr="003C0842">
        <w:t>Ponadto z</w:t>
      </w:r>
      <w:r w:rsidRPr="003C0842">
        <w:t>nalazła się w grupie</w:t>
      </w:r>
      <w:r w:rsidR="00132095" w:rsidRPr="003C0842">
        <w:t>, jakby mniej ważnych</w:t>
      </w:r>
      <w:r w:rsidRPr="003C0842">
        <w:t xml:space="preserve"> państw</w:t>
      </w:r>
      <w:r w:rsidR="000D531D" w:rsidRPr="003C0842">
        <w:t>, bo</w:t>
      </w:r>
      <w:r w:rsidRPr="003C0842">
        <w:t xml:space="preserve"> zaproszonych </w:t>
      </w:r>
      <w:r w:rsidR="00CE4E0F" w:rsidRPr="003C0842">
        <w:t>d</w:t>
      </w:r>
      <w:r w:rsidRPr="003C0842">
        <w:t>o</w:t>
      </w:r>
      <w:r w:rsidR="00CE4E0F" w:rsidRPr="003C0842">
        <w:t>Ligi</w:t>
      </w:r>
      <w:r w:rsidRPr="003C0842">
        <w:t xml:space="preserve">. </w:t>
      </w:r>
    </w:p>
    <w:p w:rsidR="00A200B5" w:rsidRPr="003C0842" w:rsidRDefault="00CE4E0F" w:rsidP="00111348">
      <w:pPr>
        <w:spacing w:line="360" w:lineRule="auto"/>
      </w:pPr>
      <w:r w:rsidRPr="003C0842">
        <w:t>S</w:t>
      </w:r>
      <w:r w:rsidR="00A200B5" w:rsidRPr="003C0842">
        <w:t>tarania Brazylii</w:t>
      </w:r>
      <w:r w:rsidRPr="003C0842">
        <w:t xml:space="preserve"> także </w:t>
      </w:r>
      <w:r w:rsidR="00A200B5" w:rsidRPr="003C0842">
        <w:t>nie były p</w:t>
      </w:r>
      <w:r w:rsidR="00215AAF" w:rsidRPr="003C0842">
        <w:t>o</w:t>
      </w:r>
      <w:r w:rsidR="00A200B5" w:rsidRPr="003C0842">
        <w:t xml:space="preserve">ważnie brane pod uwagę z racji </w:t>
      </w:r>
      <w:r w:rsidRPr="003C0842">
        <w:t>pozycji i wpływów</w:t>
      </w:r>
      <w:r w:rsidR="00A200B5" w:rsidRPr="003C0842">
        <w:t xml:space="preserve"> Stanów Zjednoczonych</w:t>
      </w:r>
      <w:r w:rsidRPr="003C0842">
        <w:t>, generalnie niechętn</w:t>
      </w:r>
      <w:r w:rsidR="00DF66C0" w:rsidRPr="003C0842">
        <w:t>ych</w:t>
      </w:r>
      <w:r w:rsidRPr="003C0842">
        <w:t>, lub nawet wrogi</w:t>
      </w:r>
      <w:r w:rsidR="00DF66C0" w:rsidRPr="003C0842">
        <w:t>ch</w:t>
      </w:r>
      <w:r w:rsidRPr="003C0842">
        <w:t xml:space="preserve"> instytucji genewskiej.</w:t>
      </w:r>
      <w:r w:rsidR="00A200B5" w:rsidRPr="003C0842">
        <w:t xml:space="preserve">Brazylijskie aspiracje wiązano też z </w:t>
      </w:r>
      <w:r w:rsidR="00DF66C0" w:rsidRPr="003C0842">
        <w:t>krytyką</w:t>
      </w:r>
      <w:r w:rsidR="00A200B5" w:rsidRPr="003C0842">
        <w:t xml:space="preserve"> art. 21 Paktu wzmiank</w:t>
      </w:r>
      <w:r w:rsidR="00DF66C0" w:rsidRPr="003C0842">
        <w:t>ującego</w:t>
      </w:r>
      <w:r w:rsidR="00BA6FDF" w:rsidRPr="003C0842">
        <w:t xml:space="preserve"> o doktrynie Monroe</w:t>
      </w:r>
      <w:r w:rsidR="00A200B5" w:rsidRPr="003C0842">
        <w:t>go jako przykład</w:t>
      </w:r>
      <w:r w:rsidR="00DF66C0" w:rsidRPr="003C0842">
        <w:t xml:space="preserve">zie </w:t>
      </w:r>
      <w:r w:rsidR="00A200B5" w:rsidRPr="003C0842">
        <w:t>porozumienia lokalnego. Państwa Południowej i Centralnej Ameryki</w:t>
      </w:r>
      <w:r w:rsidR="00DF66C0" w:rsidRPr="003C0842">
        <w:t>,</w:t>
      </w:r>
      <w:r w:rsidR="00A200B5" w:rsidRPr="003C0842">
        <w:t xml:space="preserve"> w zależnościod stopnia podległości czy zażyłości</w:t>
      </w:r>
      <w:r w:rsidR="000D531D" w:rsidRPr="003C0842">
        <w:t xml:space="preserve"> ze Stanami Zjednoczonymi</w:t>
      </w:r>
      <w:r w:rsidR="00A34CDA" w:rsidRPr="003C0842">
        <w:t>,</w:t>
      </w:r>
      <w:r w:rsidR="00A200B5" w:rsidRPr="003C0842">
        <w:t xml:space="preserve"> żądały czy oczekiwały usunięcia uwagi o doktrynie Monroego, która </w:t>
      </w:r>
      <w:r w:rsidR="00215AAF" w:rsidRPr="003C0842">
        <w:t xml:space="preserve">była </w:t>
      </w:r>
      <w:r w:rsidR="00A200B5" w:rsidRPr="003C0842">
        <w:t>jednostronn</w:t>
      </w:r>
      <w:r w:rsidR="00215AAF" w:rsidRPr="003C0842">
        <w:t>ą</w:t>
      </w:r>
      <w:r w:rsidR="00A200B5" w:rsidRPr="003C0842">
        <w:t xml:space="preserve"> deklaracj</w:t>
      </w:r>
      <w:r w:rsidR="00215AAF" w:rsidRPr="003C0842">
        <w:t>ą zezwalającą</w:t>
      </w:r>
      <w:r w:rsidR="00A34CDA" w:rsidRPr="003C0842">
        <w:t xml:space="preserve">na </w:t>
      </w:r>
      <w:r w:rsidR="00215AAF" w:rsidRPr="003C0842">
        <w:t>ich</w:t>
      </w:r>
      <w:r w:rsidR="00A200B5" w:rsidRPr="003C0842">
        <w:t xml:space="preserve"> kontrolę</w:t>
      </w:r>
      <w:r w:rsidR="00215AAF" w:rsidRPr="003C0842">
        <w:t xml:space="preserve"> przez Waszyngton.</w:t>
      </w:r>
      <w:r w:rsidR="00A200B5" w:rsidRPr="003C0842">
        <w:t xml:space="preserve"> Doktryna ta, raz po raz przypominana Francji i Wielkiej Brytanii jako </w:t>
      </w:r>
      <w:r w:rsidR="00DF66C0" w:rsidRPr="003C0842">
        <w:t xml:space="preserve">przejaw </w:t>
      </w:r>
      <w:r w:rsidR="00A200B5" w:rsidRPr="003C0842">
        <w:t>uległoś</w:t>
      </w:r>
      <w:r w:rsidR="00215AAF" w:rsidRPr="003C0842">
        <w:t>ci</w:t>
      </w:r>
      <w:r w:rsidR="00A200B5" w:rsidRPr="003C0842">
        <w:t xml:space="preserve"> wobec Stanów Zjednoczonych, dodatkowo irytował</w:t>
      </w:r>
      <w:r w:rsidR="00215AAF" w:rsidRPr="003C0842">
        <w:t>a</w:t>
      </w:r>
      <w:r w:rsidR="00A200B5" w:rsidRPr="003C0842">
        <w:t xml:space="preserve"> izolacjonist</w:t>
      </w:r>
      <w:r w:rsidR="00215AAF" w:rsidRPr="003C0842">
        <w:t>ów amerykańskich</w:t>
      </w:r>
      <w:r w:rsidR="00A200B5" w:rsidRPr="003C0842">
        <w:t>, wzmagając</w:t>
      </w:r>
      <w:r w:rsidR="00215AAF" w:rsidRPr="003C0842">
        <w:t xml:space="preserve"> ich</w:t>
      </w:r>
      <w:r w:rsidR="00A200B5" w:rsidRPr="003C0842">
        <w:t xml:space="preserve"> manifestowaną wielokroć</w:t>
      </w:r>
      <w:r w:rsidR="00A34CDA" w:rsidRPr="003C0842">
        <w:t xml:space="preserve"> wrogość</w:t>
      </w:r>
      <w:r w:rsidR="00A200B5" w:rsidRPr="003C0842">
        <w:t xml:space="preserve"> do Ligi. Pogarszały też notowania Brazylii w Stanach, a także wśród części europejskich członków Ligi</w:t>
      </w:r>
      <w:r w:rsidR="00215AAF" w:rsidRPr="003C0842">
        <w:t>,</w:t>
      </w:r>
      <w:r w:rsidR="00A200B5" w:rsidRPr="003C0842">
        <w:t xml:space="preserve"> oczekujących na p</w:t>
      </w:r>
      <w:r w:rsidR="00215AAF" w:rsidRPr="003C0842">
        <w:t>ojawienie się</w:t>
      </w:r>
      <w:r w:rsidR="00A200B5" w:rsidRPr="003C0842">
        <w:t xml:space="preserve"> „Ameryki”</w:t>
      </w:r>
      <w:r w:rsidR="00215AAF" w:rsidRPr="003C0842">
        <w:t xml:space="preserve"> w Genewie.</w:t>
      </w:r>
      <w:r w:rsidR="00A200B5" w:rsidRPr="003C0842">
        <w:t xml:space="preserve"> Źle więc została przyjęta sugestia brazylijskiego MSZ sformułowana w lipcu 1925 r.</w:t>
      </w:r>
      <w:r w:rsidR="00BA6FDF" w:rsidRPr="003C0842">
        <w:t>,</w:t>
      </w:r>
      <w:r w:rsidR="00A200B5" w:rsidRPr="003C0842">
        <w:t xml:space="preserve"> aby miejsce w Radzie przyznane </w:t>
      </w:r>
      <w:r w:rsidR="00A34CDA" w:rsidRPr="003C0842">
        <w:t xml:space="preserve">Stanom Zjednoczonym </w:t>
      </w:r>
      <w:r w:rsidR="00A200B5" w:rsidRPr="003C0842">
        <w:t>w art. 4 Paktu przekazać czasowo Brazylii</w:t>
      </w:r>
      <w:r w:rsidR="00A200B5" w:rsidRPr="003C0842">
        <w:rPr>
          <w:rStyle w:val="Odwoanieprzypisudolnego"/>
          <w:rFonts w:ascii="Times New Roman" w:hAnsi="Times New Roman"/>
          <w:sz w:val="24"/>
        </w:rPr>
        <w:footnoteReference w:id="240"/>
      </w:r>
      <w:r w:rsidR="00A200B5" w:rsidRPr="003C0842">
        <w:t>.</w:t>
      </w:r>
    </w:p>
    <w:p w:rsidR="00EB012A" w:rsidRPr="003C0842" w:rsidRDefault="00A200B5" w:rsidP="006A5D30">
      <w:pPr>
        <w:spacing w:line="360" w:lineRule="auto"/>
      </w:pPr>
      <w:r w:rsidRPr="003C0842">
        <w:t>P</w:t>
      </w:r>
      <w:r w:rsidR="00A34CDA" w:rsidRPr="003C0842">
        <w:t>omysł</w:t>
      </w:r>
      <w:r w:rsidRPr="003C0842">
        <w:t xml:space="preserve"> tennie zna</w:t>
      </w:r>
      <w:r w:rsidR="00EB012A" w:rsidRPr="003C0842">
        <w:t>jdował</w:t>
      </w:r>
      <w:r w:rsidR="00A34CDA" w:rsidRPr="003C0842">
        <w:t xml:space="preserve"> zgodnego</w:t>
      </w:r>
      <w:r w:rsidRPr="003C0842">
        <w:t xml:space="preserve"> poparcia wśród innych państw regionu. </w:t>
      </w:r>
      <w:r w:rsidR="00EB012A" w:rsidRPr="003C0842">
        <w:t xml:space="preserve">Więcej nawet. Próby występowania w roli przedstawiciela interesów panamerykańskich wywoływała zastrzeżenia, sprzeciwy i protesty. </w:t>
      </w:r>
      <w:r w:rsidRPr="003C0842">
        <w:t xml:space="preserve">Jeśli jeszcze w pierwszej komisji II </w:t>
      </w:r>
      <w:r w:rsidR="001F185B" w:rsidRPr="003C0842">
        <w:t xml:space="preserve">Zgromadzenia </w:t>
      </w:r>
      <w:r w:rsidRPr="003C0842">
        <w:t>(1921 r.) i IV (1923 r.) delegat Chile przypominał o oczekiwaniu Ameryki na stałą reprezentację w Radzie</w:t>
      </w:r>
      <w:r w:rsidRPr="003C0842">
        <w:rPr>
          <w:rStyle w:val="Odwoanieprzypisudolnego"/>
          <w:rFonts w:ascii="Times New Roman" w:hAnsi="Times New Roman"/>
          <w:sz w:val="24"/>
        </w:rPr>
        <w:footnoteReference w:id="241"/>
      </w:r>
      <w:r w:rsidR="00EB012A" w:rsidRPr="003C0842">
        <w:t>,</w:t>
      </w:r>
      <w:r w:rsidRPr="003C0842">
        <w:t xml:space="preserve"> to coraz więcej zwolenników </w:t>
      </w:r>
      <w:r w:rsidR="00CC76CD" w:rsidRPr="003C0842">
        <w:t>zdobywał</w:t>
      </w:r>
      <w:r w:rsidR="00EB012A" w:rsidRPr="003C0842">
        <w:t xml:space="preserve"> projekt</w:t>
      </w:r>
      <w:r w:rsidRPr="003C0842">
        <w:t xml:space="preserve"> do zwiększenia </w:t>
      </w:r>
      <w:r w:rsidR="00EB012A" w:rsidRPr="003C0842">
        <w:t xml:space="preserve">liczby </w:t>
      </w:r>
      <w:r w:rsidRPr="003C0842">
        <w:t>miejsc niestałych. Podkreślano zarazem konieczność ograniczenia kadencji do trzech lat oraz trzyletniej przerwy w kandydowaniu na kolejną kadencję.</w:t>
      </w:r>
      <w:r w:rsidR="006A5D30" w:rsidRPr="003C0842">
        <w:t xml:space="preserve"> Podobne plany </w:t>
      </w:r>
      <w:r w:rsidR="00DF66C0" w:rsidRPr="003C0842">
        <w:t>poniekąd wymuszały</w:t>
      </w:r>
      <w:r w:rsidR="005120B6" w:rsidRPr="003C0842">
        <w:t xml:space="preserve"> walkę </w:t>
      </w:r>
      <w:r w:rsidRPr="003C0842">
        <w:t xml:space="preserve">o </w:t>
      </w:r>
      <w:r w:rsidR="00CC76CD" w:rsidRPr="003C0842">
        <w:t>uzyskani</w:t>
      </w:r>
      <w:r w:rsidR="005120B6" w:rsidRPr="003C0842">
        <w:t>e</w:t>
      </w:r>
      <w:r w:rsidR="00CC76CD" w:rsidRPr="003C0842">
        <w:t xml:space="preserve"> miejsca</w:t>
      </w:r>
      <w:r w:rsidR="005120B6" w:rsidRPr="003C0842">
        <w:t xml:space="preserve"> stałego</w:t>
      </w:r>
      <w:r w:rsidR="006A5D30" w:rsidRPr="003C0842">
        <w:t>.</w:t>
      </w:r>
    </w:p>
    <w:p w:rsidR="00A200B5" w:rsidRPr="003C0842" w:rsidRDefault="00EB012A" w:rsidP="00527688">
      <w:pPr>
        <w:pStyle w:val="Tekstprzypisudolnego"/>
        <w:spacing w:line="360" w:lineRule="auto"/>
        <w:rPr>
          <w:sz w:val="24"/>
          <w:szCs w:val="24"/>
        </w:rPr>
      </w:pPr>
      <w:r w:rsidRPr="003C0842">
        <w:rPr>
          <w:sz w:val="24"/>
          <w:szCs w:val="24"/>
        </w:rPr>
        <w:t>S</w:t>
      </w:r>
      <w:r w:rsidR="005120B6" w:rsidRPr="003C0842">
        <w:rPr>
          <w:sz w:val="24"/>
          <w:szCs w:val="24"/>
        </w:rPr>
        <w:t>ytuację</w:t>
      </w:r>
      <w:r w:rsidR="006A5D30" w:rsidRPr="003C0842">
        <w:rPr>
          <w:sz w:val="24"/>
          <w:szCs w:val="24"/>
        </w:rPr>
        <w:t xml:space="preserve"> dodatkowo</w:t>
      </w:r>
      <w:r w:rsidRPr="003C0842">
        <w:rPr>
          <w:sz w:val="24"/>
          <w:szCs w:val="24"/>
        </w:rPr>
        <w:t xml:space="preserve"> komplikowała </w:t>
      </w:r>
      <w:r w:rsidR="00A200B5" w:rsidRPr="003C0842">
        <w:rPr>
          <w:sz w:val="24"/>
          <w:szCs w:val="24"/>
        </w:rPr>
        <w:t>aktywność państw, które znalazły się pod bezpośrednim „zarządem” Stanów Zjednoczonych</w:t>
      </w:r>
      <w:r w:rsidR="00CC76CD" w:rsidRPr="003C0842">
        <w:rPr>
          <w:sz w:val="24"/>
          <w:szCs w:val="24"/>
        </w:rPr>
        <w:t>,</w:t>
      </w:r>
      <w:r w:rsidR="00A200B5" w:rsidRPr="003C0842">
        <w:rPr>
          <w:sz w:val="24"/>
          <w:szCs w:val="24"/>
        </w:rPr>
        <w:t xml:space="preserve"> bardzo zresztą czułych na tle swego kontynentalnego prymatu. Odwołując się do doktryny „grubej pałki”, będącej rozwinięciem przez prezydenta Theodore</w:t>
      </w:r>
      <w:r w:rsidR="00BA6FDF" w:rsidRPr="003C0842">
        <w:rPr>
          <w:sz w:val="24"/>
          <w:szCs w:val="24"/>
        </w:rPr>
        <w:t>’a</w:t>
      </w:r>
      <w:r w:rsidR="00A200B5" w:rsidRPr="003C0842">
        <w:rPr>
          <w:sz w:val="24"/>
          <w:szCs w:val="24"/>
        </w:rPr>
        <w:t xml:space="preserve"> Roosevelta w początku XX w</w:t>
      </w:r>
      <w:r w:rsidR="00BA6FDF" w:rsidRPr="003C0842">
        <w:rPr>
          <w:sz w:val="24"/>
          <w:szCs w:val="24"/>
        </w:rPr>
        <w:t>.</w:t>
      </w:r>
      <w:r w:rsidR="00A200B5" w:rsidRPr="003C0842">
        <w:rPr>
          <w:sz w:val="24"/>
          <w:szCs w:val="24"/>
        </w:rPr>
        <w:t xml:space="preserve"> doktryny Monroegowypełniali rolę „panamerykańskiego żandarma”.Waszyngton zdominował państwa Ameryki centralnej i skutecznie ingerował w stosunki pozostałych państw, często jako negocjator i </w:t>
      </w:r>
      <w:r w:rsidR="00A200B5" w:rsidRPr="003C0842">
        <w:rPr>
          <w:sz w:val="24"/>
          <w:szCs w:val="24"/>
        </w:rPr>
        <w:lastRenderedPageBreak/>
        <w:t>rozjemca</w:t>
      </w:r>
      <w:r w:rsidR="00A200B5" w:rsidRPr="003C0842">
        <w:rPr>
          <w:rStyle w:val="Odwoanieprzypisudolnego"/>
          <w:rFonts w:ascii="Times New Roman" w:hAnsi="Times New Roman"/>
          <w:sz w:val="24"/>
          <w:szCs w:val="24"/>
        </w:rPr>
        <w:footnoteReference w:id="242"/>
      </w:r>
      <w:r w:rsidR="00A200B5" w:rsidRPr="003C0842">
        <w:rPr>
          <w:sz w:val="24"/>
          <w:szCs w:val="24"/>
        </w:rPr>
        <w:t xml:space="preserve">.Chociaż </w:t>
      </w:r>
      <w:r w:rsidR="00527688" w:rsidRPr="003C0842">
        <w:rPr>
          <w:sz w:val="24"/>
          <w:szCs w:val="24"/>
        </w:rPr>
        <w:t xml:space="preserve">Stany Zjednoczone roztoczyły protektorat </w:t>
      </w:r>
      <w:r w:rsidR="00A200B5" w:rsidRPr="003C0842">
        <w:rPr>
          <w:sz w:val="24"/>
          <w:szCs w:val="24"/>
        </w:rPr>
        <w:t>nad Nikaraguą, Kostaryką, Dominikaną czy Haiti</w:t>
      </w:r>
      <w:r w:rsidR="00527688" w:rsidRPr="003C0842">
        <w:rPr>
          <w:sz w:val="24"/>
          <w:szCs w:val="24"/>
        </w:rPr>
        <w:t>,</w:t>
      </w:r>
      <w:r w:rsidR="00A200B5" w:rsidRPr="003C0842">
        <w:rPr>
          <w:sz w:val="24"/>
          <w:szCs w:val="24"/>
        </w:rPr>
        <w:t xml:space="preserve"> to jednak</w:t>
      </w:r>
      <w:r w:rsidR="001F185B" w:rsidRPr="003C0842">
        <w:rPr>
          <w:sz w:val="24"/>
          <w:szCs w:val="24"/>
        </w:rPr>
        <w:t xml:space="preserve"> państwa te</w:t>
      </w:r>
      <w:r w:rsidR="00A200B5" w:rsidRPr="003C0842">
        <w:rPr>
          <w:sz w:val="24"/>
          <w:szCs w:val="24"/>
        </w:rPr>
        <w:t xml:space="preserve"> były pełnoprawnymi członkami Ligi. Z</w:t>
      </w:r>
      <w:r w:rsidR="00527688" w:rsidRPr="003C0842">
        <w:rPr>
          <w:sz w:val="24"/>
          <w:szCs w:val="24"/>
        </w:rPr>
        <w:t xml:space="preserve"> różnych powodów cechowała je stosunkowo </w:t>
      </w:r>
      <w:r w:rsidR="006F0C5D" w:rsidRPr="003C0842">
        <w:rPr>
          <w:sz w:val="24"/>
          <w:szCs w:val="24"/>
        </w:rPr>
        <w:t>niewielk</w:t>
      </w:r>
      <w:r w:rsidR="00527688" w:rsidRPr="003C0842">
        <w:rPr>
          <w:sz w:val="24"/>
          <w:szCs w:val="24"/>
        </w:rPr>
        <w:t>a</w:t>
      </w:r>
      <w:r w:rsidR="00A200B5" w:rsidRPr="003C0842">
        <w:rPr>
          <w:sz w:val="24"/>
          <w:szCs w:val="24"/>
        </w:rPr>
        <w:t xml:space="preserve"> wię</w:t>
      </w:r>
      <w:r w:rsidR="00527688" w:rsidRPr="003C0842">
        <w:rPr>
          <w:sz w:val="24"/>
          <w:szCs w:val="24"/>
        </w:rPr>
        <w:t>ź</w:t>
      </w:r>
      <w:r w:rsidR="00A200B5" w:rsidRPr="003C0842">
        <w:rPr>
          <w:sz w:val="24"/>
          <w:szCs w:val="24"/>
        </w:rPr>
        <w:t xml:space="preserve"> z instytucją genewską. </w:t>
      </w:r>
      <w:r w:rsidR="005D62AE" w:rsidRPr="003C0842">
        <w:rPr>
          <w:sz w:val="24"/>
          <w:szCs w:val="24"/>
        </w:rPr>
        <w:t>Wymowna</w:t>
      </w:r>
      <w:r w:rsidR="00527688" w:rsidRPr="003C0842">
        <w:rPr>
          <w:sz w:val="24"/>
          <w:szCs w:val="24"/>
        </w:rPr>
        <w:t xml:space="preserve"> pozostawała nieobecność Meksyku, którego nie zaproszono, Argentyna zdystansowała się </w:t>
      </w:r>
      <w:r w:rsidR="002F5343">
        <w:rPr>
          <w:sz w:val="24"/>
          <w:szCs w:val="24"/>
        </w:rPr>
        <w:t>od</w:t>
      </w:r>
      <w:r w:rsidR="00527688" w:rsidRPr="003C0842">
        <w:rPr>
          <w:sz w:val="24"/>
          <w:szCs w:val="24"/>
        </w:rPr>
        <w:t xml:space="preserve"> prac w Genewie już podczas I Zgromadzenia, natomiast Kanada jako dominium nie w pełni mogła </w:t>
      </w:r>
      <w:r w:rsidR="00BA6FDF" w:rsidRPr="003C0842">
        <w:rPr>
          <w:sz w:val="24"/>
          <w:szCs w:val="24"/>
        </w:rPr>
        <w:t>być</w:t>
      </w:r>
      <w:r w:rsidR="00527688" w:rsidRPr="003C0842">
        <w:rPr>
          <w:sz w:val="24"/>
          <w:szCs w:val="24"/>
        </w:rPr>
        <w:t xml:space="preserve"> reprezentant</w:t>
      </w:r>
      <w:r w:rsidR="00BA6FDF" w:rsidRPr="003C0842">
        <w:rPr>
          <w:sz w:val="24"/>
          <w:szCs w:val="24"/>
        </w:rPr>
        <w:t>em</w:t>
      </w:r>
      <w:r w:rsidR="00527688" w:rsidRPr="003C0842">
        <w:rPr>
          <w:sz w:val="24"/>
          <w:szCs w:val="24"/>
        </w:rPr>
        <w:t xml:space="preserve"> amerykańskiego punktu widzenia.</w:t>
      </w:r>
      <w:r w:rsidR="00942133">
        <w:rPr>
          <w:sz w:val="24"/>
          <w:szCs w:val="24"/>
        </w:rPr>
        <w:t xml:space="preserve"> </w:t>
      </w:r>
      <w:r w:rsidR="00527688" w:rsidRPr="003C0842">
        <w:rPr>
          <w:sz w:val="24"/>
          <w:szCs w:val="24"/>
        </w:rPr>
        <w:t>K</w:t>
      </w:r>
      <w:r w:rsidR="00A200B5" w:rsidRPr="003C0842">
        <w:rPr>
          <w:sz w:val="24"/>
          <w:szCs w:val="24"/>
        </w:rPr>
        <w:t>ostaryka od 1924 r. nie wysyłały swych przedstawicieli do Genewy. Absencja delegatów z innych państw tego regionu była niechlubną reguł</w:t>
      </w:r>
      <w:r w:rsidR="00CC76CD" w:rsidRPr="003C0842">
        <w:rPr>
          <w:sz w:val="24"/>
          <w:szCs w:val="24"/>
        </w:rPr>
        <w:t xml:space="preserve">ą, podobnie jak zaległości w </w:t>
      </w:r>
      <w:r w:rsidR="00A200B5" w:rsidRPr="003C0842">
        <w:rPr>
          <w:sz w:val="24"/>
          <w:szCs w:val="24"/>
        </w:rPr>
        <w:t xml:space="preserve">uiszczaniu składki do wspólnej kasy. </w:t>
      </w:r>
      <w:r w:rsidR="005D62AE" w:rsidRPr="003C0842">
        <w:rPr>
          <w:sz w:val="24"/>
          <w:szCs w:val="24"/>
        </w:rPr>
        <w:t>Sytuację dobrze oddaje informacja, że</w:t>
      </w:r>
      <w:r w:rsidR="00A200B5" w:rsidRPr="003C0842">
        <w:rPr>
          <w:sz w:val="24"/>
          <w:szCs w:val="24"/>
        </w:rPr>
        <w:t xml:space="preserve"> wszystkie republiki latynoamerykańskie były członkami Ligi, ale nie zdarzyło się</w:t>
      </w:r>
      <w:r w:rsidR="00BA6FDF" w:rsidRPr="003C0842">
        <w:rPr>
          <w:sz w:val="24"/>
          <w:szCs w:val="24"/>
        </w:rPr>
        <w:t>,</w:t>
      </w:r>
      <w:r w:rsidR="00A200B5" w:rsidRPr="003C0842">
        <w:rPr>
          <w:sz w:val="24"/>
          <w:szCs w:val="24"/>
        </w:rPr>
        <w:t xml:space="preserve"> aby były równocześnie.</w:t>
      </w:r>
    </w:p>
    <w:p w:rsidR="006A5D30" w:rsidRPr="003C0842" w:rsidRDefault="00A200B5" w:rsidP="00527688">
      <w:pPr>
        <w:spacing w:line="360" w:lineRule="auto"/>
      </w:pPr>
      <w:r w:rsidRPr="003C0842">
        <w:t xml:space="preserve">Powodów tej sytuacji było wiele. Każda próba uogólnienia tego zjawiska będzie obarczona </w:t>
      </w:r>
      <w:r w:rsidR="006A5D30" w:rsidRPr="003C0842">
        <w:t>zastrzeżeniami, wymagającymi uwzględnienia sytuacji konkretnych państ</w:t>
      </w:r>
      <w:r w:rsidRPr="003C0842">
        <w:t xml:space="preserve">w. Trudno jednak nie uwzględniać wpływu </w:t>
      </w:r>
      <w:r w:rsidR="00CC76CD" w:rsidRPr="003C0842">
        <w:t>d</w:t>
      </w:r>
      <w:r w:rsidRPr="003C0842">
        <w:t xml:space="preserve">oktryny Monroego, jako elementu nacisku za strony Stanów Zjednoczonych, ale też jako zapisu w Pakcie dystansującego </w:t>
      </w:r>
      <w:r w:rsidR="002F5343">
        <w:t>od</w:t>
      </w:r>
      <w:r w:rsidRPr="003C0842">
        <w:t xml:space="preserve"> Genewy pewne państwa, nie mówiąc o skonfliktowanych wewnętrznie elitach. Pierwszorzędna rola Stanów Zjednoczonych na kontynencie (także gospodarcza jako importera surowców i gestora pożyczek)</w:t>
      </w:r>
      <w:r w:rsidR="00CC76CD" w:rsidRPr="003C0842">
        <w:t>,</w:t>
      </w:r>
      <w:r w:rsidRPr="003C0842">
        <w:t xml:space="preserve"> ich znana i manifestowana często niechęć do Ligi oraz mieszania się</w:t>
      </w:r>
      <w:r w:rsidR="006A5D30" w:rsidRPr="003C0842">
        <w:t xml:space="preserve"> jej</w:t>
      </w:r>
      <w:r w:rsidRPr="003C0842">
        <w:t xml:space="preserve"> w sprawy kontynentu</w:t>
      </w:r>
      <w:r w:rsidR="00CC76CD" w:rsidRPr="003C0842">
        <w:t>,</w:t>
      </w:r>
      <w:r w:rsidR="006A5D30" w:rsidRPr="003C0842">
        <w:t xml:space="preserve"> odbijała</w:t>
      </w:r>
      <w:r w:rsidRPr="003C0842">
        <w:t xml:space="preserve"> się na </w:t>
      </w:r>
      <w:r w:rsidR="006A5D30" w:rsidRPr="003C0842">
        <w:t>pan</w:t>
      </w:r>
      <w:r w:rsidRPr="003C0842">
        <w:t xml:space="preserve">amerykańskich relacjach z Europą. </w:t>
      </w:r>
    </w:p>
    <w:p w:rsidR="00A200B5" w:rsidRPr="003C0842" w:rsidRDefault="00914E3D" w:rsidP="00527688">
      <w:pPr>
        <w:spacing w:line="360" w:lineRule="auto"/>
      </w:pPr>
      <w:r w:rsidRPr="003C0842">
        <w:t>Ograniczane</w:t>
      </w:r>
      <w:r w:rsidR="00A200B5" w:rsidRPr="003C0842">
        <w:t xml:space="preserve"> interesy z półkulą zachodnią, potęgowane izolacjonizmem Stanów Zjednoczonych</w:t>
      </w:r>
      <w:r w:rsidR="006F0C5D" w:rsidRPr="003C0842">
        <w:t>,</w:t>
      </w:r>
      <w:r w:rsidR="00A200B5" w:rsidRPr="003C0842">
        <w:t xml:space="preserve"> pozwalały ambasadorom latynoamerykańskim Paryża, Londynu, Madrytu, Berna czy Rzymu prowadzenie na forum genewskim polityki dość samodzielnej, określonej w stolicach macierzystych raczej ogólnikowo</w:t>
      </w:r>
      <w:r w:rsidR="00CC76CD" w:rsidRPr="003C0842">
        <w:t>,</w:t>
      </w:r>
      <w:r w:rsidR="00A200B5" w:rsidRPr="003C0842">
        <w:t xml:space="preserve"> z uwzględnieniem tradycyjnych sympatii i antypatii. Nierzadko istotną wytyczną była niechęć do sąsiadów i rywalizacja</w:t>
      </w:r>
      <w:r w:rsidR="00CC76CD" w:rsidRPr="003C0842">
        <w:t xml:space="preserve">, </w:t>
      </w:r>
      <w:r w:rsidR="006F0C5D" w:rsidRPr="003C0842">
        <w:t>często</w:t>
      </w:r>
      <w:r w:rsidR="00A200B5" w:rsidRPr="003C0842">
        <w:t xml:space="preserve"> o podłożu prestiżowo-ambicjonalnym. To jeden z powodów, że stosunkowo najbogatsza Argentyna nie mogła się uporać z ratyfikacją traktatów pokojowych, co by pozwalało jej </w:t>
      </w:r>
      <w:r w:rsidR="00A14D94" w:rsidRPr="003C0842">
        <w:t xml:space="preserve">przyjąć, zapisane przecież w aneksie do Paktu, </w:t>
      </w:r>
      <w:r w:rsidR="00A200B5" w:rsidRPr="003C0842">
        <w:t xml:space="preserve">zaproszenie przystąpienia do Ligi. </w:t>
      </w:r>
      <w:r w:rsidR="00A14D94" w:rsidRPr="003C0842">
        <w:t>P</w:t>
      </w:r>
      <w:r w:rsidR="00A200B5" w:rsidRPr="003C0842">
        <w:t>owodem tego „ociągania” był</w:t>
      </w:r>
      <w:r w:rsidR="00A14D94" w:rsidRPr="003C0842">
        <w:t xml:space="preserve"> skład Rady, </w:t>
      </w:r>
      <w:r w:rsidRPr="003C0842">
        <w:t>właściwie</w:t>
      </w:r>
      <w:r w:rsidR="00A200B5" w:rsidRPr="003C0842">
        <w:t xml:space="preserve"> obecność w </w:t>
      </w:r>
      <w:r w:rsidR="00A14D94" w:rsidRPr="003C0842">
        <w:t>niej</w:t>
      </w:r>
      <w:r w:rsidR="00A200B5" w:rsidRPr="003C0842">
        <w:t xml:space="preserve"> Brazylii</w:t>
      </w:r>
      <w:r w:rsidRPr="003C0842">
        <w:t xml:space="preserve"> i</w:t>
      </w:r>
      <w:r w:rsidR="00A200B5" w:rsidRPr="003C0842">
        <w:t xml:space="preserve"> blokowania przez nią zmian, namiętnie zresztą dyskutowanych. Sytuacji tej w sposób istotny nie zmieniło powiększenie liczby niestałych członków Rady</w:t>
      </w:r>
      <w:r w:rsidRPr="003C0842">
        <w:t xml:space="preserve"> z 4</w:t>
      </w:r>
      <w:r w:rsidR="00A200B5" w:rsidRPr="003C0842">
        <w:t xml:space="preserve"> do 6, przegłosowane w 1922 r. Zgromadzenie</w:t>
      </w:r>
      <w:r w:rsidR="00BA6FDF" w:rsidRPr="003C0842">
        <w:t>,</w:t>
      </w:r>
      <w:r w:rsidR="00A200B5" w:rsidRPr="003C0842">
        <w:t xml:space="preserve"> głosując za Urugwajem</w:t>
      </w:r>
      <w:r w:rsidR="00BA6FDF" w:rsidRPr="003C0842">
        <w:t>,</w:t>
      </w:r>
      <w:r w:rsidR="00A200B5" w:rsidRPr="003C0842">
        <w:t xml:space="preserve"> premiowało jego duże zaangażowanie zarówno w popularyz</w:t>
      </w:r>
      <w:r w:rsidR="00F4358C" w:rsidRPr="003C0842">
        <w:t xml:space="preserve">acji Ligi w Ameryce Południowej, </w:t>
      </w:r>
      <w:r w:rsidR="00A200B5" w:rsidRPr="003C0842">
        <w:t xml:space="preserve">jak </w:t>
      </w:r>
      <w:r w:rsidR="00BA6FDF" w:rsidRPr="003C0842">
        <w:t>i</w:t>
      </w:r>
      <w:r w:rsidR="001F4840">
        <w:t xml:space="preserve"> </w:t>
      </w:r>
      <w:r w:rsidR="00A200B5" w:rsidRPr="003C0842">
        <w:t>aktywność</w:t>
      </w:r>
      <w:r w:rsidR="006A5D30" w:rsidRPr="003C0842">
        <w:t xml:space="preserve"> ich przedstawicieli</w:t>
      </w:r>
      <w:r w:rsidR="00A200B5" w:rsidRPr="003C0842">
        <w:t xml:space="preserve"> w Genewie. </w:t>
      </w:r>
    </w:p>
    <w:p w:rsidR="00A200B5" w:rsidRPr="003C0842" w:rsidRDefault="00A200B5" w:rsidP="00111348">
      <w:pPr>
        <w:spacing w:line="360" w:lineRule="auto"/>
      </w:pPr>
      <w:r w:rsidRPr="003C0842">
        <w:lastRenderedPageBreak/>
        <w:t xml:space="preserve">Dobrą pozycję zdobyła sobie także Kolumbia dzięki </w:t>
      </w:r>
      <w:r w:rsidR="00F4358C" w:rsidRPr="003C0842">
        <w:t>pracy</w:t>
      </w:r>
      <w:r w:rsidR="00BA6FDF" w:rsidRPr="003C0842">
        <w:t xml:space="preserve"> Francisca</w:t>
      </w:r>
      <w:r w:rsidRPr="003C0842">
        <w:t xml:space="preserve"> José</w:t>
      </w:r>
      <w:r w:rsidR="00BA6FDF" w:rsidRPr="003C0842">
        <w:t>go</w:t>
      </w:r>
      <w:r w:rsidRPr="003C0842">
        <w:t xml:space="preserve"> Urruti</w:t>
      </w:r>
      <w:r w:rsidR="00A82177" w:rsidRPr="003C0842">
        <w:t>i</w:t>
      </w:r>
      <w:r w:rsidRPr="003C0842">
        <w:t>, ambasadora w Bernie, który był widoczny podczas dorocznych Zgromadzeń, a zwłaszcza na forum MOP (ILO). Sekundował mu Antonio José Restrepo (1855</w:t>
      </w:r>
      <w:r w:rsidR="005A5F3B">
        <w:t>-</w:t>
      </w:r>
      <w:r w:rsidRPr="003C0842">
        <w:t xml:space="preserve">1933) pisarz, polityk i dyplomata akredytowany w Genewie jako stały przedstawiciel Kolumbii. </w:t>
      </w:r>
      <w:r w:rsidR="00914E3D" w:rsidRPr="003C0842">
        <w:t>A</w:t>
      </w:r>
      <w:r w:rsidRPr="003C0842">
        <w:t>ktywne</w:t>
      </w:r>
      <w:r w:rsidR="00914E3D" w:rsidRPr="003C0842">
        <w:t xml:space="preserve"> było też jego kilkuosobowe</w:t>
      </w:r>
      <w:r w:rsidRPr="003C0842">
        <w:t xml:space="preserve"> biuro</w:t>
      </w:r>
      <w:r w:rsidR="00914E3D" w:rsidRPr="003C0842">
        <w:t>, co</w:t>
      </w:r>
      <w:r w:rsidRPr="003C0842">
        <w:t xml:space="preserve"> zwiększało obecność latynoamerykańską w różnych ciałach zbiorowych podkreślających przez to światowy, przynajmniej ponadeuropejski charakter</w:t>
      </w:r>
      <w:r w:rsidR="00914E3D" w:rsidRPr="003C0842">
        <w:t xml:space="preserve"> Ligi</w:t>
      </w:r>
      <w:r w:rsidRPr="003C0842">
        <w:t xml:space="preserve">. </w:t>
      </w:r>
      <w:r w:rsidR="00914E3D" w:rsidRPr="003C0842">
        <w:t>W</w:t>
      </w:r>
      <w:r w:rsidRPr="003C0842">
        <w:t xml:space="preserve">ysoce pożądana była obecność </w:t>
      </w:r>
      <w:r w:rsidR="00914E3D" w:rsidRPr="003C0842">
        <w:t xml:space="preserve">przedstawicieli </w:t>
      </w:r>
      <w:r w:rsidRPr="003C0842">
        <w:t>z Ameryki czy Azji, kiedy chodziło o zajęcie przez L</w:t>
      </w:r>
      <w:r w:rsidR="00914E3D" w:rsidRPr="003C0842">
        <w:t>N</w:t>
      </w:r>
      <w:r w:rsidRPr="003C0842">
        <w:t xml:space="preserve"> stanowiska w sprawach kontrowersyjnych lub spornych między państwami europejskimi. </w:t>
      </w:r>
      <w:r w:rsidR="00914E3D" w:rsidRPr="003C0842">
        <w:t>Referentami</w:t>
      </w:r>
      <w:r w:rsidRPr="003C0842">
        <w:t xml:space="preserve"> rezolucji Rady, </w:t>
      </w:r>
      <w:r w:rsidR="006A3E97" w:rsidRPr="003C0842">
        <w:t>poufnie negocjowanych przede wszystkim</w:t>
      </w:r>
      <w:r w:rsidRPr="003C0842">
        <w:t xml:space="preserve"> przez Sekretariat, byli politycy i dyplomaci z Japonii czy zwłaszcza Brazylii. </w:t>
      </w:r>
      <w:r w:rsidR="006A3E97" w:rsidRPr="003C0842">
        <w:t>Jej a</w:t>
      </w:r>
      <w:r w:rsidR="00C32141" w:rsidRPr="003C0842">
        <w:t>mbasador w Paryżu Gustao D</w:t>
      </w:r>
      <w:r w:rsidRPr="003C0842">
        <w:t>a Cunha, który od zarania reprezentował Brazylię w Lidze</w:t>
      </w:r>
      <w:r w:rsidR="006A3E97" w:rsidRPr="003C0842">
        <w:t>, bywał także pokazywany jako ważna osobistość w mechanizmie ligowym.</w:t>
      </w:r>
      <w:r w:rsidR="00942133">
        <w:t xml:space="preserve"> </w:t>
      </w:r>
      <w:r w:rsidR="006A3E97" w:rsidRPr="003C0842">
        <w:t>Miało to zresztą szerszy wymiar. Jeśli np. przewodniczył</w:t>
      </w:r>
      <w:r w:rsidRPr="003C0842">
        <w:t xml:space="preserve"> 12 sesji Rady, która odbyła się na przełomie lutego i marca 1921 r. </w:t>
      </w:r>
      <w:r w:rsidR="006A3E97" w:rsidRPr="003C0842">
        <w:t>w Paryżu</w:t>
      </w:r>
      <w:r w:rsidR="00BA6FDF" w:rsidRPr="003C0842">
        <w:t>,</w:t>
      </w:r>
      <w:r w:rsidR="006A3E97" w:rsidRPr="003C0842">
        <w:t xml:space="preserve"> to mówiono i pisano, że</w:t>
      </w:r>
      <w:r w:rsidR="00942133">
        <w:t xml:space="preserve"> </w:t>
      </w:r>
      <w:r w:rsidR="006A3E97" w:rsidRPr="003C0842">
        <w:t>„</w:t>
      </w:r>
      <w:r w:rsidRPr="003C0842">
        <w:t>złamał</w:t>
      </w:r>
      <w:r w:rsidR="006A3E97" w:rsidRPr="003C0842">
        <w:t>”</w:t>
      </w:r>
      <w:r w:rsidRPr="003C0842">
        <w:t xml:space="preserve"> monopol Europejczyków, wcześniej </w:t>
      </w:r>
      <w:r w:rsidR="006A3E97" w:rsidRPr="003C0842">
        <w:t>kierujących pracami</w:t>
      </w:r>
      <w:r w:rsidRPr="003C0842">
        <w:t xml:space="preserve"> Rad</w:t>
      </w:r>
      <w:r w:rsidR="006A3E97" w:rsidRPr="003C0842">
        <w:t>y</w:t>
      </w:r>
      <w:r w:rsidRPr="003C0842">
        <w:t>. Dla zawodowych dyplomatów, na ogół mało znanych s</w:t>
      </w:r>
      <w:r w:rsidR="00F4358C" w:rsidRPr="003C0842">
        <w:t>zerszemu</w:t>
      </w:r>
      <w:r w:rsidRPr="003C0842">
        <w:t xml:space="preserve"> ogółowi, zarówno we własnym kraju, jak i miejscu </w:t>
      </w:r>
      <w:r w:rsidR="00F4358C" w:rsidRPr="003C0842">
        <w:t>akredytacji</w:t>
      </w:r>
      <w:r w:rsidRPr="003C0842">
        <w:t xml:space="preserve">, była to okazja do pojawienia się i zaistnienia w nowej, publicznej roli. Powszechne i zrozumiałe wynoszenie roli własnych reprezentantów na forum międzynarodowym służyło także popularyzacji Ligi w określonych państwach i rejonach świata. Podobne względy powodowały, że na honorowane międzynarodowym rozgłosem stanowisko przewodniczącego kolejnych Zgromadzeń wybierano </w:t>
      </w:r>
      <w:r w:rsidR="006A3E97" w:rsidRPr="003C0842">
        <w:t xml:space="preserve">często </w:t>
      </w:r>
      <w:r w:rsidRPr="003C0842">
        <w:t>polityków z państw mniejszych, w tym latynoamerykańskich</w:t>
      </w:r>
      <w:r w:rsidRPr="003C0842">
        <w:rPr>
          <w:rStyle w:val="Odwoanieprzypisudolnego"/>
          <w:rFonts w:ascii="Times New Roman" w:hAnsi="Times New Roman"/>
          <w:sz w:val="24"/>
        </w:rPr>
        <w:footnoteReference w:id="243"/>
      </w:r>
      <w:r w:rsidRPr="003C0842">
        <w:t>.</w:t>
      </w:r>
    </w:p>
    <w:p w:rsidR="00A200B5" w:rsidRPr="003C0842" w:rsidRDefault="00A200B5" w:rsidP="00111348">
      <w:pPr>
        <w:spacing w:line="360" w:lineRule="auto"/>
      </w:pPr>
      <w:r w:rsidRPr="003C0842">
        <w:t>Rozgłos osoby i reprezentowanego państwa inspirował też do opinii krytycznych pokazujących ciemne strony latynoskiej rzeczywistości. Odnieść to trzeba do Brazylii i jej prezydenta w la</w:t>
      </w:r>
      <w:r w:rsidR="00A615EC" w:rsidRPr="003C0842">
        <w:t>tach 1922</w:t>
      </w:r>
      <w:r w:rsidR="005A5F3B">
        <w:t>-</w:t>
      </w:r>
      <w:r w:rsidR="00A615EC" w:rsidRPr="003C0842">
        <w:t>1926 Artura Bernardes</w:t>
      </w:r>
      <w:r w:rsidRPr="003C0842">
        <w:t>a, oskarżonego przez niemal równie silną ko</w:t>
      </w:r>
      <w:r w:rsidR="00BA6FDF" w:rsidRPr="003C0842">
        <w:t>nkurencję o oszustwa wyborcze (</w:t>
      </w:r>
      <w:r w:rsidRPr="003C0842">
        <w:rPr>
          <w:i/>
        </w:rPr>
        <w:t>cartes falsas</w:t>
      </w:r>
      <w:r w:rsidRPr="003C0842">
        <w:t>). Mimo wprowadzenia stanu wyjątkowego „bernardesi” nie zdołali uporać się z tzw. ruchem poruczników</w:t>
      </w:r>
      <w:r w:rsidR="00A615EC" w:rsidRPr="003C0842">
        <w:t xml:space="preserve"> – </w:t>
      </w:r>
      <w:r w:rsidRPr="003C0842">
        <w:t xml:space="preserve">zbrojną rebelią walczącą z pozycji lewicowych o reformy społeczne i polityczne. </w:t>
      </w:r>
      <w:r w:rsidR="006A3E97" w:rsidRPr="003C0842">
        <w:t>O</w:t>
      </w:r>
      <w:r w:rsidRPr="003C0842">
        <w:t xml:space="preserve">chrona </w:t>
      </w:r>
      <w:r w:rsidR="006A3E97" w:rsidRPr="003C0842">
        <w:t xml:space="preserve">narodowych </w:t>
      </w:r>
      <w:r w:rsidR="008569E2" w:rsidRPr="003C0842">
        <w:t xml:space="preserve">interesów, w tym zwłaszcza gospodarki </w:t>
      </w:r>
      <w:r w:rsidRPr="003C0842">
        <w:t>surowc</w:t>
      </w:r>
      <w:r w:rsidR="008569E2" w:rsidRPr="003C0842">
        <w:t>owej,</w:t>
      </w:r>
      <w:r w:rsidRPr="003C0842">
        <w:t xml:space="preserve"> konfliktowała stosunki rządu z zagranicznymi korporacjami zarówno ze Stanów Zjednoczonych, jak i Europy</w:t>
      </w:r>
      <w:r w:rsidRPr="003C0842">
        <w:rPr>
          <w:rStyle w:val="Odwoanieprzypisudolnego"/>
          <w:rFonts w:ascii="Times New Roman" w:hAnsi="Times New Roman"/>
          <w:sz w:val="24"/>
        </w:rPr>
        <w:footnoteReference w:id="244"/>
      </w:r>
      <w:r w:rsidRPr="003C0842">
        <w:t>. Rząd tym silniej naciskał swych przedstawicieli w Genewie</w:t>
      </w:r>
      <w:r w:rsidR="00BA6FDF" w:rsidRPr="003C0842">
        <w:t>,</w:t>
      </w:r>
      <w:r w:rsidRPr="003C0842">
        <w:t xml:space="preserve"> żądając co najmniej utrzymania swych międzynarodowych </w:t>
      </w:r>
      <w:r w:rsidRPr="003C0842">
        <w:lastRenderedPageBreak/>
        <w:t>aktywów. Nie było to łatwe mimo wysokie</w:t>
      </w:r>
      <w:r w:rsidR="00A8075A" w:rsidRPr="003C0842">
        <w:t xml:space="preserve">j pozycji amb. Afranio de Mello </w:t>
      </w:r>
      <w:r w:rsidRPr="003C0842">
        <w:t xml:space="preserve">Franco, od 1924 r. kierującego stałą reprezentacją dyplomatyczną w Genewie. Jego niełatwą misję komplikowały swary między państwami latynoskimi i labilność konfiguracji kształtujących się zwykle „za” lub „przeciw” zmieniającego się układu </w:t>
      </w:r>
      <w:r w:rsidR="00F4358C" w:rsidRPr="003C0842">
        <w:t>A</w:t>
      </w:r>
      <w:r w:rsidR="00A615EC" w:rsidRPr="003C0842">
        <w:t xml:space="preserve"> – </w:t>
      </w:r>
      <w:r w:rsidRPr="003C0842">
        <w:t>B</w:t>
      </w:r>
      <w:r w:rsidR="00A615EC" w:rsidRPr="003C0842">
        <w:t xml:space="preserve"> – </w:t>
      </w:r>
      <w:r w:rsidRPr="003C0842">
        <w:t>C (Argentyna</w:t>
      </w:r>
      <w:r w:rsidR="00A615EC" w:rsidRPr="003C0842">
        <w:t xml:space="preserve"> – </w:t>
      </w:r>
      <w:r w:rsidRPr="003C0842">
        <w:t>Brazylia</w:t>
      </w:r>
      <w:r w:rsidR="00A615EC" w:rsidRPr="003C0842">
        <w:t xml:space="preserve"> – </w:t>
      </w:r>
      <w:r w:rsidRPr="003C0842">
        <w:t>Chile). Każdy z tych bloków był czuły na różnie motywowane zmiany</w:t>
      </w:r>
      <w:r w:rsidR="008539BF" w:rsidRPr="003C0842">
        <w:t>,</w:t>
      </w:r>
      <w:r w:rsidRPr="003C0842">
        <w:t xml:space="preserve"> będące często pokłosiem argentyńsko-brazylijskiej walki o prymat. </w:t>
      </w:r>
      <w:r w:rsidR="008569E2" w:rsidRPr="003C0842">
        <w:t xml:space="preserve">W Genewie i Europie wyższą pozycję miała wówczas Argentyna, </w:t>
      </w:r>
      <w:r w:rsidR="000E5849" w:rsidRPr="003C0842">
        <w:t>budząc</w:t>
      </w:r>
      <w:r w:rsidR="00BA6FDF" w:rsidRPr="003C0842">
        <w:t>a</w:t>
      </w:r>
      <w:r w:rsidR="008569E2" w:rsidRPr="003C0842">
        <w:t xml:space="preserve"> pozytywne</w:t>
      </w:r>
      <w:r w:rsidR="00782DC0" w:rsidRPr="003C0842">
        <w:t xml:space="preserve"> zainteresowanie</w:t>
      </w:r>
      <w:r w:rsidR="008569E2" w:rsidRPr="003C0842">
        <w:t xml:space="preserve"> n</w:t>
      </w:r>
      <w:r w:rsidRPr="003C0842">
        <w:t xml:space="preserve">a tle brazylijskiego stanu wyjątkowego oraz zbrojnych walk z udziałem podzielonej armii. </w:t>
      </w:r>
      <w:r w:rsidR="008569E2" w:rsidRPr="003C0842">
        <w:t>Nie bez znaczenia było także to, że Argentyna</w:t>
      </w:r>
      <w:r w:rsidR="00BA6FDF" w:rsidRPr="003C0842">
        <w:t>,</w:t>
      </w:r>
      <w:r w:rsidR="008569E2" w:rsidRPr="003C0842">
        <w:t xml:space="preserve"> z</w:t>
      </w:r>
      <w:r w:rsidRPr="003C0842">
        <w:t>ajmując 16% terytorium Ameryki Łacińskiej i takiż odsetek ludności, miała w 1925 r. 73% zapasów złota, 58% samochodów i 43% linii kolejowych tego obszaru</w:t>
      </w:r>
      <w:r w:rsidR="00782DC0" w:rsidRPr="003C0842">
        <w:rPr>
          <w:rStyle w:val="Odwoanieprzypisudolnego"/>
          <w:rFonts w:ascii="Times New Roman" w:hAnsi="Times New Roman"/>
          <w:sz w:val="24"/>
        </w:rPr>
        <w:footnoteReference w:id="245"/>
      </w:r>
      <w:r w:rsidRPr="003C0842">
        <w:t>.</w:t>
      </w:r>
    </w:p>
    <w:p w:rsidR="00A200B5" w:rsidRPr="003C0842" w:rsidRDefault="00A200B5" w:rsidP="00111348">
      <w:pPr>
        <w:spacing w:line="360" w:lineRule="auto"/>
      </w:pPr>
      <w:r w:rsidRPr="003C0842">
        <w:t xml:space="preserve">Latynoamerykańskie rywalizacje, spory i </w:t>
      </w:r>
      <w:r w:rsidR="008539BF" w:rsidRPr="003C0842">
        <w:t>sw</w:t>
      </w:r>
      <w:r w:rsidR="00782DC0" w:rsidRPr="003C0842">
        <w:t>ary</w:t>
      </w:r>
      <w:r w:rsidRPr="003C0842">
        <w:t>, nierzadko o prestiżowym i osobistym charakterze</w:t>
      </w:r>
      <w:r w:rsidR="00A2414E" w:rsidRPr="003C0842">
        <w:t>,</w:t>
      </w:r>
      <w:r w:rsidR="00942133">
        <w:t xml:space="preserve"> </w:t>
      </w:r>
      <w:r w:rsidR="003A44ED" w:rsidRPr="003C0842">
        <w:t>utrudniały prace</w:t>
      </w:r>
      <w:r w:rsidR="00942133">
        <w:t xml:space="preserve"> </w:t>
      </w:r>
      <w:r w:rsidR="003A44ED" w:rsidRPr="003C0842">
        <w:t xml:space="preserve">Sekretariatu, będąc nieraz źródłem irytacji zwykle opanowanego </w:t>
      </w:r>
      <w:r w:rsidR="00413C94" w:rsidRPr="003C0842">
        <w:t>s</w:t>
      </w:r>
      <w:r w:rsidR="003A44ED" w:rsidRPr="003C0842">
        <w:t xml:space="preserve">ekretarza </w:t>
      </w:r>
      <w:r w:rsidR="00413C94" w:rsidRPr="003C0842">
        <w:t>g</w:t>
      </w:r>
      <w:r w:rsidR="00993A9D" w:rsidRPr="003C0842">
        <w:t>eneralnego</w:t>
      </w:r>
      <w:r w:rsidR="00993A9D" w:rsidRPr="003C0842">
        <w:rPr>
          <w:rStyle w:val="Odwoanieprzypisudolnego"/>
          <w:rFonts w:ascii="Times New Roman" w:hAnsi="Times New Roman"/>
          <w:sz w:val="24"/>
        </w:rPr>
        <w:footnoteReference w:id="246"/>
      </w:r>
      <w:r w:rsidR="003A44ED" w:rsidRPr="003C0842">
        <w:t>.</w:t>
      </w:r>
      <w:r w:rsidR="00993A9D" w:rsidRPr="003C0842">
        <w:t xml:space="preserve"> Widoczna na co dzień zmienność postępowania była o tyle ważniejsza z ligowego punktu widzenia, że wiązała się na gruncie</w:t>
      </w:r>
      <w:r w:rsidR="00942133">
        <w:t xml:space="preserve"> </w:t>
      </w:r>
      <w:r w:rsidR="00993A9D" w:rsidRPr="003C0842">
        <w:t>g</w:t>
      </w:r>
      <w:r w:rsidRPr="003C0842">
        <w:t>enew</w:t>
      </w:r>
      <w:r w:rsidR="00993A9D" w:rsidRPr="003C0842">
        <w:t>skim</w:t>
      </w:r>
      <w:r w:rsidRPr="003C0842">
        <w:t xml:space="preserve"> z tzw. sprawą hiszpańską. Towarzyszyła ona Lidze od zarania w tym sensie, że Madryt</w:t>
      </w:r>
      <w:r w:rsidR="00A615EC" w:rsidRPr="003C0842">
        <w:t xml:space="preserve"> – </w:t>
      </w:r>
      <w:r w:rsidR="00782DC0" w:rsidRPr="003C0842">
        <w:t>skory do</w:t>
      </w:r>
      <w:r w:rsidRPr="003C0842">
        <w:t xml:space="preserve"> porówn</w:t>
      </w:r>
      <w:r w:rsidR="00782DC0" w:rsidRPr="003C0842">
        <w:t>ywania</w:t>
      </w:r>
      <w:r w:rsidR="00942133">
        <w:t xml:space="preserve"> </w:t>
      </w:r>
      <w:r w:rsidR="00782DC0" w:rsidRPr="003C0842">
        <w:t>międzynarodowych</w:t>
      </w:r>
      <w:r w:rsidRPr="003C0842">
        <w:t xml:space="preserve"> aktyw</w:t>
      </w:r>
      <w:r w:rsidR="00782DC0" w:rsidRPr="003C0842">
        <w:t>ów</w:t>
      </w:r>
      <w:r w:rsidRPr="003C0842">
        <w:t xml:space="preserve"> z Rzymem</w:t>
      </w:r>
      <w:r w:rsidR="00A615EC" w:rsidRPr="003C0842">
        <w:t xml:space="preserve"> – </w:t>
      </w:r>
      <w:r w:rsidRPr="003C0842">
        <w:t>zgłaszał aspiracje do stałego miejsca w Radzie. W oczekiwaniu na realizację tego postulatu</w:t>
      </w:r>
      <w:r w:rsidR="008539BF" w:rsidRPr="003C0842">
        <w:t>, w Madrycie</w:t>
      </w:r>
      <w:r w:rsidR="00942133">
        <w:t xml:space="preserve"> </w:t>
      </w:r>
      <w:r w:rsidR="00782DC0" w:rsidRPr="003C0842">
        <w:t xml:space="preserve">dobrze </w:t>
      </w:r>
      <w:r w:rsidRPr="003C0842">
        <w:t xml:space="preserve">przyjęto informację o przyznaniu jej miejsca niestałego. Była to </w:t>
      </w:r>
      <w:r w:rsidR="008539BF" w:rsidRPr="003C0842">
        <w:t xml:space="preserve">jednak </w:t>
      </w:r>
      <w:r w:rsidRPr="003C0842">
        <w:t xml:space="preserve">obecność konfliktogenna. Dyplomaci hiszpańscy </w:t>
      </w:r>
      <w:r w:rsidR="00782DC0" w:rsidRPr="003C0842">
        <w:t>przypominali</w:t>
      </w:r>
      <w:r w:rsidRPr="003C0842">
        <w:t xml:space="preserve"> w stolicach mocarstw o</w:t>
      </w:r>
      <w:r w:rsidR="00782DC0" w:rsidRPr="003C0842">
        <w:t>trzymywane</w:t>
      </w:r>
      <w:r w:rsidR="00942133">
        <w:t xml:space="preserve"> </w:t>
      </w:r>
      <w:r w:rsidR="00782DC0" w:rsidRPr="003C0842">
        <w:t>zapewnienia</w:t>
      </w:r>
      <w:r w:rsidRPr="003C0842">
        <w:t>, zw</w:t>
      </w:r>
      <w:r w:rsidR="00782DC0" w:rsidRPr="003C0842">
        <w:t xml:space="preserve">arte jednak w </w:t>
      </w:r>
      <w:r w:rsidRPr="003C0842">
        <w:t>ogólnikowych zw</w:t>
      </w:r>
      <w:r w:rsidR="00782DC0" w:rsidRPr="003C0842">
        <w:t>rotach mówiących o przyszłości czy</w:t>
      </w:r>
      <w:r w:rsidRPr="003C0842">
        <w:t xml:space="preserve"> „sprzyjających okolicznościach”. Zapewnienie takie najwcześniej złożyli Francuzi</w:t>
      </w:r>
      <w:r w:rsidRPr="003C0842">
        <w:rPr>
          <w:rStyle w:val="Odwoanieprzypisudolnego"/>
          <w:rFonts w:ascii="Times New Roman" w:hAnsi="Times New Roman"/>
          <w:sz w:val="24"/>
        </w:rPr>
        <w:footnoteReference w:id="247"/>
      </w:r>
      <w:r w:rsidRPr="003C0842">
        <w:t>, później także Brytyjczycy. Przyjazny gest Austena Chamberlaina był reakcją na udział ambasadora hiszpańskiego José Quiñonesa de León w postępowaniu przed Radą w spor</w:t>
      </w:r>
      <w:r w:rsidR="00A2414E" w:rsidRPr="003C0842">
        <w:t>ze</w:t>
      </w:r>
      <w:r w:rsidRPr="003C0842">
        <w:t xml:space="preserve"> o </w:t>
      </w:r>
      <w:r w:rsidR="008539BF" w:rsidRPr="003C0842">
        <w:t>Mosul</w:t>
      </w:r>
      <w:r w:rsidRPr="003C0842">
        <w:t xml:space="preserve">. W istocie chodziło o </w:t>
      </w:r>
      <w:r w:rsidR="00FA6762" w:rsidRPr="003C0842">
        <w:t xml:space="preserve">bogate w ropę naftową </w:t>
      </w:r>
      <w:r w:rsidR="00A2414E" w:rsidRPr="003C0842">
        <w:t xml:space="preserve">obszary </w:t>
      </w:r>
      <w:r w:rsidR="00FA6762" w:rsidRPr="003C0842">
        <w:t>leżące na</w:t>
      </w:r>
      <w:r w:rsidRPr="003C0842">
        <w:t xml:space="preserve"> granicy między Turcją a Irakiem</w:t>
      </w:r>
      <w:r w:rsidR="00A615EC" w:rsidRPr="003C0842">
        <w:t xml:space="preserve"> – </w:t>
      </w:r>
      <w:r w:rsidR="00FA6762" w:rsidRPr="003C0842">
        <w:t xml:space="preserve">obszarem </w:t>
      </w:r>
      <w:r w:rsidRPr="003C0842">
        <w:t>mandat</w:t>
      </w:r>
      <w:r w:rsidR="00FA6762" w:rsidRPr="003C0842">
        <w:t>owym Wielkiej Brytanii</w:t>
      </w:r>
      <w:r w:rsidRPr="003C0842">
        <w:t xml:space="preserve">. </w:t>
      </w:r>
      <w:r w:rsidR="00E36B68" w:rsidRPr="003C0842">
        <w:t xml:space="preserve">Skomplikowany pod względem prawnym spór o </w:t>
      </w:r>
      <w:r w:rsidR="00E36B68" w:rsidRPr="003C0842">
        <w:lastRenderedPageBreak/>
        <w:t xml:space="preserve">Mosul został rozstrzygnięty z udziałem opinii doradczej STSM, o który Rada wystąpiła do Hagi mimo sprzeciwu Turcji. </w:t>
      </w:r>
      <w:r w:rsidRPr="003C0842">
        <w:t>Zaangażowanie stron i całej Ligi było porównywalne do niemiecko-polskiego sporu o Górny Śląsk</w:t>
      </w:r>
      <w:r w:rsidRPr="003C0842">
        <w:rPr>
          <w:rStyle w:val="Odwoanieprzypisudolnego"/>
          <w:rFonts w:ascii="Times New Roman" w:hAnsi="Times New Roman"/>
          <w:sz w:val="24"/>
        </w:rPr>
        <w:footnoteReference w:id="248"/>
      </w:r>
      <w:r w:rsidRPr="003C0842">
        <w:t>.</w:t>
      </w:r>
    </w:p>
    <w:p w:rsidR="00A200B5" w:rsidRPr="003C0842" w:rsidRDefault="00E36B68" w:rsidP="00111348">
      <w:pPr>
        <w:spacing w:line="360" w:lineRule="auto"/>
      </w:pPr>
      <w:r w:rsidRPr="003C0842">
        <w:t>Wsparcie i</w:t>
      </w:r>
      <w:r w:rsidR="00A200B5" w:rsidRPr="003C0842">
        <w:t>nteres</w:t>
      </w:r>
      <w:r w:rsidRPr="003C0842">
        <w:t>ów</w:t>
      </w:r>
      <w:r w:rsidR="00A200B5" w:rsidRPr="003C0842">
        <w:t xml:space="preserve"> Wielkiej Bryta</w:t>
      </w:r>
      <w:r w:rsidR="00C327C4" w:rsidRPr="003C0842">
        <w:t xml:space="preserve">nii na Bliskim Wschodzie </w:t>
      </w:r>
      <w:r w:rsidR="002E3E08" w:rsidRPr="003C0842">
        <w:t xml:space="preserve">przez </w:t>
      </w:r>
      <w:r w:rsidR="00A200B5" w:rsidRPr="003C0842">
        <w:t>przedstawiciela Hiszpanii w Radzie</w:t>
      </w:r>
      <w:r w:rsidR="00FA6762" w:rsidRPr="003C0842">
        <w:t>,</w:t>
      </w:r>
      <w:r w:rsidR="00A200B5" w:rsidRPr="003C0842">
        <w:t xml:space="preserve"> wzmogły dyskusje podsycane przez polityków i dyplomatów oczekujących na „swoją</w:t>
      </w:r>
      <w:r w:rsidR="00FA6762" w:rsidRPr="003C0842">
        <w:t>”</w:t>
      </w:r>
      <w:r w:rsidR="00942133">
        <w:t xml:space="preserve"> </w:t>
      </w:r>
      <w:r w:rsidR="00FA6762" w:rsidRPr="003C0842">
        <w:t>szansę, okazję</w:t>
      </w:r>
      <w:r w:rsidR="00A200B5" w:rsidRPr="003C0842">
        <w:t xml:space="preserve">. </w:t>
      </w:r>
      <w:r w:rsidR="00FA6762" w:rsidRPr="003C0842">
        <w:t>Jednocześnie chętnie wypominano</w:t>
      </w:r>
      <w:r w:rsidR="00A200B5" w:rsidRPr="003C0842">
        <w:t xml:space="preserve"> Hiszpani</w:t>
      </w:r>
      <w:r w:rsidR="00FA6762" w:rsidRPr="003C0842">
        <w:t xml:space="preserve">i, że </w:t>
      </w:r>
      <w:r w:rsidR="00A200B5" w:rsidRPr="003C0842">
        <w:t>jako państwo neutralne w czasie wojny nie poniosła ofiar przy tworzeniu nowego porządku. Zaproszona do prac w Lidze zajęła niemal na stałe miejsce w Radzie, mimo wątpliwych lub nieprzekonujących referencji do miana państwa stabilnego wewnętrznie (wojskowy zamach stanu w 1923 r.) i zewnętrznie (wojna w Maroku przeciwko Rifenom).</w:t>
      </w:r>
    </w:p>
    <w:p w:rsidR="00FA6762" w:rsidRPr="003C0842" w:rsidRDefault="00A200B5" w:rsidP="00111348">
      <w:pPr>
        <w:spacing w:line="360" w:lineRule="auto"/>
      </w:pPr>
      <w:r w:rsidRPr="003C0842">
        <w:t xml:space="preserve">Sytuacji Hiszpanii nie ułatwiała publikacja raportu z wyjazdu studyjnego Komisji Malarycznej, która </w:t>
      </w:r>
      <w:r w:rsidR="003C1EE6" w:rsidRPr="003C0842">
        <w:t xml:space="preserve">w sierpniu i wrześniu 1925 r. </w:t>
      </w:r>
      <w:r w:rsidRPr="003C0842">
        <w:t xml:space="preserve">prowadziła prace </w:t>
      </w:r>
      <w:r w:rsidR="003C1EE6" w:rsidRPr="003C0842">
        <w:t xml:space="preserve">nad </w:t>
      </w:r>
      <w:r w:rsidR="00A855F2" w:rsidRPr="003C0842">
        <w:t>rzek</w:t>
      </w:r>
      <w:r w:rsidR="003C1EE6" w:rsidRPr="003C0842">
        <w:t>ami</w:t>
      </w:r>
      <w:r w:rsidRPr="003C0842">
        <w:t xml:space="preserve"> Tag</w:t>
      </w:r>
      <w:r w:rsidR="00A855F2" w:rsidRPr="003C0842">
        <w:t>,</w:t>
      </w:r>
      <w:r w:rsidRPr="003C0842">
        <w:t xml:space="preserve"> Guadiana</w:t>
      </w:r>
      <w:r w:rsidR="00A855F2" w:rsidRPr="003C0842">
        <w:t>,</w:t>
      </w:r>
      <w:r w:rsidRPr="003C0842">
        <w:t xml:space="preserve"> Guadalq</w:t>
      </w:r>
      <w:r w:rsidR="00E36B68" w:rsidRPr="003C0842">
        <w:t>u</w:t>
      </w:r>
      <w:r w:rsidRPr="003C0842">
        <w:t>ivir</w:t>
      </w:r>
      <w:r w:rsidR="00A855F2" w:rsidRPr="003C0842">
        <w:t xml:space="preserve"> i</w:t>
      </w:r>
      <w:r w:rsidRPr="003C0842">
        <w:t xml:space="preserve"> Elby</w:t>
      </w:r>
      <w:r w:rsidR="003C1EE6" w:rsidRPr="003C0842">
        <w:t>.</w:t>
      </w:r>
      <w:r w:rsidR="00942133">
        <w:t xml:space="preserve"> </w:t>
      </w:r>
      <w:r w:rsidRPr="003C0842">
        <w:t xml:space="preserve">Raport, niezależnie od </w:t>
      </w:r>
      <w:r w:rsidR="00F2022A" w:rsidRPr="003C0842">
        <w:t>podkreślenia</w:t>
      </w:r>
      <w:r w:rsidRPr="003C0842">
        <w:t xml:space="preserve"> wysiłków władz hiszpańskich przeciwdziałania malarii, pokazywał </w:t>
      </w:r>
      <w:r w:rsidR="00C40215" w:rsidRPr="003C0842">
        <w:t xml:space="preserve">jednocześnie </w:t>
      </w:r>
      <w:r w:rsidRPr="003C0842">
        <w:t>ubogie i zacofane oblicze kraju</w:t>
      </w:r>
      <w:r w:rsidRPr="003C0842">
        <w:rPr>
          <w:rStyle w:val="Odwoanieprzypisudolnego"/>
          <w:rFonts w:ascii="Times New Roman" w:hAnsi="Times New Roman"/>
          <w:sz w:val="24"/>
        </w:rPr>
        <w:footnoteReference w:id="249"/>
      </w:r>
      <w:r w:rsidRPr="003C0842">
        <w:t xml:space="preserve">. </w:t>
      </w:r>
    </w:p>
    <w:p w:rsidR="00C40215" w:rsidRPr="003C0842" w:rsidRDefault="00EC32B4" w:rsidP="00111348">
      <w:pPr>
        <w:spacing w:line="360" w:lineRule="auto"/>
      </w:pPr>
      <w:r w:rsidRPr="003C0842">
        <w:t xml:space="preserve">Do </w:t>
      </w:r>
      <w:r w:rsidR="00A200B5" w:rsidRPr="003C0842">
        <w:t xml:space="preserve">podobnej argumentacji </w:t>
      </w:r>
      <w:r w:rsidRPr="003C0842">
        <w:t xml:space="preserve">uciekali się </w:t>
      </w:r>
      <w:r w:rsidR="00A200B5" w:rsidRPr="003C0842">
        <w:t>przeciwnicy aspiracji Polski</w:t>
      </w:r>
      <w:r w:rsidR="00E0748C" w:rsidRPr="003C0842">
        <w:t>, którzy ponadto rozwodzili się nad jej przywarami jako państwa bez należytych doświadczeń w dziedzinie stosunków międzynarodowych,</w:t>
      </w:r>
      <w:r w:rsidR="00942133">
        <w:t xml:space="preserve"> </w:t>
      </w:r>
      <w:r w:rsidR="00E0748C" w:rsidRPr="003C0842">
        <w:t>niestabilnego wewnętrznie, rozsadzanego przez mniejszości narodowe stanowiące 1/3 mieszkańców, mającego skonfl</w:t>
      </w:r>
      <w:r w:rsidR="00A2414E" w:rsidRPr="003C0842">
        <w:t>iktowane</w:t>
      </w:r>
      <w:r w:rsidR="00E0748C" w:rsidRPr="003C0842">
        <w:t xml:space="preserve"> stosunki ze wszystkimi sąsiadami,</w:t>
      </w:r>
      <w:r w:rsidR="00942133">
        <w:t xml:space="preserve"> </w:t>
      </w:r>
      <w:r w:rsidR="00E0748C" w:rsidRPr="003C0842">
        <w:t>których część kwestion</w:t>
      </w:r>
      <w:r w:rsidR="00A2414E" w:rsidRPr="003C0842">
        <w:t>owała</w:t>
      </w:r>
      <w:r w:rsidR="00E0748C" w:rsidRPr="003C0842">
        <w:t xml:space="preserve"> przebieg granic. </w:t>
      </w:r>
      <w:r w:rsidR="000E1960" w:rsidRPr="003C0842">
        <w:t xml:space="preserve">Propaganda oscylująca wokół podobnych zastrzeżeń znajdowała spory posłuch, skoro próby </w:t>
      </w:r>
      <w:r w:rsidR="00A200B5" w:rsidRPr="003C0842">
        <w:t>pozyskania głosów w Zgromadzeniu nie przynosiły pozytywnych efektów. Tajne głosowanie uniemożliwiało szukanie „winnych” nawet wówczas, gdy za kandydaturą Polski były 2</w:t>
      </w:r>
      <w:r w:rsidR="000E1960" w:rsidRPr="003C0842">
        <w:t xml:space="preserve"> głosy</w:t>
      </w:r>
      <w:r w:rsidR="00A200B5" w:rsidRPr="003C0842">
        <w:t xml:space="preserve"> na 47 głosujących, jak to miało miejsce w 1925 r. </w:t>
      </w:r>
    </w:p>
    <w:p w:rsidR="00FA6762" w:rsidRPr="003C0842" w:rsidRDefault="000E1960" w:rsidP="00111348">
      <w:pPr>
        <w:spacing w:line="360" w:lineRule="auto"/>
      </w:pPr>
      <w:r w:rsidRPr="003C0842">
        <w:t>Zmianę sytuacji zapowiadały</w:t>
      </w:r>
      <w:r w:rsidR="00942133">
        <w:t xml:space="preserve"> </w:t>
      </w:r>
      <w:r w:rsidRPr="003C0842">
        <w:t>i</w:t>
      </w:r>
      <w:r w:rsidR="00A200B5" w:rsidRPr="003C0842">
        <w:t>ntensyfikowane wówczas rokowania w celu przyjęcia Niemiec do Ligi z mandatem stałego członka Rady. Argumenty polskie wpis</w:t>
      </w:r>
      <w:r w:rsidR="00FA6762" w:rsidRPr="003C0842">
        <w:t>yw</w:t>
      </w:r>
      <w:r w:rsidR="00A200B5" w:rsidRPr="003C0842">
        <w:t>ały się w ogólnoeuropejsk</w:t>
      </w:r>
      <w:r w:rsidRPr="003C0842">
        <w:t xml:space="preserve">ą wiedzę o </w:t>
      </w:r>
      <w:r w:rsidR="00FA6762" w:rsidRPr="003C0842">
        <w:t xml:space="preserve">znanych, teraz dodatkowo </w:t>
      </w:r>
      <w:r w:rsidRPr="003C0842">
        <w:t>rozgłaszanych</w:t>
      </w:r>
      <w:r w:rsidR="00A200B5" w:rsidRPr="003C0842">
        <w:t xml:space="preserve"> dążenia</w:t>
      </w:r>
      <w:r w:rsidRPr="003C0842">
        <w:t>ch</w:t>
      </w:r>
      <w:r w:rsidR="00A200B5" w:rsidRPr="003C0842">
        <w:t xml:space="preserve"> rewizyjny</w:t>
      </w:r>
      <w:r w:rsidRPr="003C0842">
        <w:t>ch</w:t>
      </w:r>
      <w:r w:rsidR="00A200B5" w:rsidRPr="003C0842">
        <w:t xml:space="preserve"> Republiki Weimarskiej. Skoro Liga ma być instrumentem współpracy międzynarodowej i pokoju, to istotna nierównowaga w składzie Rady może negatywnie wpłynąć na stosunki w najbardziej skonfliktowanej części Europy</w:t>
      </w:r>
      <w:r w:rsidR="00164234" w:rsidRPr="003C0842">
        <w:t>–</w:t>
      </w:r>
      <w:r w:rsidR="00A200B5" w:rsidRPr="003C0842">
        <w:t>cały</w:t>
      </w:r>
      <w:r w:rsidRPr="003C0842">
        <w:t>m</w:t>
      </w:r>
      <w:r w:rsidR="00A200B5" w:rsidRPr="003C0842">
        <w:t xml:space="preserve"> słowiański</w:t>
      </w:r>
      <w:r w:rsidRPr="003C0842">
        <w:t>m wschodzie.</w:t>
      </w:r>
      <w:r w:rsidR="00942133">
        <w:t xml:space="preserve"> </w:t>
      </w:r>
      <w:r w:rsidR="00FA6762" w:rsidRPr="003C0842">
        <w:t xml:space="preserve">Zdecydowany </w:t>
      </w:r>
      <w:r w:rsidR="00FA6762" w:rsidRPr="003C0842">
        <w:lastRenderedPageBreak/>
        <w:t>s</w:t>
      </w:r>
      <w:r w:rsidR="00A200B5" w:rsidRPr="003C0842">
        <w:t>przeciw Berlina wobec polskiej kandydatury m</w:t>
      </w:r>
      <w:r w:rsidR="00794B51" w:rsidRPr="003C0842">
        <w:t>ógł</w:t>
      </w:r>
      <w:r w:rsidR="00A200B5" w:rsidRPr="003C0842">
        <w:t xml:space="preserve"> byćzapowiedzią wykorzystania Rady do „naruszenia ustalonego przez traktaty pokojowe porządku rzeczy w Europie”. </w:t>
      </w:r>
      <w:r w:rsidR="00794B51" w:rsidRPr="003C0842">
        <w:t xml:space="preserve">W Warszawie zestawiano też </w:t>
      </w:r>
      <w:r w:rsidR="00F2022A" w:rsidRPr="003C0842">
        <w:t>własną</w:t>
      </w:r>
      <w:r w:rsidR="00A200B5" w:rsidRPr="003C0842">
        <w:t xml:space="preserve"> argumentację z hiszpańską i brazylijską</w:t>
      </w:r>
      <w:r w:rsidR="00210CDE" w:rsidRPr="003C0842">
        <w:t>,</w:t>
      </w:r>
      <w:r w:rsidR="00A200B5" w:rsidRPr="003C0842">
        <w:t xml:space="preserve"> uznając, że byłoby niezrozumiał</w:t>
      </w:r>
      <w:r w:rsidR="00210CDE" w:rsidRPr="003C0842">
        <w:t>e,</w:t>
      </w:r>
      <w:r w:rsidR="00A200B5" w:rsidRPr="003C0842">
        <w:t xml:space="preserve"> aby o istotnych sprawach dotyczących przede wszystkim Europy decydowały państwa z innych</w:t>
      </w:r>
      <w:r w:rsidRPr="003C0842">
        <w:t xml:space="preserve"> regionów, a nawet odległych</w:t>
      </w:r>
      <w:r w:rsidR="00A200B5" w:rsidRPr="003C0842">
        <w:t xml:space="preserve"> kontynentów</w:t>
      </w:r>
      <w:r w:rsidR="00A200B5" w:rsidRPr="003C0842">
        <w:rPr>
          <w:rStyle w:val="Odwoanieprzypisudolnego"/>
          <w:rFonts w:ascii="Times New Roman" w:hAnsi="Times New Roman"/>
          <w:sz w:val="24"/>
        </w:rPr>
        <w:footnoteReference w:id="250"/>
      </w:r>
      <w:r w:rsidR="00A200B5" w:rsidRPr="003C0842">
        <w:t xml:space="preserve">. </w:t>
      </w:r>
    </w:p>
    <w:p w:rsidR="00A200B5" w:rsidRPr="003C0842" w:rsidRDefault="00A200B5" w:rsidP="00111348">
      <w:pPr>
        <w:spacing w:line="360" w:lineRule="auto"/>
      </w:pPr>
      <w:r w:rsidRPr="003C0842">
        <w:t>Zarysowującą się coraz wyraźniej łamigłówkę polityczno-proceduralno-prestiżową komplikowały aspiracje Chin, które ponawiając sw</w:t>
      </w:r>
      <w:r w:rsidR="00794B51" w:rsidRPr="003C0842">
        <w:t>oj</w:t>
      </w:r>
      <w:r w:rsidRPr="003C0842">
        <w:t>ą kandydaturę do stałego miejsca w Radzie</w:t>
      </w:r>
      <w:r w:rsidR="00210CDE" w:rsidRPr="003C0842">
        <w:t>,</w:t>
      </w:r>
      <w:r w:rsidRPr="003C0842">
        <w:t xml:space="preserve"> odwoływały się do powszechnie znanych faktów: ludności, obszaru, starożytnej kultury, znaczenia w Azji</w:t>
      </w:r>
      <w:r w:rsidRPr="003C0842">
        <w:rPr>
          <w:rStyle w:val="Odwoanieprzypisudolnego"/>
          <w:rFonts w:ascii="Times New Roman" w:hAnsi="Times New Roman"/>
          <w:sz w:val="24"/>
        </w:rPr>
        <w:footnoteReference w:id="251"/>
      </w:r>
      <w:r w:rsidRPr="003C0842">
        <w:t xml:space="preserve">. Oczekiwania te nie znajdowały wsparcia </w:t>
      </w:r>
      <w:r w:rsidR="00821435" w:rsidRPr="003C0842">
        <w:t xml:space="preserve">z uwagi na </w:t>
      </w:r>
      <w:r w:rsidR="00C40215" w:rsidRPr="003C0842">
        <w:t xml:space="preserve">zacofanie kraju, który nie zdołał uporać się z niewolnictwem, </w:t>
      </w:r>
      <w:r w:rsidRPr="003C0842">
        <w:t>wybuchową, wojenną sytuację wewnętrzną w państwie Środka</w:t>
      </w:r>
      <w:r w:rsidR="00210CDE" w:rsidRPr="003C0842">
        <w:t>. Wytykano zale</w:t>
      </w:r>
      <w:r w:rsidR="00C40215" w:rsidRPr="003C0842">
        <w:t xml:space="preserve">głości w </w:t>
      </w:r>
      <w:r w:rsidR="00FA6762" w:rsidRPr="003C0842">
        <w:t>uiszczeni</w:t>
      </w:r>
      <w:r w:rsidR="00C40215" w:rsidRPr="003C0842">
        <w:t>u</w:t>
      </w:r>
      <w:r w:rsidR="00FA6762" w:rsidRPr="003C0842">
        <w:t xml:space="preserve"> składki do </w:t>
      </w:r>
      <w:r w:rsidRPr="003C0842">
        <w:t>wspólnej kasy. Istotna</w:t>
      </w:r>
      <w:r w:rsidR="00C40215" w:rsidRPr="003C0842">
        <w:t>, wręcz zasadnicza</w:t>
      </w:r>
      <w:r w:rsidRPr="003C0842">
        <w:t xml:space="preserve"> była</w:t>
      </w:r>
      <w:r w:rsidR="00C40215" w:rsidRPr="003C0842">
        <w:t xml:space="preserve"> też</w:t>
      </w:r>
      <w:r w:rsidRPr="003C0842">
        <w:t xml:space="preserve"> niechęć Japonii, która rezerwując stałe miejsca w Radzie dla mocarstw</w:t>
      </w:r>
      <w:r w:rsidR="00C40215" w:rsidRPr="003C0842">
        <w:t>,</w:t>
      </w:r>
      <w:r w:rsidRPr="003C0842">
        <w:t xml:space="preserve"> widziała Chiny w Radzie, ale z wyboru Zgromadzenia</w:t>
      </w:r>
      <w:r w:rsidR="00AC0E75" w:rsidRPr="003C0842">
        <w:t xml:space="preserve">. Tam zaś jej szanse </w:t>
      </w:r>
      <w:r w:rsidR="00CF1581" w:rsidRPr="003C0842">
        <w:t xml:space="preserve">nie </w:t>
      </w:r>
      <w:r w:rsidR="001F185B" w:rsidRPr="003C0842">
        <w:t xml:space="preserve">wydawały się </w:t>
      </w:r>
      <w:r w:rsidR="00AC0E75" w:rsidRPr="003C0842">
        <w:t>wielkie</w:t>
      </w:r>
      <w:r w:rsidRPr="003C0842">
        <w:rPr>
          <w:rStyle w:val="Odwoanieprzypisudolnego"/>
          <w:rFonts w:ascii="Times New Roman" w:hAnsi="Times New Roman"/>
          <w:sz w:val="24"/>
        </w:rPr>
        <w:footnoteReference w:id="252"/>
      </w:r>
      <w:r w:rsidRPr="003C0842">
        <w:t>.</w:t>
      </w:r>
    </w:p>
    <w:p w:rsidR="001F185B" w:rsidRPr="003C0842" w:rsidRDefault="00821435" w:rsidP="00111348">
      <w:pPr>
        <w:spacing w:line="360" w:lineRule="auto"/>
      </w:pPr>
      <w:r w:rsidRPr="003C0842">
        <w:t>Forsowane przez Chin</w:t>
      </w:r>
      <w:r w:rsidR="00126F7A" w:rsidRPr="003C0842">
        <w:t xml:space="preserve">y argumenty </w:t>
      </w:r>
      <w:r w:rsidRPr="003C0842">
        <w:t>nie były żadną nowością w środowisku ligowym. Regularnie do kryteriów określających wybór niestałych członków Rady powracano</w:t>
      </w:r>
      <w:r w:rsidR="00CF1581" w:rsidRPr="003C0842">
        <w:t xml:space="preserve"> także</w:t>
      </w:r>
      <w:r w:rsidRPr="003C0842">
        <w:t xml:space="preserve"> podczas Zgromadzeń UIA. Przedstawiciele organizacji proligowych, skupionych w tym stowarzyszeniu o zasięgu światowym (aczkolwiek zdominowanych przez Brytyjczyków) konsekwentnie </w:t>
      </w:r>
      <w:r w:rsidR="00126F7A" w:rsidRPr="003C0842">
        <w:t>przypominali</w:t>
      </w:r>
      <w:r w:rsidRPr="003C0842">
        <w:t xml:space="preserve">, że </w:t>
      </w:r>
      <w:r w:rsidR="00126F7A" w:rsidRPr="003C0842">
        <w:t xml:space="preserve">podczas </w:t>
      </w:r>
      <w:r w:rsidRPr="003C0842">
        <w:t>wybor</w:t>
      </w:r>
      <w:r w:rsidR="00126F7A" w:rsidRPr="003C0842">
        <w:t xml:space="preserve">ów niestałych </w:t>
      </w:r>
      <w:r w:rsidRPr="003C0842">
        <w:t xml:space="preserve">członków </w:t>
      </w:r>
      <w:r w:rsidR="00126F7A" w:rsidRPr="003C0842">
        <w:t>należy uwzględniać położenie geograficzne, przynależność do „dużej rodziny etnicznej”, zróżnicowane tradycje religijne i cywilizacyjne</w:t>
      </w:r>
      <w:r w:rsidR="00942133">
        <w:t xml:space="preserve"> </w:t>
      </w:r>
      <w:r w:rsidR="00126F7A" w:rsidRPr="003C0842">
        <w:t>oraz główne źródła bogactwa</w:t>
      </w:r>
      <w:r w:rsidR="00CF1581" w:rsidRPr="003C0842">
        <w:t xml:space="preserve"> kandydata</w:t>
      </w:r>
      <w:r w:rsidR="00126F7A" w:rsidRPr="003C0842">
        <w:rPr>
          <w:rStyle w:val="Odwoanieprzypisudolnego"/>
          <w:rFonts w:ascii="Times New Roman" w:hAnsi="Times New Roman"/>
          <w:sz w:val="24"/>
        </w:rPr>
        <w:footnoteReference w:id="253"/>
      </w:r>
      <w:r w:rsidR="00126F7A" w:rsidRPr="003C0842">
        <w:t>.</w:t>
      </w:r>
    </w:p>
    <w:p w:rsidR="00F2022A" w:rsidRPr="003C0842" w:rsidRDefault="00B15FA9" w:rsidP="00111348">
      <w:pPr>
        <w:spacing w:line="360" w:lineRule="auto"/>
      </w:pPr>
      <w:r w:rsidRPr="003C0842">
        <w:t xml:space="preserve">Konfliktowo się rozwijająca dyskusja o aspiracjach wszystkich wspomnianych czterech państw </w:t>
      </w:r>
      <w:r w:rsidR="00645210" w:rsidRPr="003C0842">
        <w:t>pożywiała</w:t>
      </w:r>
      <w:r w:rsidRPr="003C0842">
        <w:t xml:space="preserve"> się negatywnymi opiniami </w:t>
      </w:r>
      <w:r w:rsidR="00645210" w:rsidRPr="003C0842">
        <w:t>rozpowszechnianymi przez rywali i wrogów. Spory posłuch zdobywały też argumenty państw neutralnych, bo na stałe do Rady Ligi miały wejść państwa o nieustabilizowanej sytuacji wewnętrznej i bardzo wątpliwych walorach właściwych mocarstwom.</w:t>
      </w:r>
    </w:p>
    <w:p w:rsidR="00794B51" w:rsidRPr="003C0842" w:rsidRDefault="00A200B5" w:rsidP="00111348">
      <w:pPr>
        <w:spacing w:line="360" w:lineRule="auto"/>
      </w:pPr>
      <w:r w:rsidRPr="003C0842">
        <w:lastRenderedPageBreak/>
        <w:t>Trwające od jesieni 1925 r. rokowania, rozmowy, przymiarki uruchomiły duże pokłady polityczno-dyplomatycznej energii. Zwolennicy jednych byli przeciwnikami drugich, a większość</w:t>
      </w:r>
      <w:r w:rsidR="00A615EC" w:rsidRPr="003C0842">
        <w:t xml:space="preserve"> – </w:t>
      </w:r>
      <w:r w:rsidRPr="003C0842">
        <w:t>wszystkim zmianom, które w jakiś sposób mogły naruszyć indywidualne interesy, pozycję względem sąsiada lub państwa znajdującego się</w:t>
      </w:r>
      <w:r w:rsidR="00AC0E75" w:rsidRPr="003C0842">
        <w:t xml:space="preserve">,w subiektywnym rankingu, </w:t>
      </w:r>
      <w:r w:rsidRPr="003C0842">
        <w:t>na z</w:t>
      </w:r>
      <w:r w:rsidR="00794B51" w:rsidRPr="003C0842">
        <w:t>bliżonej pozycji</w:t>
      </w:r>
      <w:r w:rsidRPr="003C0842">
        <w:t>. Panoptikum kombinacji powiększały jednoznaczne oświadczenia rządu niemieckiego, który był przeciwny łączenia ich wejścia do Rady z dalszymi zmianami w jej składzie. Te zaś wydawały się konieczne</w:t>
      </w:r>
      <w:r w:rsidR="00210CDE" w:rsidRPr="003C0842">
        <w:t>,</w:t>
      </w:r>
      <w:r w:rsidRPr="003C0842">
        <w:t xml:space="preserve"> zważywszy na tężejący opór Brazylii i Hiszpanii, które </w:t>
      </w:r>
      <w:r w:rsidR="00794B51" w:rsidRPr="003C0842">
        <w:t>będąc</w:t>
      </w:r>
      <w:r w:rsidRPr="003C0842">
        <w:t xml:space="preserve"> członk</w:t>
      </w:r>
      <w:r w:rsidR="00794B51" w:rsidRPr="003C0842">
        <w:t>ami</w:t>
      </w:r>
      <w:r w:rsidRPr="003C0842">
        <w:t xml:space="preserve"> Rady</w:t>
      </w:r>
      <w:r w:rsidR="00210CDE" w:rsidRPr="003C0842">
        <w:t>,</w:t>
      </w:r>
      <w:r w:rsidRPr="003C0842">
        <w:t xml:space="preserve"> mog</w:t>
      </w:r>
      <w:r w:rsidR="00AC0E75" w:rsidRPr="003C0842">
        <w:t>ły</w:t>
      </w:r>
      <w:r w:rsidRPr="003C0842">
        <w:t xml:space="preserve"> w ogóle zablokować akces Niemiec. Istniała też odwrotna możliwość, wobec obowiązującej w tej sprawie jednomyślności istniejącego składu Rady</w:t>
      </w:r>
      <w:r w:rsidR="00AC0E75" w:rsidRPr="003C0842">
        <w:t>:</w:t>
      </w:r>
      <w:r w:rsidR="00942133">
        <w:t xml:space="preserve"> p</w:t>
      </w:r>
      <w:r w:rsidR="00AC0E75" w:rsidRPr="003C0842">
        <w:t xml:space="preserve">rzyznanie stałych miejsc </w:t>
      </w:r>
      <w:r w:rsidRPr="003C0842">
        <w:t xml:space="preserve">Brazylii i Hiszpanii mogło </w:t>
      </w:r>
      <w:r w:rsidR="00AC0E75" w:rsidRPr="003C0842">
        <w:t>zostać zablokowane przez</w:t>
      </w:r>
      <w:r w:rsidRPr="003C0842">
        <w:t xml:space="preserve"> Szwecj</w:t>
      </w:r>
      <w:r w:rsidR="00AC0E75" w:rsidRPr="003C0842">
        <w:t>ę</w:t>
      </w:r>
      <w:r w:rsidRPr="003C0842">
        <w:t xml:space="preserve"> popierając</w:t>
      </w:r>
      <w:r w:rsidR="00AC0E75" w:rsidRPr="003C0842">
        <w:t>ą</w:t>
      </w:r>
      <w:r w:rsidRPr="003C0842">
        <w:t xml:space="preserve"> oczekiwania Berlina</w:t>
      </w:r>
      <w:r w:rsidR="00953381" w:rsidRPr="003C0842">
        <w:rPr>
          <w:rStyle w:val="Odwoanieprzypisudolnego"/>
          <w:rFonts w:ascii="Times New Roman" w:hAnsi="Times New Roman"/>
          <w:sz w:val="24"/>
        </w:rPr>
        <w:footnoteReference w:id="254"/>
      </w:r>
      <w:r w:rsidRPr="003C0842">
        <w:t xml:space="preserve">. Zmiana taka nie wchodziła zresztą w grę z powodu kunktatorskiej polityki Wielkiej Brytanii i Francji. </w:t>
      </w:r>
      <w:r w:rsidR="00AC0E75" w:rsidRPr="003C0842">
        <w:t>Państwa te d</w:t>
      </w:r>
      <w:r w:rsidRPr="003C0842">
        <w:t>ąży</w:t>
      </w:r>
      <w:r w:rsidR="00AC0E75" w:rsidRPr="003C0842">
        <w:t>ły</w:t>
      </w:r>
      <w:r w:rsidRPr="003C0842">
        <w:t xml:space="preserve"> wprawdzie do wykonania porozumienia z Locarno, ale towarzyszyły temu też własne interesy i posiadane zobowiązania. Ponad nimi lokowały się stanowcze reakcje Berlina gdzie plany rozszerzenia składu Rady ponad przyjęcie Niemiec określano jako „nową sytuację”</w:t>
      </w:r>
      <w:r w:rsidR="00AC0E75" w:rsidRPr="003C0842">
        <w:t>,</w:t>
      </w:r>
      <w:r w:rsidRPr="003C0842">
        <w:t xml:space="preserve"> wymagającą renegocjacji </w:t>
      </w:r>
      <w:r w:rsidR="00AC0E75" w:rsidRPr="003C0842">
        <w:t xml:space="preserve">uzgodnionych </w:t>
      </w:r>
      <w:r w:rsidRPr="003C0842">
        <w:t xml:space="preserve">ustaleń. Berlin irytowała każda wzmianka o popieraniu przez mocarstwa jakiegokolwiek innego rozwiązania, które by umniejszało wyróżniającą oprawę i przełomowe znaczenie ich </w:t>
      </w:r>
      <w:r w:rsidR="00794B51" w:rsidRPr="003C0842">
        <w:t>wstąpienia</w:t>
      </w:r>
      <w:r w:rsidR="00683015" w:rsidRPr="003C0842">
        <w:rPr>
          <w:rStyle w:val="Odwoanieprzypisudolnego"/>
          <w:rFonts w:ascii="Times New Roman" w:hAnsi="Times New Roman"/>
          <w:sz w:val="24"/>
        </w:rPr>
        <w:footnoteReference w:id="255"/>
      </w:r>
      <w:r w:rsidRPr="003C0842">
        <w:t>.</w:t>
      </w:r>
    </w:p>
    <w:p w:rsidR="002E3BD5" w:rsidRPr="003C0842" w:rsidRDefault="00BD1456" w:rsidP="00111348">
      <w:pPr>
        <w:spacing w:line="360" w:lineRule="auto"/>
      </w:pPr>
      <w:r w:rsidRPr="003C0842">
        <w:t xml:space="preserve">Mnożące się komplikacje wymuszały </w:t>
      </w:r>
      <w:r w:rsidR="00E312B6" w:rsidRPr="003C0842">
        <w:t xml:space="preserve">znacznie </w:t>
      </w:r>
      <w:r w:rsidR="00644E07" w:rsidRPr="003C0842">
        <w:t>zwiększoną</w:t>
      </w:r>
      <w:r w:rsidR="00942133">
        <w:t xml:space="preserve"> </w:t>
      </w:r>
      <w:r w:rsidRPr="003C0842">
        <w:t xml:space="preserve">aktywność członków Rady, którym poszukiwanie rozwiązań możliwych do jednomyślnej akceptacji, a przy tym satysfakcjonujące Niemcy zabierało wiele czasu. Incydentalne wcześniej </w:t>
      </w:r>
      <w:r w:rsidR="006136B6" w:rsidRPr="003C0842">
        <w:t xml:space="preserve">prywatne lub </w:t>
      </w:r>
      <w:r w:rsidRPr="003C0842">
        <w:t>tajne posiedzenia</w:t>
      </w:r>
      <w:r w:rsidR="008F6953" w:rsidRPr="003C0842">
        <w:rPr>
          <w:rStyle w:val="Odwoanieprzypisudolnego"/>
          <w:rFonts w:ascii="Times New Roman" w:hAnsi="Times New Roman"/>
          <w:sz w:val="24"/>
        </w:rPr>
        <w:footnoteReference w:id="256"/>
      </w:r>
      <w:r w:rsidR="00331FE5" w:rsidRPr="003C0842">
        <w:t>,</w:t>
      </w:r>
      <w:r w:rsidRPr="003C0842">
        <w:t xml:space="preserve"> w 1925 r. zwoływano czternaście razy, w tym pięć w grudniu</w:t>
      </w:r>
      <w:r w:rsidRPr="003C0842">
        <w:rPr>
          <w:rStyle w:val="Odwoanieprzypisudolnego"/>
          <w:rFonts w:ascii="Times New Roman" w:hAnsi="Times New Roman"/>
          <w:sz w:val="24"/>
        </w:rPr>
        <w:footnoteReference w:id="257"/>
      </w:r>
      <w:r w:rsidRPr="003C0842">
        <w:t>.</w:t>
      </w:r>
      <w:r w:rsidR="008D0127" w:rsidRPr="003C0842">
        <w:t xml:space="preserve"> Chociaż nie wszystkie koncentrowały się na szeroko rozumianym akcesie Niemiec do Ligi </w:t>
      </w:r>
      <w:r w:rsidR="00A8075A" w:rsidRPr="003C0842">
        <w:t>oraz debacie o</w:t>
      </w:r>
      <w:r w:rsidR="008D0127" w:rsidRPr="003C0842">
        <w:t xml:space="preserve"> składzie Rady, to jednak tematyka ta dominowała. </w:t>
      </w:r>
      <w:r w:rsidR="00A11D05" w:rsidRPr="003C0842">
        <w:t xml:space="preserve">Mimo różnorodnych pomysłów i kombinacji postępu nie było. </w:t>
      </w:r>
      <w:r w:rsidR="008D0127" w:rsidRPr="003C0842">
        <w:t>Formą nacisku na frondujących „średniaków” miało</w:t>
      </w:r>
      <w:r w:rsidR="00942133">
        <w:t xml:space="preserve"> </w:t>
      </w:r>
      <w:r w:rsidR="008D0127" w:rsidRPr="003C0842">
        <w:t xml:space="preserve">być </w:t>
      </w:r>
      <w:r w:rsidR="00A200B5" w:rsidRPr="003C0842">
        <w:t>odwołani</w:t>
      </w:r>
      <w:r w:rsidR="00E312B6" w:rsidRPr="003C0842">
        <w:t>e</w:t>
      </w:r>
      <w:r w:rsidR="00A200B5" w:rsidRPr="003C0842">
        <w:t xml:space="preserve"> się</w:t>
      </w:r>
      <w:r w:rsidR="00A615EC" w:rsidRPr="003C0842">
        <w:t xml:space="preserve"> – </w:t>
      </w:r>
      <w:r w:rsidR="00A200B5" w:rsidRPr="003C0842">
        <w:t>po raz pierwszy w dziejach Ligi</w:t>
      </w:r>
      <w:r w:rsidR="00A615EC" w:rsidRPr="003C0842">
        <w:t xml:space="preserve"> – </w:t>
      </w:r>
      <w:r w:rsidR="00A200B5" w:rsidRPr="003C0842">
        <w:t xml:space="preserve">do </w:t>
      </w:r>
      <w:r w:rsidR="008D0127" w:rsidRPr="003C0842">
        <w:t>woli ogółu członków przez</w:t>
      </w:r>
      <w:r w:rsidR="00942133">
        <w:t xml:space="preserve"> </w:t>
      </w:r>
      <w:r w:rsidR="008D0127" w:rsidRPr="003C0842">
        <w:t xml:space="preserve">zwołanie </w:t>
      </w:r>
      <w:r w:rsidR="00A200B5" w:rsidRPr="003C0842">
        <w:lastRenderedPageBreak/>
        <w:t xml:space="preserve">Zgromadzenia Nadzwyczajnego. </w:t>
      </w:r>
      <w:r w:rsidR="008D0127" w:rsidRPr="003C0842">
        <w:t>Nie pomniejszało to jednak ani wątpliwości</w:t>
      </w:r>
      <w:r w:rsidR="00210CDE" w:rsidRPr="003C0842">
        <w:t>,</w:t>
      </w:r>
      <w:r w:rsidR="008D0127" w:rsidRPr="003C0842">
        <w:t xml:space="preserve"> ani nie umniejszało determinacji, zwłaszcza ze strony Brazylii oraz Hiszpanii. Sekundowały im państwa niechętne do wyróżniającej</w:t>
      </w:r>
      <w:r w:rsidR="00210CDE" w:rsidRPr="003C0842">
        <w:t xml:space="preserve"> się</w:t>
      </w:r>
      <w:r w:rsidR="008D0127" w:rsidRPr="003C0842">
        <w:t xml:space="preserve">, dotąd nie stosowanej procedury </w:t>
      </w:r>
      <w:r w:rsidR="00E312B6" w:rsidRPr="003C0842">
        <w:t xml:space="preserve">w </w:t>
      </w:r>
      <w:r w:rsidR="00A11D05" w:rsidRPr="003C0842">
        <w:t>sprawie</w:t>
      </w:r>
      <w:r w:rsidR="008D0127" w:rsidRPr="003C0842">
        <w:t xml:space="preserve"> przyjęcia nowego członka do Ligi. </w:t>
      </w:r>
      <w:r w:rsidR="00E312B6" w:rsidRPr="003C0842">
        <w:t>W</w:t>
      </w:r>
      <w:r w:rsidR="00A200B5" w:rsidRPr="003C0842">
        <w:t xml:space="preserve"> zwykle bogatym i różnorodnym programie Zgromadzeń, tym razem </w:t>
      </w:r>
      <w:r w:rsidR="00E312B6" w:rsidRPr="003C0842">
        <w:t xml:space="preserve">widniał </w:t>
      </w:r>
      <w:r w:rsidR="00A200B5" w:rsidRPr="003C0842">
        <w:t>jed</w:t>
      </w:r>
      <w:r w:rsidR="00E312B6" w:rsidRPr="003C0842">
        <w:t>e</w:t>
      </w:r>
      <w:r w:rsidR="00A200B5" w:rsidRPr="003C0842">
        <w:t>n merytoryczn</w:t>
      </w:r>
      <w:r w:rsidR="00E312B6" w:rsidRPr="003C0842">
        <w:t>y</w:t>
      </w:r>
      <w:r w:rsidR="00A200B5" w:rsidRPr="003C0842">
        <w:t xml:space="preserve"> punkt</w:t>
      </w:r>
      <w:r w:rsidR="00164234" w:rsidRPr="003C0842">
        <w:t>–</w:t>
      </w:r>
      <w:r w:rsidR="00E312B6" w:rsidRPr="003C0842">
        <w:t xml:space="preserve"> rozpatrzenie</w:t>
      </w:r>
      <w:r w:rsidR="00A200B5" w:rsidRPr="003C0842">
        <w:t xml:space="preserve"> wniosk</w:t>
      </w:r>
      <w:r w:rsidR="00E312B6" w:rsidRPr="003C0842">
        <w:t>u</w:t>
      </w:r>
      <w:r w:rsidR="00A200B5" w:rsidRPr="003C0842">
        <w:t xml:space="preserve"> rząd</w:t>
      </w:r>
      <w:r w:rsidR="00E312B6" w:rsidRPr="003C0842">
        <w:t>u</w:t>
      </w:r>
      <w:r w:rsidR="00A200B5" w:rsidRPr="003C0842">
        <w:t xml:space="preserve"> niemiecki</w:t>
      </w:r>
      <w:r w:rsidR="00E312B6" w:rsidRPr="003C0842">
        <w:t>ego</w:t>
      </w:r>
      <w:r w:rsidR="00A200B5" w:rsidRPr="003C0842">
        <w:t xml:space="preserve"> z 8 lutego 1926 r.</w:t>
      </w:r>
      <w:r w:rsidR="00E312B6" w:rsidRPr="003C0842">
        <w:t xml:space="preserve"> dotyczącego wstąpienia do Ligi.</w:t>
      </w:r>
      <w:r w:rsidR="00A200B5" w:rsidRPr="003C0842">
        <w:t xml:space="preserve"> Do prośby </w:t>
      </w:r>
      <w:r w:rsidR="00210CDE" w:rsidRPr="003C0842">
        <w:t>tej, zredagowanej w języku</w:t>
      </w:r>
      <w:r w:rsidR="00E312B6" w:rsidRPr="003C0842">
        <w:t xml:space="preserve"> niemieckim</w:t>
      </w:r>
      <w:r w:rsidR="001566B2" w:rsidRPr="003C0842">
        <w:t xml:space="preserve">nadawcy </w:t>
      </w:r>
      <w:r w:rsidR="00A200B5" w:rsidRPr="003C0842">
        <w:t>dołącz</w:t>
      </w:r>
      <w:r w:rsidR="001566B2" w:rsidRPr="003C0842">
        <w:t>yli</w:t>
      </w:r>
      <w:r w:rsidR="00A200B5" w:rsidRPr="003C0842">
        <w:t xml:space="preserve"> kopię listu sygnatariuszy porozumień lokarneńskich, skierowanego do min. Stresemanna w sprawie interpretacji art. 16 Paktu</w:t>
      </w:r>
      <w:r w:rsidR="00A200B5" w:rsidRPr="003C0842">
        <w:rPr>
          <w:rStyle w:val="Odwoanieprzypisudolnego"/>
          <w:rFonts w:ascii="Times New Roman" w:hAnsi="Times New Roman"/>
          <w:sz w:val="24"/>
        </w:rPr>
        <w:footnoteReference w:id="258"/>
      </w:r>
      <w:r w:rsidR="00A200B5" w:rsidRPr="003C0842">
        <w:t xml:space="preserve">. </w:t>
      </w:r>
      <w:r w:rsidR="00E308FE" w:rsidRPr="003C0842">
        <w:t>Rada Ligi, pośpiesznie z</w:t>
      </w:r>
      <w:r w:rsidR="00A200B5" w:rsidRPr="003C0842">
        <w:t>wołana do Genewy na 12 lutego,</w:t>
      </w:r>
      <w:r w:rsidR="00E308FE" w:rsidRPr="003C0842">
        <w:t xml:space="preserve"> miała nietypowy skład – dominowali ambasadorzy, głównie z Berna, gdzie także działał</w:t>
      </w:r>
      <w:r w:rsidR="00A11D05" w:rsidRPr="003C0842">
        <w:t xml:space="preserve"> jej włoski przewodniczący</w:t>
      </w:r>
      <w:r w:rsidR="00E308FE" w:rsidRPr="003C0842">
        <w:t xml:space="preserve"> Carlo Garbasso</w:t>
      </w:r>
      <w:r w:rsidR="00E312B6" w:rsidRPr="003C0842">
        <w:t>, którego kompetencje rozciągały się na czas między sesjami</w:t>
      </w:r>
      <w:r w:rsidR="00E308FE" w:rsidRPr="003C0842">
        <w:t xml:space="preserve">. </w:t>
      </w:r>
      <w:r w:rsidR="00E312B6" w:rsidRPr="003C0842">
        <w:t>T</w:t>
      </w:r>
      <w:r w:rsidR="00A200B5" w:rsidRPr="003C0842">
        <w:t>ermin Nadzwyczajnego Zgromadzenia</w:t>
      </w:r>
      <w:r w:rsidR="00E312B6" w:rsidRPr="003C0842">
        <w:t xml:space="preserve"> został wyznaczony na 8 marca</w:t>
      </w:r>
      <w:r w:rsidR="00A200B5" w:rsidRPr="003C0842">
        <w:t xml:space="preserve">. </w:t>
      </w:r>
    </w:p>
    <w:p w:rsidR="00A200B5" w:rsidRPr="003C0842" w:rsidRDefault="00A200B5" w:rsidP="00111348">
      <w:pPr>
        <w:spacing w:line="360" w:lineRule="auto"/>
      </w:pPr>
      <w:r w:rsidRPr="003C0842">
        <w:t xml:space="preserve">Zamysł „lokarneńczyków” ograniczenia porządku obrad jedynie do akcesji Niemiec </w:t>
      </w:r>
      <w:r w:rsidR="00210CDE" w:rsidRPr="003C0842">
        <w:t>nie powiódł się</w:t>
      </w:r>
      <w:r w:rsidRPr="003C0842">
        <w:t>. Formuła ograniczająca program do „przyjęcia Niemiec” mogła skutkować utrąceniem dyskusji o zmianach w składzie Rady jako wykraczające</w:t>
      </w:r>
      <w:r w:rsidR="00BF20C1" w:rsidRPr="003C0842">
        <w:t>j</w:t>
      </w:r>
      <w:r w:rsidRPr="003C0842">
        <w:t xml:space="preserve"> poza program. Zwrócił na to uwagę pr</w:t>
      </w:r>
      <w:r w:rsidR="002E3BD5" w:rsidRPr="003C0842">
        <w:t>zedstawiciel Brazylii Afranio de</w:t>
      </w:r>
      <w:r w:rsidRPr="003C0842">
        <w:t xml:space="preserve"> MelloFranco, który </w:t>
      </w:r>
      <w:r w:rsidR="00BF20C1" w:rsidRPr="003C0842">
        <w:t>wskazał</w:t>
      </w:r>
      <w:r w:rsidRPr="003C0842">
        <w:t>, że art. 4 zawiera dwa człony: (1</w:t>
      </w:r>
      <w:r w:rsidR="00794B51" w:rsidRPr="003C0842">
        <w:t>)</w:t>
      </w:r>
      <w:r w:rsidRPr="003C0842">
        <w:t xml:space="preserve"> powiększenie składu Rady o stałych oraz (2) niestałych członków. Zmiany te powinny być traktowane łącznie. Do programu Nadzwyczajnego Zgromadzenia</w:t>
      </w:r>
      <w:r w:rsidR="00B07176" w:rsidRPr="003C0842">
        <w:t xml:space="preserve"> z powołaniem się na </w:t>
      </w:r>
      <w:r w:rsidRPr="003C0842">
        <w:t xml:space="preserve">art. </w:t>
      </w:r>
      <w:r w:rsidR="00B07176" w:rsidRPr="003C0842">
        <w:t xml:space="preserve">4 Paktu wprowadzono </w:t>
      </w:r>
      <w:r w:rsidR="002E3BD5" w:rsidRPr="003C0842">
        <w:t xml:space="preserve">więc </w:t>
      </w:r>
      <w:r w:rsidR="00B07176" w:rsidRPr="003C0842">
        <w:t xml:space="preserve">dwa dodatkowe </w:t>
      </w:r>
      <w:r w:rsidRPr="003C0842">
        <w:t>punkty: informacja o pracach jury architektów rozważających plany budowy nowej siedziby Ligi oraz uzupełnienia budżetowe.</w:t>
      </w:r>
      <w:r w:rsidR="00BF20C1" w:rsidRPr="003C0842">
        <w:t xml:space="preserve"> Ich obecność w programie Nadzwyczajnego Z</w:t>
      </w:r>
      <w:r w:rsidR="00B07176" w:rsidRPr="003C0842">
        <w:t>gromadzenia wzbudziła kpiny środowisk Lidze niechętnych.</w:t>
      </w:r>
    </w:p>
    <w:p w:rsidR="00A200B5" w:rsidRPr="003C0842" w:rsidRDefault="00A200B5" w:rsidP="00111348">
      <w:pPr>
        <w:spacing w:line="360" w:lineRule="auto"/>
      </w:pPr>
      <w:r w:rsidRPr="003C0842">
        <w:t>Nadzwyczajna procedura przewidziana dla wprowadzenia Niemiec do Ligi była próbą narzucenia ówczesnym stosunkom międzynarodowym „standardu lokarneńskiego”. Można go sprowadzić do próby zabezpieczenia przez trzy mocarstwa wiodącej roli w Europie. T</w:t>
      </w:r>
      <w:r w:rsidR="00B07176" w:rsidRPr="003C0842">
        <w:t>endencja ta</w:t>
      </w:r>
      <w:r w:rsidR="001566B2" w:rsidRPr="003C0842">
        <w:t>,</w:t>
      </w:r>
      <w:r w:rsidRPr="003C0842">
        <w:t xml:space="preserve"> ani nowa, </w:t>
      </w:r>
      <w:r w:rsidR="00210CDE" w:rsidRPr="003C0842">
        <w:t>ani</w:t>
      </w:r>
      <w:r w:rsidRPr="003C0842">
        <w:t xml:space="preserve"> oryginalna</w:t>
      </w:r>
      <w:r w:rsidR="00B07176" w:rsidRPr="003C0842">
        <w:t>,</w:t>
      </w:r>
      <w:r w:rsidRPr="003C0842">
        <w:t xml:space="preserve"> burzyła fundamenty ligowe oparte na odmiennej filozofii. Sprzeciwiali się jej teoretycy powodowani pobudkami ideowymi i wzniosłymi celami otaczającymi Genewę z jej </w:t>
      </w:r>
      <w:r w:rsidR="001566B2" w:rsidRPr="003C0842">
        <w:t xml:space="preserve">różnymi </w:t>
      </w:r>
      <w:r w:rsidRPr="003C0842">
        <w:t>instytucjami</w:t>
      </w:r>
      <w:r w:rsidR="001566B2" w:rsidRPr="003C0842">
        <w:t xml:space="preserve"> i organizacjami</w:t>
      </w:r>
      <w:r w:rsidRPr="003C0842">
        <w:t xml:space="preserve"> nastawionymi na</w:t>
      </w:r>
      <w:r w:rsidR="001566B2" w:rsidRPr="003C0842">
        <w:t xml:space="preserve"> obronę</w:t>
      </w:r>
      <w:r w:rsidRPr="003C0842">
        <w:t xml:space="preserve"> pok</w:t>
      </w:r>
      <w:r w:rsidR="001566B2" w:rsidRPr="003C0842">
        <w:t>oju</w:t>
      </w:r>
      <w:r w:rsidRPr="003C0842">
        <w:t>, współpracę i kompromis. Kryty</w:t>
      </w:r>
      <w:r w:rsidR="00B07176" w:rsidRPr="003C0842">
        <w:t>kowano</w:t>
      </w:r>
      <w:r w:rsidRPr="003C0842">
        <w:t xml:space="preserve"> też stanowcze</w:t>
      </w:r>
      <w:r w:rsidR="00B07176" w:rsidRPr="003C0842">
        <w:t xml:space="preserve"> słowa i ogólną tonację</w:t>
      </w:r>
      <w:r w:rsidRPr="003C0842">
        <w:t xml:space="preserve"> rządu niemieckiego</w:t>
      </w:r>
      <w:r w:rsidR="00BF20C1" w:rsidRPr="003C0842">
        <w:t>,</w:t>
      </w:r>
      <w:r w:rsidRPr="003C0842">
        <w:t xml:space="preserve"> a priori odrzucającego wszelkie inne rozwiązania niż </w:t>
      </w:r>
      <w:r w:rsidR="00B07176" w:rsidRPr="003C0842">
        <w:t>swoje,</w:t>
      </w:r>
      <w:r w:rsidRPr="003C0842">
        <w:t xml:space="preserve"> stałe miejsce w Radzie. Silnie w dyskusję wmontowana prasa, nie stroniąca od publikacji „sponsorowanych”</w:t>
      </w:r>
      <w:r w:rsidR="00B07176" w:rsidRPr="003C0842">
        <w:t>,</w:t>
      </w:r>
      <w:r w:rsidRPr="003C0842">
        <w:t xml:space="preserve"> rozgłaszała poglądy i argumenty jednostronnie oceniające sytuację. </w:t>
      </w:r>
      <w:r w:rsidR="00B07176" w:rsidRPr="003C0842">
        <w:lastRenderedPageBreak/>
        <w:t>B</w:t>
      </w:r>
      <w:r w:rsidRPr="003C0842">
        <w:t xml:space="preserve">rzmiały </w:t>
      </w:r>
      <w:r w:rsidR="00B07176" w:rsidRPr="003C0842">
        <w:t>zwykle</w:t>
      </w:r>
      <w:r w:rsidRPr="003C0842">
        <w:t xml:space="preserve"> przekonująco, zgodnie z uniwersalną zasadą subiektywnej oceny racji własnych. Krytycznie sformułowane uogólnienia odnoszono do innych, kiedy pisano, że żaden z członków Ligi nie może w żadnym razie uzurpować sobie prawa do narzucania sw</w:t>
      </w:r>
      <w:r w:rsidR="001566B2" w:rsidRPr="003C0842">
        <w:t>oj</w:t>
      </w:r>
      <w:r w:rsidRPr="003C0842">
        <w:t>ej woli Radzie lub grożenia, że w razie nieuwzględnienia jego życzeniaopuści Genewę.</w:t>
      </w:r>
    </w:p>
    <w:p w:rsidR="00A200B5" w:rsidRPr="003C0842" w:rsidRDefault="00A200B5" w:rsidP="00111348">
      <w:pPr>
        <w:spacing w:line="360" w:lineRule="auto"/>
      </w:pPr>
      <w:r w:rsidRPr="003C0842">
        <w:t xml:space="preserve">W gęstniejącym zamieszaniu, </w:t>
      </w:r>
      <w:r w:rsidR="00B2678C" w:rsidRPr="003C0842">
        <w:t xml:space="preserve">któremu towarzyszyło </w:t>
      </w:r>
      <w:r w:rsidRPr="003C0842">
        <w:t>spor</w:t>
      </w:r>
      <w:r w:rsidR="00B2678C" w:rsidRPr="003C0842">
        <w:t>e zaangażowanie</w:t>
      </w:r>
      <w:r w:rsidRPr="003C0842">
        <w:t xml:space="preserve"> społecz</w:t>
      </w:r>
      <w:r w:rsidR="00B2678C" w:rsidRPr="003C0842">
        <w:t>ne z</w:t>
      </w:r>
      <w:r w:rsidRPr="003C0842">
        <w:t xml:space="preserve"> kilkunastu państw</w:t>
      </w:r>
      <w:r w:rsidR="00B2678C" w:rsidRPr="003C0842">
        <w:t>,</w:t>
      </w:r>
      <w:r w:rsidRPr="003C0842">
        <w:t xml:space="preserve"> ujawniały się i nabrzmiewały różne ambicje podsycane nadzieją na osiągnięcie jakichś korzyści, nowych konfiguracji </w:t>
      </w:r>
      <w:r w:rsidR="00B2678C" w:rsidRPr="003C0842">
        <w:t>międzynarodowych</w:t>
      </w:r>
      <w:r w:rsidRPr="003C0842">
        <w:t xml:space="preserve">, a także osobistych sukcesów. Argumentacja wewnętrzna </w:t>
      </w:r>
      <w:r w:rsidR="00B2678C" w:rsidRPr="003C0842">
        <w:t>przenikała</w:t>
      </w:r>
      <w:r w:rsidRPr="003C0842">
        <w:t xml:space="preserve"> do </w:t>
      </w:r>
      <w:r w:rsidR="00B2678C" w:rsidRPr="003C0842">
        <w:t>powszechnego obiegu</w:t>
      </w:r>
      <w:r w:rsidRPr="003C0842">
        <w:t xml:space="preserve">, gdzie zderzała się z podobną, </w:t>
      </w:r>
      <w:r w:rsidR="00B2678C" w:rsidRPr="003C0842">
        <w:t xml:space="preserve">zdominowaną </w:t>
      </w:r>
      <w:r w:rsidR="00A8075A" w:rsidRPr="003C0842">
        <w:t>także egoistycznym</w:t>
      </w:r>
      <w:r w:rsidRPr="003C0842">
        <w:t xml:space="preserve"> punkt</w:t>
      </w:r>
      <w:r w:rsidR="00B2678C" w:rsidRPr="003C0842">
        <w:t>em</w:t>
      </w:r>
      <w:r w:rsidRPr="003C0842">
        <w:t xml:space="preserve"> widzenia. Towarzyszyła im świadomość, że powiększenie stałych miejsc w Radzie także o Brazylię, Chiny, Hiszpanię i Polskę (pomijając</w:t>
      </w:r>
      <w:r w:rsidR="00B2678C" w:rsidRPr="003C0842">
        <w:t xml:space="preserve"> także pojawiające się </w:t>
      </w:r>
      <w:r w:rsidRPr="003C0842">
        <w:t xml:space="preserve">głosy </w:t>
      </w:r>
      <w:r w:rsidR="00B2678C" w:rsidRPr="003C0842">
        <w:t>dotyczące</w:t>
      </w:r>
      <w:r w:rsidRPr="003C0842">
        <w:t xml:space="preserve"> Belgii </w:t>
      </w:r>
      <w:r w:rsidR="00B2678C" w:rsidRPr="003C0842">
        <w:t xml:space="preserve">i </w:t>
      </w:r>
      <w:r w:rsidRPr="003C0842">
        <w:t>Portugalii) nie mogło wchodzić w grę. Odrzucały tę możliwość n</w:t>
      </w:r>
      <w:r w:rsidR="00B2678C" w:rsidRPr="003C0842">
        <w:t xml:space="preserve">ie tylko Niemcy, ale także nie </w:t>
      </w:r>
      <w:r w:rsidRPr="003C0842">
        <w:t>godzili się na taką „rewolucję” pozostali członkowie Ligi, którzy dysponowali tajnie odda</w:t>
      </w:r>
      <w:r w:rsidR="00B2678C" w:rsidRPr="003C0842">
        <w:t>wa</w:t>
      </w:r>
      <w:r w:rsidRPr="003C0842">
        <w:t>nym głosom w Zgromadzeniu. Zarysowany na tym tle kryzys wywołany został arogancją mocarstw lokarneńskich, które powzięły decyzję o zwołaniu Nadzwyczajnego Zgromadzenia</w:t>
      </w:r>
      <w:r w:rsidR="00A3118F" w:rsidRPr="003C0842">
        <w:t>,</w:t>
      </w:r>
      <w:r w:rsidRPr="003C0842">
        <w:t xml:space="preserve"> nie bacząc na to, że wiele zasadniczych spraw było nadal dyskutowanych, a naciski dyplomatyczne nie rokowały dobrze. Rządy Brazylii i Hiszpanii podtrzymywały</w:t>
      </w:r>
      <w:r w:rsidR="00B2678C" w:rsidRPr="003C0842">
        <w:t xml:space="preserve"> i akcentowały</w:t>
      </w:r>
      <w:r w:rsidRPr="003C0842">
        <w:t xml:space="preserve"> stanowisko, że jako członkowie Rady nie będą głosowali za przyznaniem Niemcom stałego miejsca, jeśli </w:t>
      </w:r>
      <w:r w:rsidR="00B2678C" w:rsidRPr="003C0842">
        <w:t xml:space="preserve">analogiczny status </w:t>
      </w:r>
      <w:r w:rsidRPr="003C0842">
        <w:t xml:space="preserve">nie zostanie </w:t>
      </w:r>
      <w:r w:rsidR="00625A44" w:rsidRPr="003C0842">
        <w:t xml:space="preserve">także im </w:t>
      </w:r>
      <w:r w:rsidRPr="003C0842">
        <w:t>przyznany</w:t>
      </w:r>
      <w:r w:rsidRPr="003C0842">
        <w:rPr>
          <w:rStyle w:val="Odwoanieprzypisudolnego"/>
          <w:rFonts w:ascii="Times New Roman" w:hAnsi="Times New Roman"/>
          <w:sz w:val="24"/>
        </w:rPr>
        <w:footnoteReference w:id="259"/>
      </w:r>
      <w:r w:rsidRPr="003C0842">
        <w:t>. Racje obu państw starał się przebić min</w:t>
      </w:r>
      <w:r w:rsidR="00A3118F" w:rsidRPr="003C0842">
        <w:t>.</w:t>
      </w:r>
      <w:r w:rsidRPr="003C0842">
        <w:t xml:space="preserve"> Aleksander Skrzyński</w:t>
      </w:r>
      <w:r w:rsidR="00A3118F" w:rsidRPr="003C0842">
        <w:t>,</w:t>
      </w:r>
      <w:r w:rsidRPr="003C0842">
        <w:t xml:space="preserve"> nakazując posłom w Londynie</w:t>
      </w:r>
      <w:r w:rsidR="00A3118F" w:rsidRPr="003C0842">
        <w:t>,</w:t>
      </w:r>
      <w:r w:rsidRPr="003C0842">
        <w:t xml:space="preserve"> aby twierdzili, że miejsce stałe należy się również Polsce „z motywów znacznie poważniejszych niż te, którymi rozporządzają Hiszpania i Brazylia”</w:t>
      </w:r>
      <w:r w:rsidRPr="003C0842">
        <w:rPr>
          <w:rStyle w:val="Odwoanieprzypisudolnego"/>
          <w:rFonts w:ascii="Times New Roman" w:hAnsi="Times New Roman"/>
          <w:sz w:val="24"/>
        </w:rPr>
        <w:footnoteReference w:id="260"/>
      </w:r>
      <w:r w:rsidRPr="003C0842">
        <w:t>.</w:t>
      </w:r>
    </w:p>
    <w:p w:rsidR="00A200B5" w:rsidRPr="003C0842" w:rsidRDefault="00A200B5" w:rsidP="00111348">
      <w:pPr>
        <w:spacing w:line="360" w:lineRule="auto"/>
      </w:pPr>
      <w:r w:rsidRPr="003C0842">
        <w:t xml:space="preserve">Opinii tej nie podzielało wielu. Forpocztą antypolskiej kampanii był rząd litewski, który przy każdej, także takiej okazji przypominał o polskim imperializmie i wiarołomstwie, o istniejącym stanie wojny z powodu </w:t>
      </w:r>
      <w:r w:rsidR="00A3118F" w:rsidRPr="003C0842">
        <w:t>z</w:t>
      </w:r>
      <w:r w:rsidRPr="003C0842">
        <w:t xml:space="preserve">iemi </w:t>
      </w:r>
      <w:r w:rsidR="00A3118F" w:rsidRPr="003C0842">
        <w:t>w</w:t>
      </w:r>
      <w:r w:rsidRPr="003C0842">
        <w:t>ileńskiej</w:t>
      </w:r>
      <w:r w:rsidRPr="003C0842">
        <w:rPr>
          <w:rStyle w:val="Odwoanieprzypisudolnego"/>
          <w:rFonts w:ascii="Times New Roman" w:hAnsi="Times New Roman"/>
          <w:sz w:val="24"/>
        </w:rPr>
        <w:footnoteReference w:id="261"/>
      </w:r>
      <w:r w:rsidRPr="003C0842">
        <w:t xml:space="preserve">. Co najmniej niechętnie do planów rządu polskiego podchodziła Czechosłowacja, która z racji wzajemnych pretensji terytorialnych oraz rywalizacji w obrębie obozu francuskiego nie mogła życzyć Polsce sukcesu. Wybitna pozycja zajmowana w Genewie przez Edwarda Benesza nakazywała mu działania na rzecz porozumienia, ale nie sięgało ono poziomu stałego miejsca Polski w Radzie. Nie wysuwając się do przodu ze zrozumieniem przyjmował niemieckie zastrzeżenia, </w:t>
      </w:r>
      <w:r w:rsidRPr="003C0842">
        <w:lastRenderedPageBreak/>
        <w:t>które ześrodkowały się na dezawuowaniu i zwalczaniu kandydatury Polski</w:t>
      </w:r>
      <w:r w:rsidRPr="003C0842">
        <w:rPr>
          <w:rStyle w:val="Odwoanieprzypisudolnego"/>
          <w:rFonts w:ascii="Times New Roman" w:hAnsi="Times New Roman"/>
          <w:sz w:val="24"/>
        </w:rPr>
        <w:footnoteReference w:id="262"/>
      </w:r>
      <w:r w:rsidRPr="003C0842">
        <w:t xml:space="preserve">. Zdecydowanie mniejszą uwagę przywiązywano w Niemczech do pozostałych kandydatów. Uwypuklało to pierwszorzędną rolę Polski w niemieckich planach rewizjonistycznych oraz nadziei, że mimo </w:t>
      </w:r>
      <w:r w:rsidR="00625A44" w:rsidRPr="003C0842">
        <w:t>licznych</w:t>
      </w:r>
      <w:r w:rsidR="00BF20C1" w:rsidRPr="003C0842">
        <w:t>, w tym zwłaszcza prawnych i proceduralnych</w:t>
      </w:r>
      <w:r w:rsidR="00625A44" w:rsidRPr="003C0842">
        <w:t xml:space="preserve"> wątpliwości</w:t>
      </w:r>
      <w:r w:rsidR="00BF20C1" w:rsidRPr="003C0842">
        <w:t>,</w:t>
      </w:r>
      <w:r w:rsidRPr="003C0842">
        <w:t>Rada Ligi może być przydatnym instrumentem dla realizacji takich zamierzeń.</w:t>
      </w:r>
    </w:p>
    <w:p w:rsidR="00BF20C1" w:rsidRPr="003C0842" w:rsidRDefault="00A200B5" w:rsidP="00111348">
      <w:pPr>
        <w:spacing w:line="360" w:lineRule="auto"/>
      </w:pPr>
      <w:r w:rsidRPr="003C0842">
        <w:t>Im bliżej 8 marca, inauguracyjne</w:t>
      </w:r>
      <w:r w:rsidR="00625A44" w:rsidRPr="003C0842">
        <w:t>j sesji</w:t>
      </w:r>
      <w:r w:rsidRPr="003C0842">
        <w:t xml:space="preserve"> Nadzwyczajnego Zgromadzenia, tym pilniej wyglądano sygnałów świadczących o jakimś kompromisie. Sytuację pogarszały kłopoty Aristida Brianda, jednego z głównych „graczy lokarneńskich”, którego rząd upadł 6 marca, z powodu negatywnego głosowania parlamentu w sprawach gospodarczych. Osłabiło to pozycję nie tylko Brianda, ale Francji w ogóle</w:t>
      </w:r>
      <w:r w:rsidR="00625A44" w:rsidRPr="003C0842">
        <w:t>. S</w:t>
      </w:r>
      <w:r w:rsidRPr="003C0842">
        <w:t>koro jej parlamentarzyści przed ważnym dla kraju i Europy wydarzeniem obalają rząd</w:t>
      </w:r>
      <w:r w:rsidR="00625A44" w:rsidRPr="003C0842">
        <w:t xml:space="preserve">, to i </w:t>
      </w:r>
      <w:r w:rsidRPr="003C0842">
        <w:t>dyskusja</w:t>
      </w:r>
      <w:r w:rsidR="00164234" w:rsidRPr="003C0842">
        <w:t>–</w:t>
      </w:r>
      <w:r w:rsidR="00BF20C1" w:rsidRPr="003C0842">
        <w:t xml:space="preserve">wskazująca na </w:t>
      </w:r>
      <w:r w:rsidRPr="003C0842">
        <w:t xml:space="preserve">Locarno </w:t>
      </w:r>
      <w:r w:rsidR="00625A44" w:rsidRPr="003C0842">
        <w:t>jako</w:t>
      </w:r>
      <w:r w:rsidRPr="003C0842">
        <w:t xml:space="preserve"> wielki sukces Francji</w:t>
      </w:r>
      <w:r w:rsidR="00164234" w:rsidRPr="003C0842">
        <w:t>–</w:t>
      </w:r>
      <w:r w:rsidR="00625A44" w:rsidRPr="003C0842">
        <w:t xml:space="preserve">nie </w:t>
      </w:r>
      <w:r w:rsidR="00837B86" w:rsidRPr="003C0842">
        <w:t>była przekonująca.</w:t>
      </w:r>
      <w:r w:rsidRPr="003C0842">
        <w:t xml:space="preserve"> W obliczu trudności grożących „zawaleniem się” całej konstrukcji</w:t>
      </w:r>
      <w:r w:rsidR="00B9485D" w:rsidRPr="003C0842">
        <w:t>,</w:t>
      </w:r>
      <w:r w:rsidRPr="003C0842">
        <w:t xml:space="preserve"> parlamentarzyści francuscy</w:t>
      </w:r>
      <w:r w:rsidR="00837B86" w:rsidRPr="003C0842">
        <w:t>,</w:t>
      </w:r>
      <w:r w:rsidRPr="003C0842">
        <w:t xml:space="preserve"> nie pierwszy raz w tych latach</w:t>
      </w:r>
      <w:r w:rsidR="00837B86" w:rsidRPr="003C0842">
        <w:t>,</w:t>
      </w:r>
      <w:r w:rsidRPr="003C0842">
        <w:t>ujawnili krótkowzroczn</w:t>
      </w:r>
      <w:r w:rsidR="00837B86" w:rsidRPr="003C0842">
        <w:t>e przywiązanie do partykularyzmu.</w:t>
      </w:r>
      <w:r w:rsidRPr="003C0842">
        <w:t>Kilka dni później powstał nowy rząd</w:t>
      </w:r>
      <w:r w:rsidR="00A615EC" w:rsidRPr="003C0842">
        <w:t xml:space="preserve"> – </w:t>
      </w:r>
      <w:r w:rsidRPr="003C0842">
        <w:t xml:space="preserve">także kilkumiesięczny, w którym Briand po raz dziewiąty został premierem i ministrem spraw zagranicznych. Lepszego ministra we Francji nie było skoro Briand był nim w kolejnych 12 gabinetach, aż do początku 1932 r. </w:t>
      </w:r>
    </w:p>
    <w:p w:rsidR="00A200B5" w:rsidRPr="003C0842" w:rsidRDefault="00A200B5" w:rsidP="00111348">
      <w:pPr>
        <w:spacing w:line="360" w:lineRule="auto"/>
      </w:pPr>
      <w:r w:rsidRPr="003C0842">
        <w:t>Przez całe te lata Locarno było ukochanym dzieckiem</w:t>
      </w:r>
      <w:r w:rsidR="00BF20C1" w:rsidRPr="003C0842">
        <w:t xml:space="preserve"> Brianda,</w:t>
      </w:r>
      <w:r w:rsidRPr="003C0842">
        <w:t xml:space="preserve"> zasługującym na opiekę, ochronę i obronę. Wiel</w:t>
      </w:r>
      <w:r w:rsidR="00A3118F" w:rsidRPr="003C0842">
        <w:t>e</w:t>
      </w:r>
      <w:r w:rsidRPr="003C0842">
        <w:t>kroć dawał tego dowody, także w dramatycznych dniach Nadzwyczajnego Zgromadzenia. W przeddzień jego otwarcia, chociaż była to niedziela konferował najpierw z Chamberlainem, a po południu z pozostałymi „głównymi” uczestnikami porozumień lokarneńskich</w:t>
      </w:r>
      <w:r w:rsidR="00A615EC" w:rsidRPr="003C0842">
        <w:t xml:space="preserve"> – </w:t>
      </w:r>
      <w:r w:rsidRPr="003C0842">
        <w:t>Emilem Vandervelde</w:t>
      </w:r>
      <w:r w:rsidR="00A3118F" w:rsidRPr="003C0842">
        <w:t>m</w:t>
      </w:r>
      <w:r w:rsidRPr="003C0842">
        <w:t xml:space="preserve"> z Belgii, Vittorio </w:t>
      </w:r>
      <w:r w:rsidR="00B9485D" w:rsidRPr="003C0842">
        <w:t>S</w:t>
      </w:r>
      <w:r w:rsidRPr="003C0842">
        <w:t>cia</w:t>
      </w:r>
      <w:r w:rsidR="00A8075A" w:rsidRPr="003C0842">
        <w:t>l</w:t>
      </w:r>
      <w:r w:rsidRPr="003C0842">
        <w:t>o</w:t>
      </w:r>
      <w:r w:rsidR="00A8075A" w:rsidRPr="003C0842">
        <w:t>j</w:t>
      </w:r>
      <w:r w:rsidRPr="003C0842">
        <w:t>ą z Włoch oraz kanclerzem i ministrem z Niemiec</w:t>
      </w:r>
      <w:r w:rsidR="00A615EC" w:rsidRPr="003C0842">
        <w:t xml:space="preserve"> – </w:t>
      </w:r>
      <w:r w:rsidR="00F85176" w:rsidRPr="003C0842">
        <w:t xml:space="preserve">Hansem </w:t>
      </w:r>
      <w:r w:rsidRPr="003C0842">
        <w:t>Luth</w:t>
      </w:r>
      <w:r w:rsidR="00F85176" w:rsidRPr="003C0842">
        <w:t>e</w:t>
      </w:r>
      <w:r w:rsidRPr="003C0842">
        <w:t xml:space="preserve">rem i Stresemannem. </w:t>
      </w:r>
      <w:r w:rsidR="007C1CB0" w:rsidRPr="003C0842">
        <w:t xml:space="preserve">Oczekiwanie </w:t>
      </w:r>
      <w:r w:rsidRPr="003C0842">
        <w:t>na zelżenie stanow</w:t>
      </w:r>
      <w:r w:rsidR="007C1CB0" w:rsidRPr="003C0842">
        <w:t>czego stanowiska Niemiec okazało</w:t>
      </w:r>
      <w:r w:rsidR="00A8075A" w:rsidRPr="003C0842">
        <w:t xml:space="preserve"> się</w:t>
      </w:r>
      <w:r w:rsidR="007C1CB0" w:rsidRPr="003C0842">
        <w:t>płonne</w:t>
      </w:r>
      <w:r w:rsidRPr="003C0842">
        <w:t>. Skłonność do poparcia ich oczekiwań zademonstrował natomiast Chamberlain</w:t>
      </w:r>
      <w:r w:rsidR="00837B86" w:rsidRPr="003C0842">
        <w:t>,</w:t>
      </w:r>
      <w:r w:rsidRPr="003C0842">
        <w:t xml:space="preserve"> nie bardzo przekonany zwłaszcza do polskich racji</w:t>
      </w:r>
      <w:r w:rsidR="00837B86" w:rsidRPr="003C0842">
        <w:t>. Wspierała go rezolucja Komitetu Wykonawczego wpływowej League of Nation Union, przeciwnej polskim staraniom</w:t>
      </w:r>
      <w:r w:rsidRPr="003C0842">
        <w:rPr>
          <w:rStyle w:val="Odwoanieprzypisudolnego"/>
          <w:rFonts w:ascii="Times New Roman" w:hAnsi="Times New Roman"/>
          <w:sz w:val="24"/>
        </w:rPr>
        <w:footnoteReference w:id="263"/>
      </w:r>
      <w:r w:rsidRPr="003C0842">
        <w:t>.</w:t>
      </w:r>
    </w:p>
    <w:p w:rsidR="00A3118F" w:rsidRPr="003C0842" w:rsidRDefault="00A200B5" w:rsidP="00111348">
      <w:pPr>
        <w:spacing w:line="360" w:lineRule="auto"/>
      </w:pPr>
      <w:r w:rsidRPr="003C0842">
        <w:t>Przedstawiciele 48 państw, które były reprezentowane podczas Nadzwyczajnego Zgromadzenia, w tym 5 premierów (Austrii, Francji, Luksemburga, Polski i Węgier) i 12 ministrów spraw zagranicznych</w:t>
      </w:r>
      <w:r w:rsidR="00837B86" w:rsidRPr="003C0842">
        <w:t>,</w:t>
      </w:r>
      <w:r w:rsidR="001545E2" w:rsidRPr="003C0842">
        <w:t xml:space="preserve">podlegali silnej presji. </w:t>
      </w:r>
      <w:r w:rsidR="007C1CB0" w:rsidRPr="003C0842">
        <w:t>Wiadomo, że n</w:t>
      </w:r>
      <w:r w:rsidR="00D33A2D" w:rsidRPr="003C0842">
        <w:t>a</w:t>
      </w:r>
      <w:r w:rsidR="002E3BD5" w:rsidRPr="003C0842">
        <w:t xml:space="preserve">rastała </w:t>
      </w:r>
      <w:r w:rsidR="007C1CB0" w:rsidRPr="003C0842">
        <w:t xml:space="preserve">ona </w:t>
      </w:r>
      <w:r w:rsidR="002E3BD5" w:rsidRPr="003C0842">
        <w:t xml:space="preserve">stopniowo </w:t>
      </w:r>
      <w:r w:rsidR="00164234" w:rsidRPr="003C0842">
        <w:t>–</w:t>
      </w:r>
      <w:r w:rsidR="00D33A2D" w:rsidRPr="003C0842">
        <w:t xml:space="preserve"> od złożenia przez Niemcy wniosku. To wówczas Manchester Guardian 10 lutego 1926 r. pisał: </w:t>
      </w:r>
      <w:r w:rsidR="00900BE3" w:rsidRPr="001E5F63">
        <w:t>„</w:t>
      </w:r>
      <w:r w:rsidR="00D33A2D" w:rsidRPr="001E5F63">
        <w:t xml:space="preserve">Oficjalny wniosek o przystąpienie Niemiec do Ligi Narodów, jest być może </w:t>
      </w:r>
      <w:r w:rsidR="00D33A2D" w:rsidRPr="001E5F63">
        <w:lastRenderedPageBreak/>
        <w:t>najważniejszym punktem w polityce międzynarodowej od czasu wojny. To jest jedna z tych spraw, których natychmiastowe konsekwencje są prawdopodobnie niewielkie i niewyczuwalne, ale ich ostatecznego znaczenia nie da się przecenić, bo ma silę zmieniania biegu historii.</w:t>
      </w:r>
      <w:r w:rsidR="00A3118F" w:rsidRPr="001E5F63">
        <w:t xml:space="preserve"> […]</w:t>
      </w:r>
      <w:r w:rsidR="00D33A2D" w:rsidRPr="001E5F63">
        <w:t xml:space="preserve"> Po prostu Liga Narodów będzie po raz pierwszy ciałem prawdziwie międzynarodowym</w:t>
      </w:r>
      <w:r w:rsidR="00900BE3" w:rsidRPr="001E5F63">
        <w:t>”</w:t>
      </w:r>
      <w:r w:rsidR="00D33A2D" w:rsidRPr="001E5F63">
        <w:t>.</w:t>
      </w:r>
    </w:p>
    <w:p w:rsidR="00A200B5" w:rsidRPr="003C0842" w:rsidRDefault="00D33A2D" w:rsidP="00111348">
      <w:pPr>
        <w:spacing w:line="360" w:lineRule="auto"/>
      </w:pPr>
      <w:r w:rsidRPr="003C0842">
        <w:t>Z realizacją tych oczekiwań, nie tylko w sensie dalekosiężnym, ale z uwzględnieniem krótkiej perspektywy</w:t>
      </w:r>
      <w:r w:rsidR="007C1CB0" w:rsidRPr="003C0842">
        <w:t>,</w:t>
      </w:r>
      <w:r w:rsidRPr="003C0842">
        <w:t xml:space="preserve"> musiano poczekać. </w:t>
      </w:r>
      <w:r w:rsidR="00A200B5" w:rsidRPr="003C0842">
        <w:t xml:space="preserve">Ówczesny </w:t>
      </w:r>
      <w:r w:rsidR="00837B86" w:rsidRPr="003C0842">
        <w:t>stan rzeczy sprowadzał się</w:t>
      </w:r>
      <w:r w:rsidRPr="003C0842">
        <w:t xml:space="preserve">bowiem </w:t>
      </w:r>
      <w:r w:rsidR="00A200B5" w:rsidRPr="003C0842">
        <w:t xml:space="preserve">do nieustępliwego stanowiska Niemiec z jednej strony oraz Brazylii i Hiszpanii z drugiej. </w:t>
      </w:r>
      <w:r w:rsidRPr="003C0842">
        <w:t xml:space="preserve">Przedstawiciele tych ostatnich grozili, żejeśli </w:t>
      </w:r>
      <w:r w:rsidR="00A200B5" w:rsidRPr="003C0842">
        <w:t xml:space="preserve">nie uzyskają stałego miejsca, to </w:t>
      </w:r>
      <w:r w:rsidR="00837B86" w:rsidRPr="003C0842">
        <w:t xml:space="preserve">jako </w:t>
      </w:r>
      <w:r w:rsidR="00A200B5" w:rsidRPr="003C0842">
        <w:t>aktualni</w:t>
      </w:r>
      <w:r w:rsidR="00837B86" w:rsidRPr="003C0842">
        <w:t xml:space="preserve"> członkowie Rady</w:t>
      </w:r>
      <w:r w:rsidR="00207208" w:rsidRPr="003C0842">
        <w:t>,</w:t>
      </w:r>
      <w:r w:rsidR="00A200B5" w:rsidRPr="003C0842">
        <w:t xml:space="preserve"> zablokują przyznanie stałego miejsca dla Niemiec</w:t>
      </w:r>
      <w:r w:rsidR="000D5309" w:rsidRPr="003C0842">
        <w:t xml:space="preserve">, </w:t>
      </w:r>
      <w:r w:rsidR="00207208" w:rsidRPr="003C0842">
        <w:t>czyni</w:t>
      </w:r>
      <w:r w:rsidR="000D5309" w:rsidRPr="003C0842">
        <w:t>ąc</w:t>
      </w:r>
      <w:r w:rsidR="00030CDC" w:rsidRPr="003C0842">
        <w:t xml:space="preserve">jednocześnie </w:t>
      </w:r>
      <w:r w:rsidR="00207208" w:rsidRPr="003C0842">
        <w:t>nieaktualnym</w:t>
      </w:r>
      <w:r w:rsidR="00A200B5" w:rsidRPr="003C0842">
        <w:t xml:space="preserve"> ich wstąpienie do Ligi. Skoro nadzieje na zmianę stanowiska Berlina</w:t>
      </w:r>
      <w:r w:rsidR="000D5309" w:rsidRPr="003C0842">
        <w:t xml:space="preserve"> były niewielkie</w:t>
      </w:r>
      <w:r w:rsidR="00A200B5" w:rsidRPr="003C0842">
        <w:t>, to</w:t>
      </w:r>
      <w:r w:rsidR="000D5309" w:rsidRPr="003C0842">
        <w:t xml:space="preserve"> Londyn i Paryż skupiły uwagęna </w:t>
      </w:r>
      <w:r w:rsidR="00A200B5" w:rsidRPr="003C0842">
        <w:t>prezyden</w:t>
      </w:r>
      <w:r w:rsidR="000D5309" w:rsidRPr="003C0842">
        <w:t>cie</w:t>
      </w:r>
      <w:r w:rsidR="00A200B5" w:rsidRPr="003C0842">
        <w:t xml:space="preserve"> Artur</w:t>
      </w:r>
      <w:r w:rsidR="000D5309" w:rsidRPr="003C0842">
        <w:t>o</w:t>
      </w:r>
      <w:r w:rsidR="00A200B5" w:rsidRPr="003C0842">
        <w:t xml:space="preserve"> Bernardes</w:t>
      </w:r>
      <w:r w:rsidR="000D5309" w:rsidRPr="003C0842">
        <w:t>ie</w:t>
      </w:r>
      <w:r w:rsidR="00A200B5" w:rsidRPr="003C0842">
        <w:t>, wskazując na historyczną rolę Brazylii jako uczestnika wielkiego i zaszczytnego przedsięwzięcia zapewniającego pokój w Europie. Także ambasador MelloFranco</w:t>
      </w:r>
      <w:r w:rsidR="00207208" w:rsidRPr="003C0842">
        <w:t xml:space="preserve">, </w:t>
      </w:r>
      <w:r w:rsidR="00A200B5" w:rsidRPr="003C0842">
        <w:t xml:space="preserve">reprezentujący Brazylię </w:t>
      </w:r>
      <w:r w:rsidR="00207208" w:rsidRPr="003C0842">
        <w:t xml:space="preserve">w </w:t>
      </w:r>
      <w:r w:rsidR="00A200B5" w:rsidRPr="003C0842">
        <w:t>L</w:t>
      </w:r>
      <w:r w:rsidR="00207208" w:rsidRPr="003C0842">
        <w:t>N</w:t>
      </w:r>
      <w:r w:rsidR="00A200B5" w:rsidRPr="003C0842">
        <w:t xml:space="preserve">, </w:t>
      </w:r>
      <w:r w:rsidR="00207208" w:rsidRPr="003C0842">
        <w:t>przybliżał</w:t>
      </w:r>
      <w:r w:rsidR="00A200B5" w:rsidRPr="003C0842">
        <w:t xml:space="preserve"> prezydentowi skomplikowaną sytuację w Europie, mogącą </w:t>
      </w:r>
      <w:r w:rsidR="00207208" w:rsidRPr="003C0842">
        <w:t xml:space="preserve">nawet </w:t>
      </w:r>
      <w:r w:rsidR="00A200B5" w:rsidRPr="003C0842">
        <w:t xml:space="preserve">prowadzić do nowej wojny. </w:t>
      </w:r>
      <w:r w:rsidR="00207208" w:rsidRPr="003C0842">
        <w:t>Zaznaczał też, że n</w:t>
      </w:r>
      <w:r w:rsidR="00A200B5" w:rsidRPr="003C0842">
        <w:t xml:space="preserve">egatywne głosowanie Brazylii w Genewie może wystawić </w:t>
      </w:r>
      <w:r w:rsidR="00207208" w:rsidRPr="003C0842">
        <w:t xml:space="preserve">ją </w:t>
      </w:r>
      <w:r w:rsidR="00A200B5" w:rsidRPr="003C0842">
        <w:t>na krytykę „całego świata”</w:t>
      </w:r>
      <w:r w:rsidR="00207208" w:rsidRPr="003C0842">
        <w:t>, a nawet</w:t>
      </w:r>
      <w:r w:rsidR="00A200B5" w:rsidRPr="003C0842">
        <w:t xml:space="preserve"> „groźb</w:t>
      </w:r>
      <w:r w:rsidR="00207208" w:rsidRPr="003C0842">
        <w:t>ę</w:t>
      </w:r>
      <w:r w:rsidR="00A200B5" w:rsidRPr="003C0842">
        <w:t xml:space="preserve"> bojkotu finansowego” ze strony Wielkiej Brytanii. </w:t>
      </w:r>
      <w:r w:rsidR="000D5309" w:rsidRPr="003C0842">
        <w:t xml:space="preserve">Jednak także w Rio de Janeiro nie było woli </w:t>
      </w:r>
      <w:r w:rsidR="00207208" w:rsidRPr="003C0842">
        <w:t xml:space="preserve">na żadne ustępstwa, </w:t>
      </w:r>
      <w:r w:rsidR="00730CB1" w:rsidRPr="003C0842">
        <w:t>zważywszy</w:t>
      </w:r>
      <w:r w:rsidR="00207208" w:rsidRPr="003C0842">
        <w:t xml:space="preserve"> na zbliżające się</w:t>
      </w:r>
      <w:r w:rsidR="00B9485D" w:rsidRPr="003C0842">
        <w:t xml:space="preserve"> wybor</w:t>
      </w:r>
      <w:r w:rsidR="00207208" w:rsidRPr="003C0842">
        <w:t>y</w:t>
      </w:r>
      <w:r w:rsidR="00B9485D" w:rsidRPr="003C0842">
        <w:t xml:space="preserve"> na kolejną </w:t>
      </w:r>
      <w:r w:rsidR="00A200B5" w:rsidRPr="003C0842">
        <w:t xml:space="preserve">kadencję. </w:t>
      </w:r>
      <w:r w:rsidR="000D5309" w:rsidRPr="003C0842">
        <w:t>Arturo Bernardes l</w:t>
      </w:r>
      <w:r w:rsidR="00A200B5" w:rsidRPr="003C0842">
        <w:t>atem przegrał w Genewie, jesienią w</w:t>
      </w:r>
      <w:r w:rsidR="00730CB1" w:rsidRPr="003C0842">
        <w:t>e własnym</w:t>
      </w:r>
      <w:r w:rsidR="00A200B5" w:rsidRPr="003C0842">
        <w:t xml:space="preserve"> kraju</w:t>
      </w:r>
      <w:r w:rsidR="00A200B5" w:rsidRPr="003C0842">
        <w:rPr>
          <w:rStyle w:val="Odwoanieprzypisudolnego"/>
          <w:rFonts w:ascii="Times New Roman" w:hAnsi="Times New Roman"/>
          <w:sz w:val="24"/>
        </w:rPr>
        <w:footnoteReference w:id="264"/>
      </w:r>
      <w:r w:rsidR="00A200B5" w:rsidRPr="003C0842">
        <w:t>.</w:t>
      </w:r>
    </w:p>
    <w:p w:rsidR="00A200B5" w:rsidRPr="003C0842" w:rsidRDefault="00A200B5" w:rsidP="00111348">
      <w:pPr>
        <w:spacing w:line="360" w:lineRule="auto"/>
      </w:pPr>
      <w:r w:rsidRPr="003C0842">
        <w:t>Zarówno pierwsze spotkanie w ramach 39</w:t>
      </w:r>
      <w:r w:rsidR="00A3118F" w:rsidRPr="003C0842">
        <w:t>.</w:t>
      </w:r>
      <w:r w:rsidRPr="003C0842">
        <w:t xml:space="preserve"> sesji Rady</w:t>
      </w:r>
      <w:r w:rsidR="007C1CB0" w:rsidRPr="003C0842">
        <w:t xml:space="preserve"> w dniu 8 marca1926 r.– najpierw tajne, później publiczne</w:t>
      </w:r>
      <w:r w:rsidR="00730CB1" w:rsidRPr="003C0842">
        <w:t>(</w:t>
      </w:r>
      <w:r w:rsidRPr="003C0842">
        <w:t>przewodnic</w:t>
      </w:r>
      <w:r w:rsidR="00730CB1" w:rsidRPr="003C0842">
        <w:t>zył</w:t>
      </w:r>
      <w:r w:rsidRPr="003C0842">
        <w:t xml:space="preserve"> Kikujiro Ishii z Japonii</w:t>
      </w:r>
      <w:r w:rsidR="00730CB1" w:rsidRPr="003C0842">
        <w:t>)</w:t>
      </w:r>
      <w:r w:rsidR="007C1CB0" w:rsidRPr="003C0842">
        <w:t>,</w:t>
      </w:r>
      <w:r w:rsidRPr="003C0842">
        <w:t xml:space="preserve"> jak i obrady Zgromadzenia </w:t>
      </w:r>
      <w:r w:rsidR="00730CB1" w:rsidRPr="003C0842">
        <w:t>(</w:t>
      </w:r>
      <w:r w:rsidRPr="003C0842">
        <w:t>przewod</w:t>
      </w:r>
      <w:r w:rsidR="00730CB1" w:rsidRPr="003C0842">
        <w:t>niczył</w:t>
      </w:r>
      <w:r w:rsidRPr="003C0842">
        <w:t xml:space="preserve"> Affonso Casta z Portugalii</w:t>
      </w:r>
      <w:r w:rsidR="00730CB1" w:rsidRPr="003C0842">
        <w:t xml:space="preserve">) </w:t>
      </w:r>
      <w:r w:rsidRPr="003C0842">
        <w:t xml:space="preserve">nie napawały optymizmem. </w:t>
      </w:r>
      <w:r w:rsidR="002E3BD5" w:rsidRPr="003C0842">
        <w:t>Główni</w:t>
      </w:r>
      <w:r w:rsidRPr="003C0842">
        <w:t xml:space="preserve"> uczestnicy zmagań trwali przy swoich stanowiskach. Na oferowane Brazylii, Hiszpanii i Polsce miejsca półstałe, czyli z prawem ponowionego </w:t>
      </w:r>
      <w:r w:rsidR="00B9485D" w:rsidRPr="003C0842">
        <w:t xml:space="preserve">wyboru do Rady </w:t>
      </w:r>
      <w:r w:rsidRPr="003C0842">
        <w:t>po upływie</w:t>
      </w:r>
      <w:r w:rsidR="003C7F60" w:rsidRPr="003C0842">
        <w:t xml:space="preserve"> jednej</w:t>
      </w:r>
      <w:r w:rsidR="00030CDC" w:rsidRPr="003C0842">
        <w:t xml:space="preserve"> kadencji, </w:t>
      </w:r>
      <w:r w:rsidRPr="003C0842">
        <w:t>nie było zgody. Nie przeszła też oferta Szwecji, Belgii, a nawet Czechosłowacji ustąpienia swych niestałych miejsc dla Polski, która z całej frondującej czwórki była najbliższa akceptacji miejsca półstałego. Delegacja niemiecka</w:t>
      </w:r>
      <w:r w:rsidR="00A3118F" w:rsidRPr="003C0842">
        <w:t>,</w:t>
      </w:r>
      <w:r w:rsidRPr="003C0842">
        <w:t xml:space="preserve"> obstając przy planie samodzielnego wkroczenia do Rady, utrudniała rozmowy. Trwały one 10 dni, głównie podczas spotkań prywatnych, nazywanych „wymianą opinii”</w:t>
      </w:r>
      <w:r w:rsidR="007C1CB0" w:rsidRPr="003C0842">
        <w:t xml:space="preserve"> oraz dwóch </w:t>
      </w:r>
      <w:r w:rsidR="00F23533" w:rsidRPr="003C0842">
        <w:rPr>
          <w:i/>
        </w:rPr>
        <w:t>séances secrètes</w:t>
      </w:r>
      <w:r w:rsidR="00F23533" w:rsidRPr="003C0842">
        <w:t xml:space="preserve"> (8 i 17 marca)</w:t>
      </w:r>
      <w:r w:rsidRPr="003C0842">
        <w:t>.</w:t>
      </w:r>
      <w:r w:rsidR="00FD3419" w:rsidRPr="003C0842">
        <w:t>Chao-Hsin</w:t>
      </w:r>
      <w:r w:rsidR="002E3BD5" w:rsidRPr="003C0842">
        <w:t xml:space="preserve"> Chu,p</w:t>
      </w:r>
      <w:r w:rsidRPr="003C0842">
        <w:t xml:space="preserve">omijany w tych </w:t>
      </w:r>
      <w:r w:rsidR="00730CB1" w:rsidRPr="003C0842">
        <w:t>„przymiarkach”</w:t>
      </w:r>
      <w:r w:rsidRPr="003C0842">
        <w:t xml:space="preserve"> delegat</w:t>
      </w:r>
      <w:r w:rsidR="002E3BD5" w:rsidRPr="003C0842">
        <w:t xml:space="preserve"> Chin,</w:t>
      </w:r>
      <w:r w:rsidRPr="003C0842">
        <w:t xml:space="preserve"> 15 marca 1926 r. skierował do Rady list, </w:t>
      </w:r>
      <w:r w:rsidRPr="003C0842">
        <w:lastRenderedPageBreak/>
        <w:t>w którym</w:t>
      </w:r>
      <w:r w:rsidR="00730CB1" w:rsidRPr="003C0842">
        <w:t xml:space="preserve"> –zgodnie z notą przedłożoną 1 marca – </w:t>
      </w:r>
      <w:r w:rsidRPr="003C0842">
        <w:t xml:space="preserve">ponowił aspiracje swojego kraju do zasiadania w Radzie ze stałym mandatem. Jeśli jednak Rada zmierzała do utworzenia miejsca niestałego z przeznaczeniem dla jakiegoś państwa europejskiego, to wówczas Chiny oczekują stworzenia dwóch miejsc niestałych dla przedstawicieli Azji, zgodnie z zasadą reprezentacji geograficznej. </w:t>
      </w:r>
      <w:r w:rsidR="00FD3419" w:rsidRPr="003C0842">
        <w:t>Chao-Hsin</w:t>
      </w:r>
      <w:r w:rsidRPr="003C0842">
        <w:t xml:space="preserve"> Chu powrócił do tej sprawy na sesji zamykającej Nadzwyczajne Zgromadzenie podkreślając „z całą mocą” konieczność uwzględnienia „zasady geograficznej”. Liga nie może</w:t>
      </w:r>
      <w:r w:rsidR="00A615EC" w:rsidRPr="003C0842">
        <w:t xml:space="preserve"> – </w:t>
      </w:r>
      <w:r w:rsidRPr="003C0842">
        <w:t>mówił delegat Chin</w:t>
      </w:r>
      <w:r w:rsidR="00A615EC" w:rsidRPr="003C0842">
        <w:t xml:space="preserve"> – </w:t>
      </w:r>
      <w:r w:rsidRPr="003C0842">
        <w:t>zapominać o oczekiwaniach państw i ludów poza europejskich „nie może w żaden sposób zostać zdominowaną przez politykę europejską”</w:t>
      </w:r>
      <w:r w:rsidRPr="003C0842">
        <w:rPr>
          <w:rStyle w:val="Odwoanieprzypisudolnego"/>
          <w:rFonts w:ascii="Times New Roman" w:hAnsi="Times New Roman"/>
          <w:sz w:val="24"/>
        </w:rPr>
        <w:footnoteReference w:id="265"/>
      </w:r>
      <w:r w:rsidRPr="003C0842">
        <w:t>.</w:t>
      </w:r>
    </w:p>
    <w:p w:rsidR="007B6FB1" w:rsidRPr="003C0842" w:rsidRDefault="00A200B5" w:rsidP="00111348">
      <w:pPr>
        <w:spacing w:line="360" w:lineRule="auto"/>
      </w:pPr>
      <w:r w:rsidRPr="003C0842">
        <w:t xml:space="preserve">Wątek ten równie silnie podnoszony </w:t>
      </w:r>
      <w:r w:rsidR="003C7F60" w:rsidRPr="003C0842">
        <w:t xml:space="preserve">był </w:t>
      </w:r>
      <w:r w:rsidRPr="003C0842">
        <w:t>przez Hiszpanię jako reprezentującą kulturę</w:t>
      </w:r>
      <w:r w:rsidR="00730CB1" w:rsidRPr="003C0842">
        <w:t xml:space="preserve"> i</w:t>
      </w:r>
      <w:r w:rsidRPr="003C0842">
        <w:t xml:space="preserve"> język, którym władały setki milionów ludzi</w:t>
      </w:r>
      <w:r w:rsidR="00730CB1" w:rsidRPr="003C0842">
        <w:t>. Wtórował jej delegat</w:t>
      </w:r>
      <w:r w:rsidRPr="003C0842">
        <w:t xml:space="preserve"> Brazyli</w:t>
      </w:r>
      <w:r w:rsidR="00730CB1" w:rsidRPr="003C0842">
        <w:t>i</w:t>
      </w:r>
      <w:r w:rsidRPr="003C0842">
        <w:t xml:space="preserve"> eksponując</w:t>
      </w:r>
      <w:r w:rsidR="00730CB1" w:rsidRPr="003C0842">
        <w:t xml:space="preserve">ynaturalne </w:t>
      </w:r>
      <w:r w:rsidRPr="003C0842">
        <w:t xml:space="preserve">prawo całej Ameryki do posiadania godnej reprezentacji w Genewie. </w:t>
      </w:r>
      <w:r w:rsidR="00030CDC" w:rsidRPr="003C0842">
        <w:t>Twarda</w:t>
      </w:r>
      <w:r w:rsidRPr="003C0842">
        <w:t xml:space="preserve"> postawa tych państw krępowała każdą inicjatywę, w tym także wychodzącą z kręgów </w:t>
      </w:r>
      <w:r w:rsidR="00A82177" w:rsidRPr="003C0842">
        <w:t>latynoamerykańskich.</w:t>
      </w:r>
      <w:r w:rsidRPr="003C0842">
        <w:t xml:space="preserve"> Próbą ostatniej szansy nazywano spotkanie 16 marca 1926 r. w gronie obecnych w Genewie delegacji z Ameryki Łacińskiej</w:t>
      </w:r>
      <w:r w:rsidRPr="003C0842">
        <w:rPr>
          <w:rStyle w:val="Odwoanieprzypisudolnego"/>
          <w:rFonts w:ascii="Times New Roman" w:hAnsi="Times New Roman"/>
          <w:sz w:val="24"/>
        </w:rPr>
        <w:footnoteReference w:id="266"/>
      </w:r>
      <w:r w:rsidRPr="003C0842">
        <w:t>, któremu przewodniczył César Zumeta z Wenezueli. Oficjalny komunikat oraz informacja o tym spotkaniu podczas sesji zamykającej Nadzwyczajne Zgromadzenie 17 marca mówiły o „poważnej sytuacji”, która zmusiła uczestników wymiany poglądów do skierowania prośby wobec ambasadora Mello Franco, by delegacja brazylijska ułatwiła „przezwyciężenie trudności” za pomocą środków, które „uzna za najwłaściwsze”</w:t>
      </w:r>
      <w:r w:rsidRPr="003C0842">
        <w:rPr>
          <w:rStyle w:val="Odwoanieprzypisudolnego"/>
          <w:rFonts w:ascii="Times New Roman" w:hAnsi="Times New Roman"/>
          <w:sz w:val="24"/>
        </w:rPr>
        <w:footnoteReference w:id="267"/>
      </w:r>
      <w:r w:rsidRPr="003C0842">
        <w:t xml:space="preserve">. </w:t>
      </w:r>
    </w:p>
    <w:p w:rsidR="009912B1" w:rsidRPr="003C0842" w:rsidRDefault="00A200B5" w:rsidP="00111348">
      <w:pPr>
        <w:spacing w:line="360" w:lineRule="auto"/>
      </w:pPr>
      <w:r w:rsidRPr="003C0842">
        <w:t xml:space="preserve">Wyrazista informacja o braku widoków na </w:t>
      </w:r>
      <w:r w:rsidR="00F821C9" w:rsidRPr="003C0842">
        <w:t>zmianę</w:t>
      </w:r>
      <w:r w:rsidRPr="003C0842">
        <w:t xml:space="preserve"> stanowiska rządów Brazylii i Hiszpanii korespondowała z dominując</w:t>
      </w:r>
      <w:r w:rsidR="00F821C9" w:rsidRPr="003C0842">
        <w:t>ym</w:t>
      </w:r>
      <w:r w:rsidRPr="003C0842">
        <w:t xml:space="preserve"> na ostatniej sesji Nadzwyczajnego Zgromadzenia</w:t>
      </w:r>
      <w:r w:rsidR="00F821C9" w:rsidRPr="003C0842">
        <w:t xml:space="preserve"> przekonaniem o </w:t>
      </w:r>
      <w:r w:rsidRPr="003C0842">
        <w:t>pozytywn</w:t>
      </w:r>
      <w:r w:rsidR="00F821C9" w:rsidRPr="003C0842">
        <w:t>ym rozwiązaniu</w:t>
      </w:r>
      <w:r w:rsidRPr="003C0842">
        <w:t xml:space="preserve"> w bliskiej przyszłości. Za</w:t>
      </w:r>
      <w:r w:rsidR="00686CB7" w:rsidRPr="003C0842">
        <w:t xml:space="preserve">równo Briand, jak i Chamberlain, </w:t>
      </w:r>
      <w:r w:rsidRPr="003C0842">
        <w:t>główni aktorzy i negocjatorzy</w:t>
      </w:r>
      <w:r w:rsidR="00F821C9" w:rsidRPr="003C0842">
        <w:t>w owych dniach</w:t>
      </w:r>
      <w:r w:rsidRPr="003C0842">
        <w:t xml:space="preserve"> zde</w:t>
      </w:r>
      <w:r w:rsidR="00030CDC" w:rsidRPr="003C0842">
        <w:t xml:space="preserve">cydowali się na jego </w:t>
      </w:r>
      <w:r w:rsidR="002E3BD5" w:rsidRPr="003C0842">
        <w:t>zamkniecie</w:t>
      </w:r>
      <w:r w:rsidR="00030CDC" w:rsidRPr="003C0842">
        <w:t>.</w:t>
      </w:r>
      <w:r w:rsidRPr="003C0842">
        <w:t xml:space="preserve"> W </w:t>
      </w:r>
      <w:r w:rsidR="002E3BD5" w:rsidRPr="003C0842">
        <w:t>przemówieniach końcowych</w:t>
      </w:r>
      <w:r w:rsidRPr="003C0842">
        <w:t xml:space="preserve"> podzielili się rolami: pierwszy wyrażał ubolewanie z powodu trudności</w:t>
      </w:r>
      <w:r w:rsidR="00A3118F" w:rsidRPr="003C0842">
        <w:t>,</w:t>
      </w:r>
      <w:r w:rsidRPr="003C0842">
        <w:t xml:space="preserve"> jakie się pojawiły w związku z wejściem Niemiec do Ligi, drugi zreferował negatywny </w:t>
      </w:r>
      <w:r w:rsidR="009912B1" w:rsidRPr="003C0842">
        <w:t>wynik</w:t>
      </w:r>
      <w:r w:rsidRPr="003C0842">
        <w:t xml:space="preserve"> prac </w:t>
      </w:r>
      <w:r w:rsidR="009912B1" w:rsidRPr="003C0842">
        <w:t xml:space="preserve">swojej komisji, która nie doprowadziła do </w:t>
      </w:r>
      <w:r w:rsidR="009912B1" w:rsidRPr="003C0842">
        <w:lastRenderedPageBreak/>
        <w:t xml:space="preserve">uzgodnienia </w:t>
      </w:r>
      <w:r w:rsidRPr="003C0842">
        <w:t>jednomyślnego stanowiska członków Rady. Rezygnując ze wskazywania winnych niepowodzenia</w:t>
      </w:r>
      <w:r w:rsidR="00A3118F" w:rsidRPr="003C0842">
        <w:t>,</w:t>
      </w:r>
      <w:r w:rsidRPr="003C0842">
        <w:t xml:space="preserve"> skupiono uwagę na perspektywie prac, które Rada 18 marca </w:t>
      </w:r>
      <w:r w:rsidR="009912B1" w:rsidRPr="003C0842">
        <w:t xml:space="preserve">powierzyła </w:t>
      </w:r>
      <w:r w:rsidRPr="003C0842">
        <w:t xml:space="preserve">tzw. Komisji Rekonstrukcji. Desygnowano do niej przedstawicieli państw będących w Radzie, a także Argentyny, Chin, Niemiec, Polski i Szwajcarii. </w:t>
      </w:r>
      <w:r w:rsidR="00F821C9" w:rsidRPr="003C0842">
        <w:t xml:space="preserve">Poszukiwanie </w:t>
      </w:r>
      <w:r w:rsidR="00030CDC" w:rsidRPr="003C0842">
        <w:t xml:space="preserve">kompromisu </w:t>
      </w:r>
      <w:r w:rsidR="00F821C9" w:rsidRPr="003C0842">
        <w:t xml:space="preserve">mało trwać aż do </w:t>
      </w:r>
      <w:r w:rsidR="00AD5004" w:rsidRPr="003C0842">
        <w:t>zwyczajnej sesji</w:t>
      </w:r>
      <w:r w:rsidRPr="003C0842">
        <w:t xml:space="preserve"> Zgromadzeni</w:t>
      </w:r>
      <w:r w:rsidR="00AD5004" w:rsidRPr="003C0842">
        <w:t>a</w:t>
      </w:r>
      <w:r w:rsidR="00F821C9" w:rsidRPr="003C0842">
        <w:t xml:space="preserve"> we wrześniu</w:t>
      </w:r>
      <w:r w:rsidRPr="003C0842">
        <w:t xml:space="preserve">. </w:t>
      </w:r>
    </w:p>
    <w:p w:rsidR="00A77A09" w:rsidRPr="003C0842" w:rsidRDefault="00AD5004" w:rsidP="00111348">
      <w:pPr>
        <w:spacing w:line="360" w:lineRule="auto"/>
      </w:pPr>
      <w:r w:rsidRPr="003C0842">
        <w:t xml:space="preserve">Niepowodzenie </w:t>
      </w:r>
      <w:r w:rsidR="00A200B5" w:rsidRPr="003C0842">
        <w:t>Nadzwyczajn</w:t>
      </w:r>
      <w:r w:rsidRPr="003C0842">
        <w:t xml:space="preserve">ego </w:t>
      </w:r>
      <w:r w:rsidR="00A200B5" w:rsidRPr="003C0842">
        <w:t>Zgromadzeni</w:t>
      </w:r>
      <w:r w:rsidRPr="003C0842">
        <w:t>a wywołało duże wrażenie przede wszystkim wśród „</w:t>
      </w:r>
      <w:r w:rsidR="00A200B5" w:rsidRPr="003C0842">
        <w:t>lokarneń</w:t>
      </w:r>
      <w:r w:rsidRPr="003C0842">
        <w:t xml:space="preserve">czyków”.Ich sposób dochodzenia do </w:t>
      </w:r>
      <w:r w:rsidR="00A200B5" w:rsidRPr="003C0842">
        <w:t xml:space="preserve">kompromisu nie znalazł poklasku w Lidze. </w:t>
      </w:r>
      <w:r w:rsidRPr="003C0842">
        <w:t>Delegaci 48 państw dali wyraz obawom</w:t>
      </w:r>
      <w:r w:rsidR="00C54E64" w:rsidRPr="003C0842">
        <w:t xml:space="preserve">, że </w:t>
      </w:r>
      <w:r w:rsidR="00F821C9" w:rsidRPr="003C0842">
        <w:t xml:space="preserve">zastosowana </w:t>
      </w:r>
      <w:r w:rsidR="00C54E64" w:rsidRPr="003C0842">
        <w:t>w Locarno procedur</w:t>
      </w:r>
      <w:r w:rsidR="00F821C9" w:rsidRPr="003C0842">
        <w:t xml:space="preserve">a zostanieprzeszczepiona </w:t>
      </w:r>
      <w:r w:rsidR="00A200B5" w:rsidRPr="003C0842">
        <w:t xml:space="preserve">do </w:t>
      </w:r>
      <w:r w:rsidR="00F821C9" w:rsidRPr="003C0842">
        <w:t>G</w:t>
      </w:r>
      <w:r w:rsidR="00A200B5" w:rsidRPr="003C0842">
        <w:t>enew</w:t>
      </w:r>
      <w:r w:rsidR="00F821C9" w:rsidRPr="003C0842">
        <w:t>y</w:t>
      </w:r>
      <w:r w:rsidR="00C54E64" w:rsidRPr="003C0842">
        <w:t xml:space="preserve">. </w:t>
      </w:r>
      <w:r w:rsidRPr="003C0842">
        <w:t>Pewnej</w:t>
      </w:r>
      <w:r w:rsidR="00A200B5" w:rsidRPr="003C0842">
        <w:t xml:space="preserve"> częś</w:t>
      </w:r>
      <w:r w:rsidR="00C54E64" w:rsidRPr="003C0842">
        <w:t>ci</w:t>
      </w:r>
      <w:r w:rsidR="003725DE" w:rsidRPr="003C0842">
        <w:t xml:space="preserve">państw </w:t>
      </w:r>
      <w:r w:rsidR="00C54E64" w:rsidRPr="003C0842">
        <w:t>n</w:t>
      </w:r>
      <w:r w:rsidR="007B6FB1" w:rsidRPr="003C0842">
        <w:t xml:space="preserve">ie </w:t>
      </w:r>
      <w:r w:rsidR="00C54E64" w:rsidRPr="003C0842">
        <w:t>odpowiadało narzucanie</w:t>
      </w:r>
      <w:r w:rsidR="007B6FB1" w:rsidRPr="003C0842">
        <w:t xml:space="preserve"> woli przez mniejszość (choć </w:t>
      </w:r>
      <w:r w:rsidR="00F821C9" w:rsidRPr="003C0842">
        <w:t>ważną</w:t>
      </w:r>
      <w:r w:rsidR="007B6FB1" w:rsidRPr="003C0842">
        <w:t xml:space="preserve"> z powszechnego punktu widzenia), która mobilizuje</w:t>
      </w:r>
      <w:r w:rsidRPr="003C0842">
        <w:t xml:space="preserve"> całą</w:t>
      </w:r>
      <w:r w:rsidR="007B6FB1" w:rsidRPr="003C0842">
        <w:t xml:space="preserve"> Ligę </w:t>
      </w:r>
      <w:r w:rsidR="00A200B5" w:rsidRPr="003C0842">
        <w:t>tylko po to</w:t>
      </w:r>
      <w:r w:rsidR="00C54E64" w:rsidRPr="003C0842">
        <w:t>,</w:t>
      </w:r>
      <w:r w:rsidR="00A200B5" w:rsidRPr="003C0842">
        <w:t xml:space="preserve"> aby </w:t>
      </w:r>
      <w:r w:rsidR="00100508" w:rsidRPr="003C0842">
        <w:t>osiągnąć cel</w:t>
      </w:r>
      <w:r w:rsidRPr="003C0842">
        <w:t xml:space="preserve"> możliwy do realizacji w normalnym trybie.</w:t>
      </w:r>
    </w:p>
    <w:p w:rsidR="00E70263" w:rsidRPr="003C0842" w:rsidRDefault="00100508" w:rsidP="00111348">
      <w:pPr>
        <w:spacing w:line="360" w:lineRule="auto"/>
      </w:pPr>
      <w:r w:rsidRPr="003C0842">
        <w:t>R</w:t>
      </w:r>
      <w:r w:rsidR="00A200B5" w:rsidRPr="003C0842">
        <w:t xml:space="preserve">ezonans porażki genewskiej był </w:t>
      </w:r>
      <w:r w:rsidRPr="003C0842">
        <w:t>o tyle jeszcze większy, że kilkanaście państw średnich i mniejszych łączyły poszukiwania kompromisu z okazjonaln</w:t>
      </w:r>
      <w:r w:rsidR="00F821C9" w:rsidRPr="003C0842">
        <w:t>ymi</w:t>
      </w:r>
      <w:r w:rsidRPr="003C0842">
        <w:t>korzyści</w:t>
      </w:r>
      <w:r w:rsidR="00F821C9" w:rsidRPr="003C0842">
        <w:t>ami</w:t>
      </w:r>
      <w:r w:rsidR="00A200B5" w:rsidRPr="003C0842">
        <w:t xml:space="preserve">. Wśród różnych, także wykluczających się </w:t>
      </w:r>
      <w:r w:rsidR="00A77A09" w:rsidRPr="003C0842">
        <w:t>opinii dominowało przekonanie</w:t>
      </w:r>
      <w:r w:rsidR="00A200B5" w:rsidRPr="003C0842">
        <w:t xml:space="preserve">, że </w:t>
      </w:r>
      <w:r w:rsidR="003725DE" w:rsidRPr="003C0842">
        <w:t xml:space="preserve">Liga, </w:t>
      </w:r>
      <w:r w:rsidR="00A200B5" w:rsidRPr="003C0842">
        <w:t xml:space="preserve">raczej zbiegiem okoliczności niż zorganizowanym oporem, obroniła swe </w:t>
      </w:r>
      <w:r w:rsidR="007B6FB1" w:rsidRPr="003C0842">
        <w:t>podstawowe</w:t>
      </w:r>
      <w:r w:rsidR="00A200B5" w:rsidRPr="003C0842">
        <w:t xml:space="preserve"> zasady. </w:t>
      </w:r>
      <w:r w:rsidR="00A77A09" w:rsidRPr="003C0842">
        <w:t>A</w:t>
      </w:r>
      <w:r w:rsidR="00A200B5" w:rsidRPr="003C0842">
        <w:t xml:space="preserve">kceptowano </w:t>
      </w:r>
      <w:r w:rsidR="00A77A09" w:rsidRPr="003C0842">
        <w:t xml:space="preserve">też w większości </w:t>
      </w:r>
      <w:r w:rsidR="00A200B5" w:rsidRPr="003C0842">
        <w:t>odroczenie decyzji, która mogła doprowadzić nie tylko do sporów wśród państw mniejszych, ale także mocarstw</w:t>
      </w:r>
      <w:r w:rsidRPr="003C0842">
        <w:t>,</w:t>
      </w:r>
      <w:r w:rsidR="00A200B5" w:rsidRPr="003C0842">
        <w:t xml:space="preserve"> mających w rozszerzeniu Rady </w:t>
      </w:r>
      <w:r w:rsidR="007B6FB1" w:rsidRPr="003C0842">
        <w:t>n</w:t>
      </w:r>
      <w:r w:rsidR="00A200B5" w:rsidRPr="003C0842">
        <w:t xml:space="preserve">iejednakowe interesy. Wzgląd na sojuszniczą Polskę utrudniał Briandowi jedynie proniemiecką decyzję. Z drugiej strony min. Stresemann i cały rząd, w którym </w:t>
      </w:r>
      <w:r w:rsidR="00E70263" w:rsidRPr="003C0842">
        <w:t xml:space="preserve">minister spraw zagranicznych </w:t>
      </w:r>
      <w:r w:rsidR="00A200B5" w:rsidRPr="003C0842">
        <w:t>odgrywał kluczową rolę</w:t>
      </w:r>
      <w:r w:rsidR="007B6FB1" w:rsidRPr="003C0842">
        <w:t>,</w:t>
      </w:r>
      <w:r w:rsidR="00A200B5" w:rsidRPr="003C0842">
        <w:t xml:space="preserve"> mógłby nie przetrwać burzy wywołanej wariantem </w:t>
      </w:r>
      <w:r w:rsidR="00A77A09" w:rsidRPr="003C0842">
        <w:t>stawiającym Polskę na równej pozycji z Niemcami.</w:t>
      </w:r>
      <w:r w:rsidR="00E70263" w:rsidRPr="003C0842">
        <w:t>Podobnym rozważaniom i d</w:t>
      </w:r>
      <w:r w:rsidR="00A200B5" w:rsidRPr="003C0842">
        <w:t>ywagacjom t</w:t>
      </w:r>
      <w:r w:rsidR="00A77A09" w:rsidRPr="003C0842">
        <w:t xml:space="preserve">owarzyszyły </w:t>
      </w:r>
      <w:r w:rsidR="00E70263" w:rsidRPr="003C0842">
        <w:t>nieznoszące sprzeciwu opinie</w:t>
      </w:r>
      <w:r w:rsidR="00A77A09" w:rsidRPr="003C0842">
        <w:t>, że zapowiad</w:t>
      </w:r>
      <w:r w:rsidR="00A200B5" w:rsidRPr="003C0842">
        <w:t>ana rekonstrukcja Rady dokona się zgodnie z zapatrywaniami i słusznymi oczekiwaniami danego państwa</w:t>
      </w:r>
      <w:r w:rsidR="00A200B5" w:rsidRPr="003C0842">
        <w:rPr>
          <w:rStyle w:val="Odwoanieprzypisudolnego"/>
          <w:rFonts w:ascii="Times New Roman" w:hAnsi="Times New Roman"/>
          <w:sz w:val="24"/>
        </w:rPr>
        <w:footnoteReference w:id="268"/>
      </w:r>
      <w:r w:rsidR="00A200B5" w:rsidRPr="003C0842">
        <w:t xml:space="preserve">. </w:t>
      </w:r>
    </w:p>
    <w:p w:rsidR="00A200B5" w:rsidRPr="003C0842" w:rsidRDefault="00A200B5" w:rsidP="00111348">
      <w:pPr>
        <w:spacing w:line="360" w:lineRule="auto"/>
      </w:pPr>
      <w:r w:rsidRPr="003C0842">
        <w:t>Dotyczyło to także Niemiec, któr</w:t>
      </w:r>
      <w:r w:rsidR="00A77A09" w:rsidRPr="003C0842">
        <w:t>e</w:t>
      </w:r>
      <w:r w:rsidRPr="003C0842">
        <w:t xml:space="preserve"> należ</w:t>
      </w:r>
      <w:r w:rsidR="00A77A09" w:rsidRPr="003C0842">
        <w:t>ały</w:t>
      </w:r>
      <w:r w:rsidRPr="003C0842">
        <w:t xml:space="preserve"> do najbardziej zdegustowanych </w:t>
      </w:r>
      <w:r w:rsidR="00A77A09" w:rsidRPr="003C0842">
        <w:t xml:space="preserve">i </w:t>
      </w:r>
      <w:r w:rsidRPr="003C0842">
        <w:t>rozczarowanych</w:t>
      </w:r>
      <w:r w:rsidR="00A77A09" w:rsidRPr="003C0842">
        <w:t xml:space="preserve">. Miał to być </w:t>
      </w:r>
      <w:r w:rsidRPr="003C0842">
        <w:t>kolejny przejaw nieszczerej gry Francji (Brianda), Wielkiej Brytanii</w:t>
      </w:r>
      <w:r w:rsidR="00A77A09" w:rsidRPr="003C0842">
        <w:t>, nawet – chociaż najmniej</w:t>
      </w:r>
      <w:r w:rsidR="00100508" w:rsidRPr="003C0842">
        <w:t xml:space="preserve"> –</w:t>
      </w:r>
      <w:r w:rsidRPr="003C0842">
        <w:t xml:space="preserve"> Włoch, które posłużyły się Brazylią lub Hiszpanią dla osiągnięcia celu upokarzającego Niemcy</w:t>
      </w:r>
      <w:r w:rsidRPr="003C0842">
        <w:rPr>
          <w:rStyle w:val="Odwoanieprzypisudolnego"/>
          <w:rFonts w:ascii="Times New Roman" w:hAnsi="Times New Roman"/>
          <w:sz w:val="24"/>
        </w:rPr>
        <w:footnoteReference w:id="269"/>
      </w:r>
      <w:r w:rsidRPr="003C0842">
        <w:t>.</w:t>
      </w:r>
    </w:p>
    <w:p w:rsidR="00930F1A" w:rsidRPr="003C0842" w:rsidRDefault="00A200B5" w:rsidP="00BE11B5">
      <w:pPr>
        <w:spacing w:line="360" w:lineRule="auto"/>
      </w:pPr>
      <w:r w:rsidRPr="003C0842">
        <w:lastRenderedPageBreak/>
        <w:t xml:space="preserve">O panującej wówczas w Genewie atmosferze dobrze informuje notatka pro domo sua Paula Mantoux, dyrektora </w:t>
      </w:r>
      <w:r w:rsidR="00506F6B" w:rsidRPr="003C0842">
        <w:t>sekcji p</w:t>
      </w:r>
      <w:r w:rsidRPr="003C0842">
        <w:t>olitycznej Sekretariatu przekonanego, że obietnice dane Niemcom w Locarno ignorowały prawa Rady LN i zupełnie nie liczyły się z możliwym oporem pozostałych członków Rady, wśród których nastawienie Hiszpanii i Brazylii znane było od 1921 r. Zapewne także Polska</w:t>
      </w:r>
      <w:r w:rsidR="00506F6B" w:rsidRPr="003C0842">
        <w:t>,</w:t>
      </w:r>
      <w:r w:rsidRPr="003C0842">
        <w:t>czytamy dalej</w:t>
      </w:r>
      <w:r w:rsidR="00506F6B" w:rsidRPr="003C0842">
        <w:t xml:space="preserve">, </w:t>
      </w:r>
      <w:r w:rsidRPr="003C0842">
        <w:t>otrzymała przyrzeczenia, które kontrastowały z jednoznacznym stanowiskiem Niemiec,</w:t>
      </w:r>
      <w:r w:rsidR="002236B9" w:rsidRPr="003C0842">
        <w:t xml:space="preserve"> skoncentrowanych na </w:t>
      </w:r>
      <w:r w:rsidRPr="003C0842">
        <w:t>wejści</w:t>
      </w:r>
      <w:r w:rsidR="002236B9" w:rsidRPr="003C0842">
        <w:t>u</w:t>
      </w:r>
      <w:r w:rsidRPr="003C0842">
        <w:t xml:space="preserve"> do Rady w jej dotychczasowym kształcie. Jeśli do tego dodać walkę Chamberlaina o utrzymanie polityki brytyjskiej zgodnej z zasadami wyspiarskimi, zasadniczy sprzeciw Szwecji na reorganizację Rady oraz kategoryczność opinii każdej ze stron (doskonale uwidoczniona w opiniach prasy!)</w:t>
      </w:r>
      <w:r w:rsidR="00A3118F" w:rsidRPr="003C0842">
        <w:t>,</w:t>
      </w:r>
      <w:r w:rsidRPr="003C0842">
        <w:t xml:space="preserve"> to będziemy mieli sytuację prawie uniemożliwiającą jakikolwiek manewr mimo „nieformalnych spotkań członków Rady l</w:t>
      </w:r>
      <w:r w:rsidR="00962E07" w:rsidRPr="003C0842">
        <w:t>ub niektórych z nich, wizytach z</w:t>
      </w:r>
      <w:r w:rsidRPr="003C0842">
        <w:t xml:space="preserve"> hotelu do hotelu, w dzień i w noc, wśród poszumu wiadomości prawdziwych, fałszywych, zdeformowanych, dem</w:t>
      </w:r>
      <w:r w:rsidR="002236B9" w:rsidRPr="003C0842">
        <w:t>e</w:t>
      </w:r>
      <w:r w:rsidRPr="003C0842">
        <w:t>ntowanych”</w:t>
      </w:r>
      <w:r w:rsidRPr="003C0842">
        <w:rPr>
          <w:rStyle w:val="Odwoanieprzypisudolnego"/>
          <w:rFonts w:ascii="Times New Roman" w:hAnsi="Times New Roman"/>
          <w:sz w:val="24"/>
        </w:rPr>
        <w:footnoteReference w:id="270"/>
      </w:r>
      <w:r w:rsidRPr="003C0842">
        <w:t>.</w:t>
      </w:r>
    </w:p>
    <w:p w:rsidR="00A200B5" w:rsidRPr="003C0842" w:rsidRDefault="00A200B5" w:rsidP="00111348">
      <w:pPr>
        <w:spacing w:line="360" w:lineRule="auto"/>
        <w:ind w:firstLine="709"/>
      </w:pPr>
    </w:p>
    <w:p w:rsidR="00506F6B" w:rsidRPr="003C0842" w:rsidRDefault="00506F6B" w:rsidP="00111348">
      <w:pPr>
        <w:spacing w:line="360" w:lineRule="auto"/>
        <w:ind w:firstLine="709"/>
      </w:pPr>
    </w:p>
    <w:p w:rsidR="00A200B5" w:rsidRPr="003C0842" w:rsidRDefault="00930F1A" w:rsidP="00111348">
      <w:pPr>
        <w:spacing w:line="360" w:lineRule="auto"/>
        <w:ind w:firstLine="0"/>
        <w:outlineLvl w:val="0"/>
        <w:rPr>
          <w:b/>
        </w:rPr>
      </w:pPr>
      <w:r w:rsidRPr="003C0842">
        <w:rPr>
          <w:b/>
        </w:rPr>
        <w:t>5</w:t>
      </w:r>
      <w:r w:rsidR="00A200B5" w:rsidRPr="003C0842">
        <w:rPr>
          <w:b/>
        </w:rPr>
        <w:t>. Szach niemiecko-rosyjski</w:t>
      </w:r>
    </w:p>
    <w:p w:rsidR="00A200B5" w:rsidRPr="003C0842" w:rsidRDefault="00A200B5" w:rsidP="00111348">
      <w:pPr>
        <w:spacing w:line="360" w:lineRule="auto"/>
        <w:ind w:firstLine="709"/>
      </w:pPr>
    </w:p>
    <w:p w:rsidR="00A200B5" w:rsidRPr="003C0842" w:rsidRDefault="00962E07" w:rsidP="00111348">
      <w:pPr>
        <w:spacing w:line="360" w:lineRule="auto"/>
        <w:ind w:firstLine="709"/>
      </w:pPr>
      <w:r w:rsidRPr="003C0842">
        <w:t xml:space="preserve">Polityka </w:t>
      </w:r>
      <w:r w:rsidR="00A200B5" w:rsidRPr="003C0842">
        <w:t>rapallsk</w:t>
      </w:r>
      <w:r w:rsidRPr="003C0842">
        <w:t>arozwijana</w:t>
      </w:r>
      <w:r w:rsidR="00A200B5" w:rsidRPr="003C0842">
        <w:t xml:space="preserve"> od wiosny 1</w:t>
      </w:r>
      <w:r w:rsidRPr="003C0842">
        <w:t>922 r. miała</w:t>
      </w:r>
      <w:r w:rsidR="00A200B5" w:rsidRPr="003C0842">
        <w:t xml:space="preserve"> dla Niemiec znaczenie trudne do przecenienia. Stresemann kontynuował tę linię po mi</w:t>
      </w:r>
      <w:r w:rsidR="00B9310F" w:rsidRPr="003C0842">
        <w:t>strzowsku</w:t>
      </w:r>
      <w:r w:rsidR="00A3118F" w:rsidRPr="003C0842">
        <w:t>,</w:t>
      </w:r>
      <w:r w:rsidR="00B9310F" w:rsidRPr="003C0842">
        <w:t xml:space="preserve"> tak „aby nie dać się s</w:t>
      </w:r>
      <w:r w:rsidR="00A200B5" w:rsidRPr="003C0842">
        <w:t>pętać rosyjskiemu sfinksowi ani anglosaskiej potędze gospodarczej”</w:t>
      </w:r>
      <w:r w:rsidR="00A200B5" w:rsidRPr="003C0842">
        <w:rPr>
          <w:rStyle w:val="Odwoanieprzypisudolnego"/>
          <w:rFonts w:ascii="Times New Roman" w:hAnsi="Times New Roman"/>
          <w:sz w:val="24"/>
        </w:rPr>
        <w:footnoteReference w:id="271"/>
      </w:r>
      <w:r w:rsidRPr="003C0842">
        <w:t xml:space="preserve">. Od czasu do czasu wzniecane </w:t>
      </w:r>
      <w:r w:rsidR="00A200B5" w:rsidRPr="003C0842">
        <w:t xml:space="preserve">alarmy o pogłębiających się więzach gospodarczych (technologia za surowce), wojskowych (bardzo </w:t>
      </w:r>
      <w:r w:rsidR="00F85176" w:rsidRPr="003C0842">
        <w:t>wyolbrzymianych</w:t>
      </w:r>
      <w:r w:rsidR="00A200B5" w:rsidRPr="003C0842">
        <w:t xml:space="preserve">) i planach politycznych miały swój ciężar, chociaż trudny do precyzyjnego określenia. Równocześnie ponawiano deklaracje o wzajemnym powstrzymywaniu się od </w:t>
      </w:r>
      <w:r w:rsidR="00B9310F" w:rsidRPr="003C0842">
        <w:t>jakichkolwiek</w:t>
      </w:r>
      <w:r w:rsidR="00A200B5" w:rsidRPr="003C0842">
        <w:t xml:space="preserve"> nieprzyjaznych kombinacji, co nabierało dodatkowego znaczenia w związku z marszem Niemiec do Ligi. ZSRR nie zmienił swego bardzo krytycznego osądu o Genewie. Uznając Ligę za rzeczywistość</w:t>
      </w:r>
      <w:r w:rsidR="00CE1F41" w:rsidRPr="003C0842">
        <w:t>,</w:t>
      </w:r>
      <w:r w:rsidR="00A200B5" w:rsidRPr="003C0842">
        <w:t>zachęc</w:t>
      </w:r>
      <w:r w:rsidR="005C3220" w:rsidRPr="003C0842">
        <w:t>ano</w:t>
      </w:r>
      <w:r w:rsidR="00A200B5" w:rsidRPr="003C0842">
        <w:t xml:space="preserve"> Berlin do wykorzystywania art. 16 dla interesów obu „wykluczonych”</w:t>
      </w:r>
      <w:r w:rsidR="008D7893" w:rsidRPr="003C0842">
        <w:t xml:space="preserve"> państw. Oferowano też</w:t>
      </w:r>
      <w:r w:rsidR="00A200B5" w:rsidRPr="003C0842">
        <w:t xml:space="preserve">korzyści w negocjowanym </w:t>
      </w:r>
      <w:r w:rsidR="008D7893" w:rsidRPr="003C0842">
        <w:t xml:space="preserve">właśnie </w:t>
      </w:r>
      <w:r w:rsidR="00A200B5" w:rsidRPr="003C0842">
        <w:t>traktacie handlowym</w:t>
      </w:r>
      <w:r w:rsidR="007A772C" w:rsidRPr="003C0842">
        <w:rPr>
          <w:rStyle w:val="Odwoanieprzypisudolnego"/>
          <w:rFonts w:ascii="Times New Roman" w:hAnsi="Times New Roman"/>
          <w:sz w:val="24"/>
        </w:rPr>
        <w:footnoteReference w:id="272"/>
      </w:r>
      <w:r w:rsidR="00A200B5" w:rsidRPr="003C0842">
        <w:t>.</w:t>
      </w:r>
      <w:r w:rsidR="008D7893" w:rsidRPr="003C0842">
        <w:t xml:space="preserve"> Jego r</w:t>
      </w:r>
      <w:r w:rsidR="00A200B5" w:rsidRPr="003C0842">
        <w:t>ozwinięciem lub towarzyszem miało być – częściowo też tajne – porozumienie polityczne</w:t>
      </w:r>
      <w:r w:rsidR="008D7893" w:rsidRPr="003C0842">
        <w:t>, o</w:t>
      </w:r>
      <w:r w:rsidR="00A200B5" w:rsidRPr="003C0842">
        <w:t xml:space="preserve">parte na zasadzie powstrzymania się </w:t>
      </w:r>
      <w:r w:rsidR="00A200B5" w:rsidRPr="003C0842">
        <w:lastRenderedPageBreak/>
        <w:t>od wszelkich nieprzyjaznych kombinacji międzynarodowych</w:t>
      </w:r>
      <w:r w:rsidR="008D7893" w:rsidRPr="003C0842">
        <w:t>. Chciano w nim widzieć alternatywę dla systemu wersalskiego</w:t>
      </w:r>
      <w:r w:rsidR="00A200B5" w:rsidRPr="003C0842">
        <w:rPr>
          <w:rStyle w:val="Odwoanieprzypisudolnego"/>
          <w:rFonts w:ascii="Times New Roman" w:hAnsi="Times New Roman"/>
          <w:sz w:val="24"/>
        </w:rPr>
        <w:footnoteReference w:id="273"/>
      </w:r>
      <w:r w:rsidR="00A200B5" w:rsidRPr="003C0842">
        <w:t>.</w:t>
      </w:r>
    </w:p>
    <w:p w:rsidR="007952EA" w:rsidRPr="003C0842" w:rsidRDefault="00A200B5" w:rsidP="00111348">
      <w:pPr>
        <w:spacing w:line="360" w:lineRule="auto"/>
        <w:ind w:firstLine="709"/>
      </w:pPr>
      <w:r w:rsidRPr="003C0842">
        <w:t xml:space="preserve">Niemcy pozostawały bardzo ważnym partnerem dla dyplomacji radzieckiej jako przysłowiowe „okno na świat”, chociaż lekko przymknięte, kiedy wiosną 1924 r. kolejno Wielka Brytania, Włochy i Francja uznały rząd bolszewicki de iure. </w:t>
      </w:r>
      <w:r w:rsidR="00170738" w:rsidRPr="003C0842">
        <w:t>Na tle zabiegów o gospodarcze wpływy w Rosji doszło nawet do pewnej rywalizacji miedzy mocarstwami</w:t>
      </w:r>
      <w:r w:rsidR="002468D5" w:rsidRPr="003C0842">
        <w:t xml:space="preserve">. </w:t>
      </w:r>
      <w:r w:rsidR="00CE1F41" w:rsidRPr="003C0842">
        <w:t>Towarzyszyły jej stałe</w:t>
      </w:r>
      <w:r w:rsidRPr="003C0842">
        <w:t xml:space="preserve">, </w:t>
      </w:r>
      <w:r w:rsidR="00E74569" w:rsidRPr="003C0842">
        <w:t>okazjonalnie eksploatowane</w:t>
      </w:r>
      <w:r w:rsidRPr="003C0842">
        <w:t xml:space="preserve"> obawy przed antyzachodnim sojuszem niemieckich rewizjonistów </w:t>
      </w:r>
      <w:r w:rsidR="00B9310F" w:rsidRPr="003C0842">
        <w:t>i</w:t>
      </w:r>
      <w:r w:rsidRPr="003C0842">
        <w:t xml:space="preserve"> rosyjski</w:t>
      </w:r>
      <w:r w:rsidR="00B9310F" w:rsidRPr="003C0842">
        <w:t>ch</w:t>
      </w:r>
      <w:r w:rsidRPr="003C0842">
        <w:t xml:space="preserve"> rewolucjonist</w:t>
      </w:r>
      <w:r w:rsidR="00B9310F" w:rsidRPr="003C0842">
        <w:t>ów. Wieszczenia</w:t>
      </w:r>
      <w:r w:rsidRPr="003C0842">
        <w:t xml:space="preserve"> o </w:t>
      </w:r>
      <w:r w:rsidR="00B9310F" w:rsidRPr="003C0842">
        <w:t xml:space="preserve">przygotowywanej, czy nawet </w:t>
      </w:r>
      <w:r w:rsidRPr="003C0842">
        <w:t xml:space="preserve">bliskiej rewolucji światowej </w:t>
      </w:r>
      <w:r w:rsidR="00B9310F" w:rsidRPr="003C0842">
        <w:t xml:space="preserve">– </w:t>
      </w:r>
      <w:r w:rsidRPr="003C0842">
        <w:t>to doświadczenie dopiero co przeżywane.</w:t>
      </w:r>
      <w:r w:rsidR="00B9310F" w:rsidRPr="003C0842">
        <w:t xml:space="preserve"> Z kolei w </w:t>
      </w:r>
      <w:r w:rsidRPr="003C0842">
        <w:t xml:space="preserve">Moskwie brano pod uwagę możliwą prowokację zbrojną któregoś z sąsiadów, któremu pospieszą </w:t>
      </w:r>
      <w:r w:rsidR="007952EA" w:rsidRPr="003C0842">
        <w:t xml:space="preserve">z pomocą </w:t>
      </w:r>
      <w:r w:rsidRPr="003C0842">
        <w:t>pozostali członkowie Ligi</w:t>
      </w:r>
      <w:r w:rsidR="00C41CCF" w:rsidRPr="003C0842">
        <w:t>,</w:t>
      </w:r>
      <w:r w:rsidRPr="003C0842">
        <w:t xml:space="preserve"> powołując się na art. 16 Paktu. Prawdopodobieństwo wystąpienia Niemiec w obronie Polski uwikłanej w</w:t>
      </w:r>
      <w:r w:rsidR="00E74569" w:rsidRPr="003C0842">
        <w:t xml:space="preserve"> brany pod uwagę</w:t>
      </w:r>
      <w:r w:rsidRPr="003C0842">
        <w:t xml:space="preserve"> konflikt z ZSRR </w:t>
      </w:r>
      <w:r w:rsidR="00C72B7C" w:rsidRPr="003C0842">
        <w:t>to scenariusz fatalny</w:t>
      </w:r>
      <w:r w:rsidRPr="003C0842">
        <w:t>,</w:t>
      </w:r>
      <w:r w:rsidR="00E74569" w:rsidRPr="003C0842">
        <w:t xml:space="preserve"> adla </w:t>
      </w:r>
      <w:r w:rsidR="007952EA" w:rsidRPr="003C0842">
        <w:t>Reichswe</w:t>
      </w:r>
      <w:r w:rsidR="00A3118F" w:rsidRPr="003C0842">
        <w:t>h</w:t>
      </w:r>
      <w:r w:rsidR="007952EA" w:rsidRPr="003C0842">
        <w:t>ry</w:t>
      </w:r>
      <w:r w:rsidR="00E74569" w:rsidRPr="003C0842">
        <w:t xml:space="preserve"> tragiczny z fars</w:t>
      </w:r>
      <w:r w:rsidR="00B20A3E" w:rsidRPr="003C0842">
        <w:t>ą</w:t>
      </w:r>
      <w:r w:rsidR="00E74569" w:rsidRPr="003C0842">
        <w:t xml:space="preserve"> w tle</w:t>
      </w:r>
      <w:r w:rsidRPr="003C0842">
        <w:t xml:space="preserve">. </w:t>
      </w:r>
      <w:r w:rsidR="007952EA" w:rsidRPr="003C0842">
        <w:t>Niemcy</w:t>
      </w:r>
      <w:r w:rsidR="00A3118F" w:rsidRPr="003C0842">
        <w:t>,</w:t>
      </w:r>
      <w:r w:rsidR="007952EA" w:rsidRPr="003C0842">
        <w:t xml:space="preserve"> p</w:t>
      </w:r>
      <w:r w:rsidRPr="003C0842">
        <w:t>rzyjmując art. 16</w:t>
      </w:r>
      <w:r w:rsidR="00A3118F" w:rsidRPr="003C0842">
        <w:t>,</w:t>
      </w:r>
      <w:r w:rsidRPr="003C0842">
        <w:t xml:space="preserve"> musieliby okazać Polsce pomoc, chociażby w </w:t>
      </w:r>
      <w:r w:rsidR="00E74569" w:rsidRPr="003C0842">
        <w:t xml:space="preserve">formie zgody </w:t>
      </w:r>
      <w:r w:rsidRPr="003C0842">
        <w:t>na tranzyt</w:t>
      </w:r>
      <w:r w:rsidR="00C72B7C" w:rsidRPr="003C0842">
        <w:t>. Tym samym</w:t>
      </w:r>
      <w:r w:rsidR="007952EA" w:rsidRPr="003C0842">
        <w:t xml:space="preserve"> znalazłaby się</w:t>
      </w:r>
      <w:r w:rsidR="00C72B7C" w:rsidRPr="003C0842">
        <w:t xml:space="preserve"> one</w:t>
      </w:r>
      <w:r w:rsidR="007952EA" w:rsidRPr="003C0842">
        <w:t xml:space="preserve"> w sferze działań wojennych </w:t>
      </w:r>
      <w:r w:rsidRPr="003C0842">
        <w:t xml:space="preserve">wbrew </w:t>
      </w:r>
      <w:r w:rsidR="007952EA" w:rsidRPr="003C0842">
        <w:t>swoim</w:t>
      </w:r>
      <w:r w:rsidR="00C41CCF" w:rsidRPr="003C0842">
        <w:t xml:space="preserve"> interesom politycznym</w:t>
      </w:r>
      <w:r w:rsidRPr="003C0842">
        <w:rPr>
          <w:rStyle w:val="Odwoanieprzypisudolnego"/>
          <w:rFonts w:ascii="Times New Roman" w:hAnsi="Times New Roman"/>
          <w:sz w:val="24"/>
        </w:rPr>
        <w:footnoteReference w:id="274"/>
      </w:r>
      <w:r w:rsidRPr="003C0842">
        <w:t xml:space="preserve">. </w:t>
      </w:r>
    </w:p>
    <w:p w:rsidR="00A200B5" w:rsidRPr="003C0842" w:rsidRDefault="00A200B5" w:rsidP="00111348">
      <w:pPr>
        <w:spacing w:line="360" w:lineRule="auto"/>
        <w:ind w:firstLine="709"/>
      </w:pPr>
      <w:r w:rsidRPr="003C0842">
        <w:t xml:space="preserve">Przed taką bodaj najczarniejszą z czarnych alternatywą mogło Niemców uchronić prawo do swobody przy określeniu swego udziału w krokach zarządzonych przez Radę przeciwko państwu uznanemu za agresora. </w:t>
      </w:r>
      <w:r w:rsidR="00E70D0F" w:rsidRPr="003C0842">
        <w:t>Oczekiwano przeto przyzwolenia na wybór niemieckiego zaangażowania w ewentualny konflikt, aż do</w:t>
      </w:r>
      <w:r w:rsidR="007952EA" w:rsidRPr="003C0842">
        <w:t xml:space="preserve"> zachowania </w:t>
      </w:r>
      <w:r w:rsidRPr="003C0842">
        <w:t>neutralności. Ze względ</w:t>
      </w:r>
      <w:r w:rsidR="00D30607" w:rsidRPr="003C0842">
        <w:t>ów propagandowych, głównie wewnę</w:t>
      </w:r>
      <w:r w:rsidRPr="003C0842">
        <w:t>trzn</w:t>
      </w:r>
      <w:r w:rsidR="00D30607" w:rsidRPr="003C0842">
        <w:t>ych</w:t>
      </w:r>
      <w:r w:rsidRPr="003C0842">
        <w:t xml:space="preserve"> przywoływany był </w:t>
      </w:r>
      <w:r w:rsidR="007952EA" w:rsidRPr="003C0842">
        <w:t>status</w:t>
      </w:r>
      <w:r w:rsidRPr="003C0842">
        <w:t xml:space="preserve"> Szwajcarii.</w:t>
      </w:r>
      <w:r w:rsidR="007952EA" w:rsidRPr="003C0842">
        <w:t xml:space="preserve"> Przypominano, że</w:t>
      </w:r>
      <w:r w:rsidRPr="003C0842">
        <w:t xml:space="preserve"> Rada L</w:t>
      </w:r>
      <w:r w:rsidR="007952EA" w:rsidRPr="003C0842">
        <w:t>N</w:t>
      </w:r>
      <w:r w:rsidRPr="003C0842">
        <w:t>, w rezolucj</w:t>
      </w:r>
      <w:r w:rsidR="00E70D0F" w:rsidRPr="003C0842">
        <w:t>i 13 lutego 1920 r. de facto zwolni</w:t>
      </w:r>
      <w:r w:rsidRPr="003C0842">
        <w:t>ła Szwajcarię z obowiązk</w:t>
      </w:r>
      <w:r w:rsidR="00E70D0F" w:rsidRPr="003C0842">
        <w:t>u partycypacji</w:t>
      </w:r>
      <w:r w:rsidRPr="003C0842">
        <w:t xml:space="preserve"> militarn</w:t>
      </w:r>
      <w:r w:rsidR="00E70D0F" w:rsidRPr="003C0842">
        <w:t>ej</w:t>
      </w:r>
      <w:r w:rsidR="007952EA" w:rsidRPr="003C0842">
        <w:t>wynikając</w:t>
      </w:r>
      <w:r w:rsidR="00E70D0F" w:rsidRPr="003C0842">
        <w:t>ej</w:t>
      </w:r>
      <w:r w:rsidRPr="003C0842">
        <w:t xml:space="preserve">z art. 16. Skoro wyjątek taki raz </w:t>
      </w:r>
      <w:r w:rsidR="007952EA" w:rsidRPr="003C0842">
        <w:t xml:space="preserve">już </w:t>
      </w:r>
      <w:r w:rsidRPr="003C0842">
        <w:t xml:space="preserve">uczyniono, to fatalne położenie geograficzne całkowicie rozbrojonych i kontrolowanych Niemiec </w:t>
      </w:r>
      <w:r w:rsidR="007952EA" w:rsidRPr="003C0842">
        <w:t>uzasadniało</w:t>
      </w:r>
      <w:r w:rsidRPr="003C0842">
        <w:t>przynajmniej odmowę tranzytu dla wszystkich walczących stron</w:t>
      </w:r>
      <w:r w:rsidRPr="003C0842">
        <w:rPr>
          <w:rStyle w:val="Odwoanieprzypisudolnego"/>
          <w:rFonts w:ascii="Times New Roman" w:hAnsi="Times New Roman"/>
          <w:sz w:val="24"/>
        </w:rPr>
        <w:footnoteReference w:id="275"/>
      </w:r>
      <w:r w:rsidRPr="003C0842">
        <w:t xml:space="preserve">. </w:t>
      </w:r>
    </w:p>
    <w:p w:rsidR="00A200B5" w:rsidRPr="003C0842" w:rsidRDefault="002468D5" w:rsidP="00111348">
      <w:pPr>
        <w:spacing w:line="360" w:lineRule="auto"/>
        <w:ind w:firstLine="709"/>
      </w:pPr>
      <w:r w:rsidRPr="003C0842">
        <w:lastRenderedPageBreak/>
        <w:t>Zakładany k</w:t>
      </w:r>
      <w:r w:rsidR="00A200B5" w:rsidRPr="003C0842">
        <w:t>onflikt zbrojny między Polską a ZSRR urastał do cynicznie eksploatowanego argumentu przez liderów toczącej się dyskusji o zobowiązaniach płynących z art. 16 Paktu nie tylko dla Niemiec</w:t>
      </w:r>
      <w:r w:rsidRPr="003C0842">
        <w:t>,</w:t>
      </w:r>
      <w:r w:rsidR="00A200B5" w:rsidRPr="003C0842">
        <w:t xml:space="preserve"> ale w ogóle dla Ligi jako całości. </w:t>
      </w:r>
      <w:r w:rsidR="00296F37" w:rsidRPr="003C0842">
        <w:t>To jeden z powodów, że</w:t>
      </w:r>
      <w:r w:rsidR="00A200B5" w:rsidRPr="003C0842">
        <w:t xml:space="preserve"> stał się osią kampanii akcesyjnej i jednym z najsilniej eksploatowanych tematów, także</w:t>
      </w:r>
      <w:r w:rsidR="00296F37" w:rsidRPr="003C0842">
        <w:t xml:space="preserve">w </w:t>
      </w:r>
      <w:r w:rsidR="00A200B5" w:rsidRPr="003C0842">
        <w:t>propagand</w:t>
      </w:r>
      <w:r w:rsidR="00296F37" w:rsidRPr="003C0842">
        <w:t>zie</w:t>
      </w:r>
      <w:r w:rsidR="00A200B5" w:rsidRPr="003C0842">
        <w:t xml:space="preserve">. </w:t>
      </w:r>
      <w:r w:rsidR="00296F37" w:rsidRPr="003C0842">
        <w:t>Jakkolwiek miała ona wymiar powszechny, to jednak szczególnie aktywne były różne organy i agendy samej Ligi. W</w:t>
      </w:r>
      <w:r w:rsidR="00A200B5" w:rsidRPr="003C0842">
        <w:t xml:space="preserve"> powodzi </w:t>
      </w:r>
      <w:r w:rsidR="00296F37" w:rsidRPr="003C0842">
        <w:t xml:space="preserve">zapisanegoprzez nie </w:t>
      </w:r>
      <w:r w:rsidR="00A200B5" w:rsidRPr="003C0842">
        <w:t>materiału w</w:t>
      </w:r>
      <w:r w:rsidR="00296F37" w:rsidRPr="003C0842">
        <w:t>idać próbę dania jakiejś satysfakcji</w:t>
      </w:r>
      <w:r w:rsidR="00A3118F" w:rsidRPr="003C0842">
        <w:t>,</w:t>
      </w:r>
      <w:r w:rsidR="00296F37" w:rsidRPr="003C0842">
        <w:t xml:space="preserve"> jeśli nie wszystkim, to chociaż najważniejszym graczom. </w:t>
      </w:r>
      <w:r w:rsidR="000437C3" w:rsidRPr="003C0842">
        <w:t>Stąd</w:t>
      </w:r>
      <w:r w:rsidR="00A200B5" w:rsidRPr="003C0842">
        <w:t xml:space="preserve"> wewnętrzn</w:t>
      </w:r>
      <w:r w:rsidR="000437C3" w:rsidRPr="003C0842">
        <w:t>e</w:t>
      </w:r>
      <w:r w:rsidR="00A200B5" w:rsidRPr="003C0842">
        <w:t xml:space="preserve"> sprzeczności występując</w:t>
      </w:r>
      <w:r w:rsidR="000437C3" w:rsidRPr="003C0842">
        <w:t>e</w:t>
      </w:r>
      <w:r w:rsidR="00A200B5" w:rsidRPr="003C0842">
        <w:t xml:space="preserve"> w opiniach Rady</w:t>
      </w:r>
      <w:r w:rsidR="000437C3" w:rsidRPr="003C0842">
        <w:t>, nie mówiąc o</w:t>
      </w:r>
      <w:r w:rsidR="00A200B5" w:rsidRPr="003C0842">
        <w:t xml:space="preserve"> jej członk</w:t>
      </w:r>
      <w:r w:rsidR="000437C3" w:rsidRPr="003C0842">
        <w:t>ach</w:t>
      </w:r>
      <w:r w:rsidR="00A200B5" w:rsidRPr="003C0842">
        <w:t xml:space="preserve">. Stronnicza interpretacja poszczególnych fragmentów zaciemniała i tak niejasny obraz.W ważnej odpowiedzi Rady z 14 marca 1925 r. </w:t>
      </w:r>
      <w:r w:rsidR="000437C3" w:rsidRPr="003C0842">
        <w:t>napisano</w:t>
      </w:r>
      <w:r w:rsidR="00A200B5" w:rsidRPr="003C0842">
        <w:t xml:space="preserve">, że nie może wchodzić w grę żadne indywidualnie adresowane stanowisko, </w:t>
      </w:r>
      <w:r w:rsidR="00C72B7C" w:rsidRPr="003C0842">
        <w:t xml:space="preserve">ale to </w:t>
      </w:r>
      <w:r w:rsidR="00A200B5" w:rsidRPr="003C0842">
        <w:t xml:space="preserve">jednak </w:t>
      </w:r>
      <w:r w:rsidR="00B20A3E" w:rsidRPr="003C0842">
        <w:t>od</w:t>
      </w:r>
      <w:r w:rsidR="00A200B5" w:rsidRPr="003C0842">
        <w:t xml:space="preserve"> konkretnego państwa będzie </w:t>
      </w:r>
      <w:r w:rsidR="00B20A3E" w:rsidRPr="003C0842">
        <w:t>z</w:t>
      </w:r>
      <w:r w:rsidR="00A200B5" w:rsidRPr="003C0842">
        <w:t>ależało określenie swego zaangażowania w realizację zaleceń Rady. Charakter i znaczenie faktycznego udziału w operacjach wojskowych Ligi „są z konieczności zmienne, w zależności od sytuacji wojskowej tych państw”. Ponadto Niemcy</w:t>
      </w:r>
      <w:r w:rsidR="00A3118F" w:rsidRPr="003C0842">
        <w:t>,</w:t>
      </w:r>
      <w:r w:rsidR="00A200B5" w:rsidRPr="003C0842">
        <w:t xml:space="preserve"> będąc członkiem Rady i Ligi</w:t>
      </w:r>
      <w:r w:rsidR="00A3118F" w:rsidRPr="003C0842">
        <w:t>,</w:t>
      </w:r>
      <w:r w:rsidR="00A200B5" w:rsidRPr="003C0842">
        <w:t xml:space="preserve"> zawsze będą brały udział w podejmowaniu decyzji dotyczących stosowania Paktu. </w:t>
      </w:r>
      <w:r w:rsidR="00B20A3E" w:rsidRPr="003C0842">
        <w:t>Mówiąc o</w:t>
      </w:r>
      <w:r w:rsidR="00A200B5" w:rsidRPr="003C0842">
        <w:t xml:space="preserve"> praw</w:t>
      </w:r>
      <w:r w:rsidR="00B20A3E" w:rsidRPr="003C0842">
        <w:t>ie</w:t>
      </w:r>
      <w:r w:rsidR="00A200B5" w:rsidRPr="003C0842">
        <w:t xml:space="preserve"> do swobod</w:t>
      </w:r>
      <w:r w:rsidR="00B20A3E" w:rsidRPr="003C0842">
        <w:t>y w sprawie stosowania</w:t>
      </w:r>
      <w:r w:rsidR="00A200B5" w:rsidRPr="003C0842">
        <w:t xml:space="preserve"> sankcji ekonomicznych, zaznacz</w:t>
      </w:r>
      <w:r w:rsidR="00B20A3E" w:rsidRPr="003C0842">
        <w:t>ono</w:t>
      </w:r>
      <w:r w:rsidR="00A200B5" w:rsidRPr="003C0842">
        <w:t>, że wszelkie zastrzeżeni</w:t>
      </w:r>
      <w:r w:rsidR="00B20A3E" w:rsidRPr="003C0842">
        <w:t>a i rezerwa w tym zakresie „były</w:t>
      </w:r>
      <w:r w:rsidR="00A200B5" w:rsidRPr="003C0842">
        <w:t>by podkopywaniem podstaw Ligi”, a nawet sprzeczne z istotą członkostwa</w:t>
      </w:r>
      <w:r w:rsidR="00A200B5" w:rsidRPr="003C0842">
        <w:rPr>
          <w:rStyle w:val="Odwoanieprzypisudolnego"/>
          <w:rFonts w:ascii="Times New Roman" w:hAnsi="Times New Roman"/>
          <w:sz w:val="24"/>
        </w:rPr>
        <w:footnoteReference w:id="276"/>
      </w:r>
      <w:r w:rsidR="00A200B5" w:rsidRPr="003C0842">
        <w:t>.</w:t>
      </w:r>
    </w:p>
    <w:p w:rsidR="00A200B5" w:rsidRPr="003C0842" w:rsidRDefault="00A200B5" w:rsidP="00111348">
      <w:pPr>
        <w:spacing w:line="360" w:lineRule="auto"/>
        <w:ind w:firstLine="709"/>
      </w:pPr>
      <w:r w:rsidRPr="003C0842">
        <w:t xml:space="preserve">Odpowiedź ta zredagowana w kurtuazyjnym tonie utwierdzała niemiecką, radziecką i każdą inną opinię publiczną w przekonaniu, że Niemcy będą same decydowały, czy jakieś państwo dopuściło się agresji </w:t>
      </w:r>
      <w:r w:rsidR="000437C3" w:rsidRPr="003C0842">
        <w:t>oraz</w:t>
      </w:r>
      <w:r w:rsidRPr="003C0842">
        <w:t xml:space="preserve"> jakie środki należy zastosować. Wypowiedzi w takim duchu i z takim przekonaniem zdominowały też międzynarodową przestrzeń polityczną w związku z</w:t>
      </w:r>
      <w:r w:rsidR="001F446E" w:rsidRPr="003C0842">
        <w:t>e</w:t>
      </w:r>
      <w:r w:rsidR="00B20A3E" w:rsidRPr="003C0842">
        <w:t>wzmiankowanym już</w:t>
      </w:r>
      <w:r w:rsidRPr="003C0842">
        <w:t xml:space="preserve"> listem wystosowanym 16 października 1925 r. do delegacji niemieckiej</w:t>
      </w:r>
      <w:r w:rsidR="00E70D0F" w:rsidRPr="003C0842">
        <w:t xml:space="preserve"> przez pozostałych </w:t>
      </w:r>
      <w:r w:rsidRPr="003C0842">
        <w:t>uczestników</w:t>
      </w:r>
      <w:r w:rsidR="00E70D0F" w:rsidRPr="003C0842">
        <w:t xml:space="preserve"> negocjacji lokarneńskich</w:t>
      </w:r>
      <w:r w:rsidRPr="003C0842">
        <w:t xml:space="preserve">. Uzależnienie stosowania artykułu </w:t>
      </w:r>
      <w:r w:rsidR="00B20A3E" w:rsidRPr="003C0842">
        <w:t xml:space="preserve">16 Paktu </w:t>
      </w:r>
      <w:r w:rsidRPr="003C0842">
        <w:t>od indywidualnej oceny sytuacji</w:t>
      </w:r>
      <w:r w:rsidR="000437C3" w:rsidRPr="003C0842">
        <w:t>,</w:t>
      </w:r>
      <w:r w:rsidR="00B20A3E" w:rsidRPr="003C0842">
        <w:t xml:space="preserve">niezależnie od </w:t>
      </w:r>
      <w:r w:rsidRPr="003C0842">
        <w:t>kwalifik</w:t>
      </w:r>
      <w:r w:rsidR="00B20A3E" w:rsidRPr="003C0842">
        <w:t>acji Rady,</w:t>
      </w:r>
      <w:r w:rsidR="000437C3" w:rsidRPr="003C0842">
        <w:t xml:space="preserve">było </w:t>
      </w:r>
      <w:r w:rsidR="00B20A3E" w:rsidRPr="003C0842">
        <w:t xml:space="preserve">silnym </w:t>
      </w:r>
      <w:r w:rsidRPr="003C0842">
        <w:t>uderzenie</w:t>
      </w:r>
      <w:r w:rsidR="000437C3" w:rsidRPr="003C0842">
        <w:t>m</w:t>
      </w:r>
      <w:r w:rsidRPr="003C0842">
        <w:t xml:space="preserve"> w ideę bezpieczeństwa wspólnego</w:t>
      </w:r>
      <w:r w:rsidR="00B20A3E" w:rsidRPr="003C0842">
        <w:t>. K</w:t>
      </w:r>
      <w:r w:rsidR="00E70D0F" w:rsidRPr="003C0842">
        <w:t>ażd</w:t>
      </w:r>
      <w:r w:rsidR="005455B3" w:rsidRPr="003C0842">
        <w:t>y</w:t>
      </w:r>
      <w:r w:rsidRPr="003C0842">
        <w:t xml:space="preserve"> człon</w:t>
      </w:r>
      <w:r w:rsidR="00E70D0F" w:rsidRPr="003C0842">
        <w:t>e</w:t>
      </w:r>
      <w:r w:rsidRPr="003C0842">
        <w:t>k Ligi</w:t>
      </w:r>
      <w:r w:rsidR="00E70D0F" w:rsidRPr="003C0842">
        <w:t xml:space="preserve"> „</w:t>
      </w:r>
      <w:r w:rsidR="00A3118F" w:rsidRPr="003C0842">
        <w:t>jest obowiązany</w:t>
      </w:r>
      <w:r w:rsidRPr="003C0842">
        <w:t xml:space="preserve"> lojalnie i skutecznie współpracować dla sprawy poszanowania Paktu o przeciwstawianiu się wszelkiemu aktowi agresji, w mierze stosownej do je</w:t>
      </w:r>
      <w:r w:rsidR="00E70D0F" w:rsidRPr="003C0842">
        <w:t>go</w:t>
      </w:r>
      <w:r w:rsidRPr="003C0842">
        <w:t xml:space="preserve"> sytuacji wojskowej i liczącej się z jego położeniem geograficznym”. Sformułowania te zostały poprzedzone trwającymi kilkanaście dni sporami w Locarno, w których anglo-niemiecki duet zwyciężył f</w:t>
      </w:r>
      <w:r w:rsidR="000437C3" w:rsidRPr="003C0842">
        <w:t>rancusko-belgijski opór</w:t>
      </w:r>
      <w:r w:rsidRPr="003C0842">
        <w:t xml:space="preserve">w sprawie art. 16. Zgodzono się </w:t>
      </w:r>
      <w:r w:rsidR="00970C3C" w:rsidRPr="003C0842">
        <w:t>bowiem</w:t>
      </w:r>
      <w:r w:rsidRPr="003C0842">
        <w:t xml:space="preserve"> na oczekiwaną przez Niemcy, a wskazaną wyżej interpretację</w:t>
      </w:r>
      <w:r w:rsidRPr="003C0842">
        <w:rPr>
          <w:rStyle w:val="Odwoanieprzypisudolnego"/>
          <w:rFonts w:ascii="Times New Roman" w:hAnsi="Times New Roman"/>
          <w:sz w:val="24"/>
        </w:rPr>
        <w:footnoteReference w:id="277"/>
      </w:r>
      <w:r w:rsidRPr="003C0842">
        <w:t>.</w:t>
      </w:r>
    </w:p>
    <w:p w:rsidR="00272FD2" w:rsidRPr="003C0842" w:rsidRDefault="00A200B5" w:rsidP="00111348">
      <w:pPr>
        <w:spacing w:line="360" w:lineRule="auto"/>
        <w:ind w:firstLine="709"/>
      </w:pPr>
      <w:r w:rsidRPr="003C0842">
        <w:lastRenderedPageBreak/>
        <w:t xml:space="preserve">W stale obecnych sporach historiografii dotyczących konferencji lokarneńskiej (5-16 października 1925 r.) wątek dotyczący Ligi Narodów jest silnie </w:t>
      </w:r>
      <w:r w:rsidR="00272FD2" w:rsidRPr="003C0842">
        <w:t>zaznaczany.</w:t>
      </w:r>
      <w:r w:rsidRPr="003C0842">
        <w:t xml:space="preserve"> Przez trwający kilka miesięcy proces odchodzenia od protokołu genewskiego i przybliżania się do elitarnego paktu gwarancyjnego, łączącego niektóre tylko państwa zwycięskie i pokonane, poszukiwano kompromisu pozwalającego na otwarcie nowego rozdziału w dziejach Europy. Problem w tym, że głównym graczom – Briandowi, Chamberlainowi i Stresemannowi – przyświecały jak najbardziej narodowe cele, w wielu elementach się wykluczające, a przy tym skrywane za humanitarno-pacyfistyczną frazeologią</w:t>
      </w:r>
      <w:r w:rsidR="000437C3" w:rsidRPr="003C0842">
        <w:t>,</w:t>
      </w:r>
      <w:r w:rsidRPr="003C0842">
        <w:t xml:space="preserve"> wypisaną na sztandarze ligowym. Z nim też mocarstwa lokarneńskie szły na Nadzwyczajne Zgromadzenie, które </w:t>
      </w:r>
      <w:r w:rsidR="00164234" w:rsidRPr="003C0842">
        <w:t>–</w:t>
      </w:r>
      <w:r w:rsidRPr="003C0842">
        <w:t xml:space="preserve">jak </w:t>
      </w:r>
      <w:r w:rsidR="00272FD2" w:rsidRPr="003C0842">
        <w:t xml:space="preserve">to już </w:t>
      </w:r>
      <w:r w:rsidRPr="003C0842">
        <w:t>wiemy</w:t>
      </w:r>
      <w:r w:rsidR="00164234" w:rsidRPr="003C0842">
        <w:t>–</w:t>
      </w:r>
      <w:r w:rsidRPr="003C0842">
        <w:t xml:space="preserve"> zakończyło się spektakularnym niepowodzeniem. </w:t>
      </w:r>
    </w:p>
    <w:p w:rsidR="00A200B5" w:rsidRPr="003C0842" w:rsidRDefault="00A200B5" w:rsidP="00111348">
      <w:pPr>
        <w:spacing w:line="360" w:lineRule="auto"/>
        <w:ind w:firstLine="709"/>
      </w:pPr>
      <w:r w:rsidRPr="003C0842">
        <w:t>„Policzek genewski” Niemcy odreagowywali</w:t>
      </w:r>
      <w:r w:rsidR="00272FD2" w:rsidRPr="003C0842">
        <w:t xml:space="preserve"> długo.W</w:t>
      </w:r>
      <w:r w:rsidR="00C72B7C" w:rsidRPr="003C0842">
        <w:t>yrazi</w:t>
      </w:r>
      <w:r w:rsidR="00272FD2" w:rsidRPr="003C0842">
        <w:t>ścierezonowało</w:t>
      </w:r>
      <w:r w:rsidRPr="003C0842">
        <w:t xml:space="preserve"> zbliżenie z Moskwą. Dowodziło to, że zamysł pozyskania Niemiec do współdziałania z Zachodem celem rozluźnienia, czy nawet rozerwania linii rapallskiej nie powiódł się. Nacjonalistyczne przekonania min. Stresemanna (jak i większości polityków tego czasu i nie tylko) nie przeszkadzały mu współdziałać nawet z obcymi mu ideowo internacjonalistami, jeśli w grę wchodziły dalsze i szersze interesy jego państwa i narodu. Pokazowy</w:t>
      </w:r>
      <w:r w:rsidR="00970C3C" w:rsidRPr="003C0842">
        <w:t>m</w:t>
      </w:r>
      <w:r w:rsidRPr="003C0842">
        <w:t xml:space="preserve"> przejaw</w:t>
      </w:r>
      <w:r w:rsidR="00970C3C" w:rsidRPr="003C0842">
        <w:t>em</w:t>
      </w:r>
      <w:r w:rsidRPr="003C0842">
        <w:t xml:space="preserve"> niemieckiej gry kartą rapallską było podpisanie w Moskwie (!) 12 października 1925 r. układu handlowego. Nie wnosił on wiele nowego do paroprocentowych obrotów. Wnosił wiele do polityki. Podpisano go bowiem na cztery dni przed parafowaniem układów w Locarno, chociaż już 1 lipca strony uznały sfinalizowanie porozumienia za przesądzone</w:t>
      </w:r>
      <w:r w:rsidRPr="003C0842">
        <w:rPr>
          <w:rStyle w:val="Odwoanieprzypisudolnego"/>
          <w:rFonts w:ascii="Times New Roman" w:hAnsi="Times New Roman"/>
          <w:sz w:val="24"/>
        </w:rPr>
        <w:footnoteReference w:id="278"/>
      </w:r>
      <w:r w:rsidRPr="003C0842">
        <w:t>.</w:t>
      </w:r>
    </w:p>
    <w:p w:rsidR="00BD56B3" w:rsidRDefault="00A200B5" w:rsidP="00111348">
      <w:pPr>
        <w:spacing w:line="360" w:lineRule="auto"/>
        <w:ind w:firstLine="709"/>
      </w:pPr>
      <w:r w:rsidRPr="003C0842">
        <w:t>Skontrowanie porozumień lokarneńskichukładem handlowym było też częściowym ukłonem wobec stale obecnych obaw Moskwy o przyłączenie się Niemiec do antyradzieckiej krucjaty. Żądano przeto – jak o tym już pisano wyżej, aby Niemcy w swym marszu do Ligi zagwarantowali „bezwarunkową neutralność” na wypadek wojny innych państw przeciwko ZSRR. Formalne osiągnięcie tego celu nie było możliwe, a</w:t>
      </w:r>
      <w:r w:rsidR="00272FD2" w:rsidRPr="003C0842">
        <w:t>czkolwiek</w:t>
      </w:r>
      <w:r w:rsidRPr="003C0842">
        <w:t xml:space="preserve"> uporczywe zabiegi o specjalną dla Niemiec </w:t>
      </w:r>
      <w:r w:rsidR="00844C73" w:rsidRPr="003C0842">
        <w:t xml:space="preserve">wykładnię </w:t>
      </w:r>
      <w:r w:rsidRPr="003C0842">
        <w:t xml:space="preserve">art. 16 Paktu, </w:t>
      </w:r>
      <w:r w:rsidR="00272FD2" w:rsidRPr="003C0842">
        <w:t>spełniało w istocie to oczekiwanie.</w:t>
      </w:r>
      <w:r w:rsidRPr="003C0842">
        <w:t xml:space="preserve"> Towarzyszyły temu ponawiane deklaracje, że Niemcy po wejściu do Ligi w żadnym razie nie przyłączą się do żadnej wrogiej wobec ZSRR akcji. Zarazem oferowano swoje usługi jeśliby Rosja zechciała kiedyś przystąpić do Ligi.</w:t>
      </w:r>
    </w:p>
    <w:p w:rsidR="00272FD2" w:rsidRPr="003C0842" w:rsidRDefault="00A200B5" w:rsidP="00111348">
      <w:pPr>
        <w:spacing w:line="360" w:lineRule="auto"/>
        <w:ind w:firstLine="709"/>
      </w:pPr>
      <w:r w:rsidRPr="003C0842">
        <w:t>Był to</w:t>
      </w:r>
      <w:r w:rsidR="009141AE" w:rsidRPr="003C0842">
        <w:t xml:space="preserve"> jeden z</w:t>
      </w:r>
      <w:r w:rsidR="00F00E46" w:rsidRPr="003C0842">
        <w:t xml:space="preserve"> dość często przewijających się</w:t>
      </w:r>
      <w:r w:rsidRPr="003C0842">
        <w:t xml:space="preserve"> temat</w:t>
      </w:r>
      <w:r w:rsidR="009141AE" w:rsidRPr="003C0842">
        <w:t>ów</w:t>
      </w:r>
      <w:r w:rsidR="00C5359A" w:rsidRPr="003C0842">
        <w:t>,</w:t>
      </w:r>
      <w:r w:rsidRPr="003C0842">
        <w:t xml:space="preserve"> ale też towarzysz rozbrojenia, które nie mogło być poważn</w:t>
      </w:r>
      <w:r w:rsidR="000A74A4" w:rsidRPr="003C0842">
        <w:t>i</w:t>
      </w:r>
      <w:r w:rsidRPr="003C0842">
        <w:t xml:space="preserve">e rozważane bez udziału mocarstw, do których zaliczano Stany Zjednoczone, Wielką Brytanię, Francję oraz mimo wszystko Rosję, a także Niemcy. Ogromne </w:t>
      </w:r>
      <w:r w:rsidRPr="003C0842">
        <w:lastRenderedPageBreak/>
        <w:t xml:space="preserve">zainteresowanie tą sprawą nieustannie kojarzoną z boleśnie pamiętaną „wielką wojną” powodowało, że formalne bojkotowanie rozbrojenia przez jakiekolwiek mocarstwo nie było możliwe. Nie przeszkadzało to jednak w indywidualizowaniu rozbrojenia i łączenia go z bezpieczeństwem pojmowanym „po swojemu”. Akceptacja własnych obywateli dla takiego podejścia była gwarantowana. </w:t>
      </w:r>
    </w:p>
    <w:p w:rsidR="009141AE" w:rsidRPr="003C0842" w:rsidRDefault="00A200B5" w:rsidP="00111348">
      <w:pPr>
        <w:spacing w:line="360" w:lineRule="auto"/>
        <w:ind w:firstLine="709"/>
      </w:pPr>
      <w:r w:rsidRPr="003C0842">
        <w:t>Nie dziwi przeto, że rozbrojone Niemcy nieustannie przypominały o ciążącym na Lidze obowiązku zrównania potencjału wojskowego (obronnego) wszystkich jej członków. Stany Zjednoczone i Rosja zorganizowały nawet osobne konferencje rozbrojeniowe, które uznać można za dywersję wobec Ligi i jej głównych zadań ze strony dwóch wielkich państw</w:t>
      </w:r>
      <w:r w:rsidR="000A74A4" w:rsidRPr="003C0842">
        <w:t>,</w:t>
      </w:r>
      <w:r w:rsidRPr="003C0842">
        <w:t xml:space="preserve"> kwestionujących </w:t>
      </w:r>
      <w:r w:rsidR="00272FD2" w:rsidRPr="003C0842">
        <w:t xml:space="preserve">ponadto </w:t>
      </w:r>
      <w:r w:rsidRPr="003C0842">
        <w:t xml:space="preserve">sens jej istnienia. Każda próba ruszenia tematu rozbrojeniowego była w Niemczech witana z </w:t>
      </w:r>
      <w:r w:rsidR="005455B3" w:rsidRPr="003C0842">
        <w:t>oczekiwaniami</w:t>
      </w:r>
      <w:r w:rsidRPr="003C0842">
        <w:t xml:space="preserve"> na lepszą przyszłość</w:t>
      </w:r>
      <w:r w:rsidR="005455B3" w:rsidRPr="003C0842">
        <w:t>,</w:t>
      </w:r>
      <w:r w:rsidRPr="003C0842">
        <w:t xml:space="preserve"> rozumianą zresztą bardzo różnie, najczęściej w duchu powrotu „dawnych czasów”. Jednak ponawiane sugestie powrotu do dyskusji o rozbrojeniu, choćby na zasadach rozpoczętych w Moskwie</w:t>
      </w:r>
      <w:r w:rsidR="00272FD2" w:rsidRPr="003C0842">
        <w:t>,</w:t>
      </w:r>
      <w:r w:rsidRPr="003C0842">
        <w:t xml:space="preserve"> zbywane były wskazywaniem na Genewę jako </w:t>
      </w:r>
      <w:r w:rsidR="00272FD2" w:rsidRPr="003C0842">
        <w:t xml:space="preserve">miejsce </w:t>
      </w:r>
      <w:r w:rsidRPr="003C0842">
        <w:t xml:space="preserve">najbardziej </w:t>
      </w:r>
      <w:r w:rsidR="00272FD2" w:rsidRPr="003C0842">
        <w:t xml:space="preserve">dla nich </w:t>
      </w:r>
      <w:r w:rsidRPr="003C0842">
        <w:t xml:space="preserve">odpowiednie. </w:t>
      </w:r>
    </w:p>
    <w:p w:rsidR="00A200B5" w:rsidRPr="003C0842" w:rsidRDefault="00E077BA" w:rsidP="00111348">
      <w:pPr>
        <w:spacing w:line="360" w:lineRule="auto"/>
        <w:ind w:firstLine="709"/>
      </w:pPr>
      <w:r w:rsidRPr="003C0842">
        <w:t xml:space="preserve">Ważnym elementem trwającej rozgrywki z Niemcami na głównym planie było podpisanie w Berlinie 24 kwietnia 1926 r. </w:t>
      </w:r>
      <w:r w:rsidR="00A200B5" w:rsidRPr="003C0842">
        <w:t>przez Niemcy i Rosję traktat</w:t>
      </w:r>
      <w:r w:rsidRPr="003C0842">
        <w:t>u</w:t>
      </w:r>
      <w:r w:rsidR="001C1682" w:rsidRPr="003C0842">
        <w:t>potwierdzającego „linię rapallską”</w:t>
      </w:r>
      <w:r w:rsidRPr="003C0842">
        <w:t>.</w:t>
      </w:r>
      <w:r w:rsidR="00A200B5" w:rsidRPr="003C0842">
        <w:t xml:space="preserve"> Z owym podpisem pod uzgodnionym już dokumentem czekano niemal rok. Rewel</w:t>
      </w:r>
      <w:r w:rsidR="00274540" w:rsidRPr="003C0842">
        <w:t>acji nie było</w:t>
      </w:r>
      <w:r w:rsidR="00845C43" w:rsidRPr="003C0842">
        <w:t>: p</w:t>
      </w:r>
      <w:r w:rsidR="00274540" w:rsidRPr="003C0842">
        <w:t>otwierdzał, ż</w:t>
      </w:r>
      <w:r w:rsidR="00A200B5" w:rsidRPr="003C0842">
        <w:t>e podstawą wzajemnych stosunków „pozostaje w dalszym ciągu traktat w Rapallo”. Neutralność na wypadek niesprecyzowanego konfliktu dotyczyła także bojkotu ekonomicznego i finansowego. Wymienione równocześnie noty wskazywały, że oba rządy, kierując się „lokarneńską” interpretacją art. 16 Paktu</w:t>
      </w:r>
      <w:r w:rsidR="00FD3419" w:rsidRPr="003C0842">
        <w:t>,</w:t>
      </w:r>
      <w:r w:rsidR="00A200B5" w:rsidRPr="003C0842">
        <w:t xml:space="preserve"> uznawały prawo Niemiec do postawy neutralnej wobec konfliktu z udziałem ZSRR</w:t>
      </w:r>
      <w:r w:rsidR="00A200B5" w:rsidRPr="003C0842">
        <w:rPr>
          <w:rStyle w:val="Odwoanieprzypisudolnego"/>
          <w:rFonts w:ascii="Times New Roman" w:hAnsi="Times New Roman"/>
          <w:sz w:val="24"/>
        </w:rPr>
        <w:footnoteReference w:id="279"/>
      </w:r>
      <w:r w:rsidR="00A200B5" w:rsidRPr="003C0842">
        <w:t>.</w:t>
      </w:r>
    </w:p>
    <w:p w:rsidR="00A200B5" w:rsidRPr="003C0842" w:rsidRDefault="00A200B5" w:rsidP="00111348">
      <w:pPr>
        <w:spacing w:line="360" w:lineRule="auto"/>
        <w:ind w:firstLine="709"/>
      </w:pPr>
      <w:r w:rsidRPr="003C0842">
        <w:t xml:space="preserve">Układ berliński wywołał zróżnicowane, na ogół negatywne reakcje. Wstrzemięźliwie też wypowiadali się o nim w </w:t>
      </w:r>
      <w:r w:rsidR="00274540" w:rsidRPr="003C0842">
        <w:t>S</w:t>
      </w:r>
      <w:r w:rsidRPr="003C0842">
        <w:t xml:space="preserve">ekretariacie LN, gdzie </w:t>
      </w:r>
      <w:r w:rsidR="00DA6E95" w:rsidRPr="003C0842">
        <w:t xml:space="preserve">jednak </w:t>
      </w:r>
      <w:r w:rsidRPr="003C0842">
        <w:t xml:space="preserve">podkreślano, że umawiające się państwa nie </w:t>
      </w:r>
      <w:r w:rsidR="00DA6E95" w:rsidRPr="003C0842">
        <w:t>są</w:t>
      </w:r>
      <w:r w:rsidRPr="003C0842">
        <w:t xml:space="preserve"> członkami Ligi. Jeśli problem ten rozpatrywano, to </w:t>
      </w:r>
      <w:r w:rsidR="00B564A1" w:rsidRPr="003C0842">
        <w:t xml:space="preserve">z powodu </w:t>
      </w:r>
      <w:r w:rsidRPr="003C0842">
        <w:t>nacisk</w:t>
      </w:r>
      <w:r w:rsidR="00B564A1" w:rsidRPr="003C0842">
        <w:t>u</w:t>
      </w:r>
      <w:r w:rsidRPr="003C0842">
        <w:t xml:space="preserve"> położon</w:t>
      </w:r>
      <w:r w:rsidR="00B564A1" w:rsidRPr="003C0842">
        <w:t>ego</w:t>
      </w:r>
      <w:r w:rsidRPr="003C0842">
        <w:t xml:space="preserve"> w układzie berlińskim na „neutralistyczn</w:t>
      </w:r>
      <w:r w:rsidR="006C0C91" w:rsidRPr="003C0842">
        <w:t>ą” interpretację</w:t>
      </w:r>
      <w:r w:rsidRPr="003C0842">
        <w:t>art. 16</w:t>
      </w:r>
      <w:r w:rsidR="006C0C91" w:rsidRPr="003C0842">
        <w:t xml:space="preserve"> Paktu</w:t>
      </w:r>
      <w:r w:rsidR="00B564A1" w:rsidRPr="003C0842">
        <w:t>. To</w:t>
      </w:r>
      <w:r w:rsidRPr="003C0842">
        <w:t xml:space="preserve"> niepożądane novum w dotychczasowej praktyce międzynarodowej</w:t>
      </w:r>
      <w:r w:rsidR="00B564A1" w:rsidRPr="003C0842">
        <w:t xml:space="preserve"> pojawiło się ponownie w </w:t>
      </w:r>
      <w:r w:rsidRPr="003C0842">
        <w:t>układ</w:t>
      </w:r>
      <w:r w:rsidR="00B564A1" w:rsidRPr="003C0842">
        <w:t>zie</w:t>
      </w:r>
      <w:r w:rsidRPr="003C0842">
        <w:t xml:space="preserve"> między Litwą a ZSRR</w:t>
      </w:r>
      <w:r w:rsidR="00B564A1" w:rsidRPr="003C0842">
        <w:t xml:space="preserve"> 28 września 1926 r. </w:t>
      </w:r>
      <w:r w:rsidRPr="003C0842">
        <w:t>„</w:t>
      </w:r>
      <w:r w:rsidR="00B564A1" w:rsidRPr="003C0842">
        <w:t>L</w:t>
      </w:r>
      <w:r w:rsidRPr="003C0842">
        <w:t>okarneńsk</w:t>
      </w:r>
      <w:r w:rsidR="00B564A1" w:rsidRPr="003C0842">
        <w:t>a” wykładnia</w:t>
      </w:r>
      <w:r w:rsidRPr="003C0842">
        <w:t xml:space="preserve"> art. 16 wystawił</w:t>
      </w:r>
      <w:r w:rsidR="00B564A1" w:rsidRPr="003C0842">
        <w:t>a</w:t>
      </w:r>
      <w:r w:rsidRPr="003C0842">
        <w:t xml:space="preserve"> na krytykę Litwę, która jako członek Ligi </w:t>
      </w:r>
      <w:r w:rsidR="00B564A1" w:rsidRPr="003C0842">
        <w:t>nie mogła zawrzeć</w:t>
      </w:r>
      <w:r w:rsidRPr="003C0842">
        <w:t xml:space="preserve"> żadnego porozumienia naruszającego ducha i literę Paktu. Obrona stanowiska Litwy, także z trybuny VIII Zgromadzenia przez A</w:t>
      </w:r>
      <w:r w:rsidR="00F85176" w:rsidRPr="003C0842">
        <w:t>ugustinasa</w:t>
      </w:r>
      <w:r w:rsidRPr="003C0842">
        <w:t xml:space="preserve"> Voldemarasa – premiera i ministra spraw </w:t>
      </w:r>
      <w:r w:rsidRPr="003C0842">
        <w:lastRenderedPageBreak/>
        <w:t>zagranicznych</w:t>
      </w:r>
      <w:r w:rsidR="00B564A1" w:rsidRPr="003C0842">
        <w:t>,</w:t>
      </w:r>
      <w:r w:rsidRPr="003C0842">
        <w:t xml:space="preserve"> raczej zwiększała liczbę państw skłonnych do utylitarnej interpretacji art. 16</w:t>
      </w:r>
      <w:r w:rsidRPr="003C0842">
        <w:rPr>
          <w:rStyle w:val="Odwoanieprzypisudolnego"/>
          <w:rFonts w:ascii="Times New Roman" w:hAnsi="Times New Roman"/>
          <w:sz w:val="24"/>
        </w:rPr>
        <w:footnoteReference w:id="280"/>
      </w:r>
      <w:r w:rsidRPr="003C0842">
        <w:t>.</w:t>
      </w:r>
    </w:p>
    <w:p w:rsidR="00A200B5" w:rsidRPr="003C0842" w:rsidRDefault="00A200B5" w:rsidP="00111348">
      <w:pPr>
        <w:spacing w:line="360" w:lineRule="auto"/>
        <w:ind w:firstLine="709"/>
      </w:pPr>
      <w:r w:rsidRPr="003C0842">
        <w:t xml:space="preserve">Zgodnie z przewidywaniami układ niemiecko-radziecki z 1926 r., jakkolwiek brany pod uwagę, a nawet spodziewany wywołał </w:t>
      </w:r>
      <w:r w:rsidR="00DC6E29" w:rsidRPr="003C0842">
        <w:t>silne</w:t>
      </w:r>
      <w:r w:rsidRPr="003C0842">
        <w:t xml:space="preserve"> wrażenie w świecie politycznym i dyplomatycznym. Filtrowany przez indywidualne interesy poszczególnych państw zyskał</w:t>
      </w:r>
      <w:r w:rsidR="006C0C91" w:rsidRPr="003C0842">
        <w:t xml:space="preserve"> pewną</w:t>
      </w:r>
      <w:r w:rsidRPr="003C0842">
        <w:t xml:space="preserve"> życzliwość Wielkiej Brytanii i mniej jawną</w:t>
      </w:r>
      <w:r w:rsidR="00164234" w:rsidRPr="003C0842">
        <w:t>–</w:t>
      </w:r>
      <w:r w:rsidRPr="003C0842">
        <w:t xml:space="preserve">Francji, pospołu przekonanych, że niemiecki rewizjonizm będzie na wschodzie Europy szukał ujścia. Formalna powściągliwość </w:t>
      </w:r>
      <w:r w:rsidR="00DC6E29" w:rsidRPr="003C0842">
        <w:t xml:space="preserve">obu </w:t>
      </w:r>
      <w:r w:rsidRPr="003C0842">
        <w:t xml:space="preserve">sygnatariuszy lokarneńskich nie mogła tuszować prawdy, że w toczącej się „grze o Niemcy” Zachód odnotował kolejne niepowodzenie. </w:t>
      </w:r>
      <w:r w:rsidR="00DC6E29" w:rsidRPr="003C0842">
        <w:t xml:space="preserve">Fakt ten uwypuklała spora część </w:t>
      </w:r>
      <w:r w:rsidRPr="003C0842">
        <w:t xml:space="preserve">opinii międzynarodowej, która traktowała umowy lokarneńskie i </w:t>
      </w:r>
      <w:r w:rsidR="00DC6E29" w:rsidRPr="003C0842">
        <w:t>towarzyszący mu</w:t>
      </w:r>
      <w:r w:rsidRPr="003C0842">
        <w:t xml:space="preserve"> „duch</w:t>
      </w:r>
      <w:r w:rsidR="00DC6E29" w:rsidRPr="003C0842">
        <w:t>”</w:t>
      </w:r>
      <w:r w:rsidRPr="003C0842">
        <w:t xml:space="preserve"> jako ustępstwo wobec Berlina. Dokonane </w:t>
      </w:r>
      <w:r w:rsidR="00DC6E29" w:rsidRPr="003C0842">
        <w:t>przy tej sposobności i krytykowane</w:t>
      </w:r>
      <w:r w:rsidRPr="003C0842">
        <w:t xml:space="preserve"> naruszenie systemu wersalskiego okazało się zbędną ofiarą zwycięzców, jeśli wśród celów całej operacji było osłabienie linii rapallskiej. Tymczasem</w:t>
      </w:r>
      <w:r w:rsidR="001C1682" w:rsidRPr="003C0842">
        <w:t xml:space="preserve"> t</w:t>
      </w:r>
      <w:r w:rsidRPr="003C0842">
        <w:t xml:space="preserve">raktat berliński z 1926 r. formalnie potwierdzał </w:t>
      </w:r>
      <w:r w:rsidR="001C1682" w:rsidRPr="003C0842">
        <w:t xml:space="preserve">jej </w:t>
      </w:r>
      <w:r w:rsidRPr="003C0842">
        <w:t>aktualność</w:t>
      </w:r>
      <w:r w:rsidR="001C1682" w:rsidRPr="003C0842">
        <w:t>.Było to więc n</w:t>
      </w:r>
      <w:r w:rsidRPr="003C0842">
        <w:t>iepowodzenie</w:t>
      </w:r>
      <w:r w:rsidR="001C1682" w:rsidRPr="003C0842">
        <w:t xml:space="preserve"> „Zachodu”, szczególnie</w:t>
      </w:r>
      <w:r w:rsidRPr="003C0842">
        <w:t xml:space="preserve"> rząd</w:t>
      </w:r>
      <w:r w:rsidR="001C1682" w:rsidRPr="003C0842">
        <w:t>u</w:t>
      </w:r>
      <w:r w:rsidRPr="003C0842">
        <w:t xml:space="preserve"> brytyjski</w:t>
      </w:r>
      <w:r w:rsidR="001C1682" w:rsidRPr="003C0842">
        <w:t>ego</w:t>
      </w:r>
      <w:r w:rsidRPr="003C0842">
        <w:t>,</w:t>
      </w:r>
      <w:r w:rsidR="001C1682" w:rsidRPr="003C0842">
        <w:t xml:space="preserve"> który</w:t>
      </w:r>
      <w:r w:rsidRPr="003C0842">
        <w:t xml:space="preserve"> generalnie wspiera</w:t>
      </w:r>
      <w:r w:rsidR="001C1682" w:rsidRPr="003C0842">
        <w:t>ł</w:t>
      </w:r>
      <w:r w:rsidRPr="003C0842">
        <w:t xml:space="preserve"> zbliżenie się Niemiec do grona mocarstw</w:t>
      </w:r>
      <w:r w:rsidR="00DA6E95" w:rsidRPr="003C0842">
        <w:t>,</w:t>
      </w:r>
      <w:r w:rsidR="001C1682" w:rsidRPr="003C0842">
        <w:t xml:space="preserve"> a jednocześnie dąż</w:t>
      </w:r>
      <w:r w:rsidRPr="003C0842">
        <w:t>y</w:t>
      </w:r>
      <w:r w:rsidR="001C1682" w:rsidRPr="003C0842">
        <w:t>ł</w:t>
      </w:r>
      <w:r w:rsidRPr="003C0842">
        <w:t xml:space="preserve"> do izol</w:t>
      </w:r>
      <w:r w:rsidR="001C1682" w:rsidRPr="003C0842">
        <w:t>owania</w:t>
      </w:r>
      <w:r w:rsidRPr="003C0842">
        <w:t xml:space="preserve"> Rosji.</w:t>
      </w:r>
    </w:p>
    <w:p w:rsidR="00A200B5" w:rsidRPr="003C0842" w:rsidRDefault="00A200B5" w:rsidP="00111348">
      <w:pPr>
        <w:spacing w:line="360" w:lineRule="auto"/>
        <w:ind w:firstLine="709"/>
      </w:pPr>
      <w:r w:rsidRPr="003C0842">
        <w:t>Układ berliński będący swoistym szachem dla ówczesnych liderów polityki europejskiej poszerzał pole niemieckiego manewru w związku z rozpoczynającymi się obradami Komisji Rekonstrukcji</w:t>
      </w:r>
      <w:r w:rsidR="006C0C91" w:rsidRPr="003C0842">
        <w:t>, mającej rozstrzygnąć zmiany w składzie Rady</w:t>
      </w:r>
      <w:r w:rsidRPr="003C0842">
        <w:t xml:space="preserve">.Można powiedzieć, że dwa tygodnie dzielące układ berliński od rozpoczęcia w Genewie obrad </w:t>
      </w:r>
      <w:r w:rsidR="00DC6E29" w:rsidRPr="003C0842">
        <w:t>tej K</w:t>
      </w:r>
      <w:r w:rsidRPr="003C0842">
        <w:t>omisji</w:t>
      </w:r>
      <w:r w:rsidR="00DC6E29" w:rsidRPr="003C0842">
        <w:t>,</w:t>
      </w:r>
      <w:r w:rsidRPr="003C0842">
        <w:t xml:space="preserve"> wypełni</w:t>
      </w:r>
      <w:r w:rsidR="00DA6E95" w:rsidRPr="003C0842">
        <w:t xml:space="preserve">ały </w:t>
      </w:r>
      <w:r w:rsidRPr="003C0842">
        <w:t>analiz</w:t>
      </w:r>
      <w:r w:rsidR="00DA6E95" w:rsidRPr="003C0842">
        <w:t>y</w:t>
      </w:r>
      <w:r w:rsidRPr="003C0842">
        <w:t xml:space="preserve"> nasilającej się „gry o Niemcy” z coraz aktywniejszym ich udziałem.</w:t>
      </w:r>
    </w:p>
    <w:p w:rsidR="00A200B5" w:rsidRPr="003C0842" w:rsidRDefault="00A200B5" w:rsidP="00111348">
      <w:pPr>
        <w:spacing w:line="360" w:lineRule="auto"/>
        <w:ind w:firstLine="709"/>
      </w:pPr>
    </w:p>
    <w:p w:rsidR="00A200B5" w:rsidRPr="003C0842" w:rsidRDefault="00A200B5" w:rsidP="00111348">
      <w:pPr>
        <w:spacing w:line="360" w:lineRule="auto"/>
        <w:ind w:firstLine="709"/>
      </w:pPr>
    </w:p>
    <w:p w:rsidR="00A200B5" w:rsidRPr="003C0842" w:rsidRDefault="00930F1A" w:rsidP="00111348">
      <w:pPr>
        <w:spacing w:line="360" w:lineRule="auto"/>
        <w:ind w:firstLine="0"/>
        <w:outlineLvl w:val="0"/>
        <w:rPr>
          <w:b/>
        </w:rPr>
      </w:pPr>
      <w:r w:rsidRPr="003C0842">
        <w:rPr>
          <w:b/>
        </w:rPr>
        <w:t>6</w:t>
      </w:r>
      <w:r w:rsidR="00A200B5" w:rsidRPr="003C0842">
        <w:rPr>
          <w:b/>
        </w:rPr>
        <w:t>. Sukces, kompromis, klęska</w:t>
      </w:r>
    </w:p>
    <w:p w:rsidR="00A200B5" w:rsidRPr="003C0842" w:rsidRDefault="00A200B5" w:rsidP="00111348">
      <w:pPr>
        <w:spacing w:line="360" w:lineRule="auto"/>
        <w:ind w:firstLine="709"/>
      </w:pPr>
    </w:p>
    <w:p w:rsidR="00A200B5" w:rsidRPr="003C0842" w:rsidRDefault="00A200B5" w:rsidP="00111348">
      <w:pPr>
        <w:spacing w:line="360" w:lineRule="auto"/>
        <w:ind w:firstLine="709"/>
      </w:pPr>
      <w:r w:rsidRPr="003C0842">
        <w:t xml:space="preserve">Niepowodzenie Nadzwyczajnego Zgromadzenia komentowano dość zgodnie jako przejaw poważnego kryzysu, który dotknął nie tylko LN, ale w ogóle stosunki </w:t>
      </w:r>
      <w:r w:rsidR="00DC6E29" w:rsidRPr="003C0842">
        <w:t>poukładane w ramach systemu wersalskiego</w:t>
      </w:r>
      <w:r w:rsidRPr="003C0842">
        <w:t xml:space="preserve">. Propozycje przełamania impasu wychodziły z różnych środowisk, w tym także osób prywatnych, trudnych do identyfikacji. Nadsyłane do Genewy projekty najczęściej uwzględniały interesy i punkt widzenia państwa (narodu) autora. Z Włoch, konkretnie z Mediolanu niejaki Norman Ph. Chachati był przerażony perspektywą </w:t>
      </w:r>
      <w:r w:rsidRPr="003C0842">
        <w:lastRenderedPageBreak/>
        <w:t>przekształcenia się Rady w „istną wieżę Babel”. Za szczególnie naganne uważał istotne powiększenie liczby stałych miejsc o państwa, których interesy i rola międzynarodowa były ograniczone. Proponował więc</w:t>
      </w:r>
      <w:r w:rsidR="00FD3419" w:rsidRPr="003C0842">
        <w:t>,</w:t>
      </w:r>
      <w:r w:rsidRPr="003C0842">
        <w:t xml:space="preserve"> aby takie państwa</w:t>
      </w:r>
      <w:r w:rsidR="00FD3419" w:rsidRPr="003C0842">
        <w:t>,</w:t>
      </w:r>
      <w:r w:rsidRPr="003C0842">
        <w:t xml:space="preserve"> jak Polska, Hiszpania, Brazylia i Chiny (wymienione w takiej kolejności), które reprezentują ograniczone interesy</w:t>
      </w:r>
      <w:r w:rsidR="006C0C91" w:rsidRPr="003C0842">
        <w:t>,</w:t>
      </w:r>
      <w:r w:rsidRPr="003C0842">
        <w:t xml:space="preserve"> współtworzyły „podrady” (</w:t>
      </w:r>
      <w:r w:rsidRPr="003C0842">
        <w:rPr>
          <w:i/>
        </w:rPr>
        <w:t>sub-councils</w:t>
      </w:r>
      <w:r w:rsidRPr="003C0842">
        <w:t>)</w:t>
      </w:r>
      <w:r w:rsidR="00DC6E29" w:rsidRPr="003C0842">
        <w:t>,</w:t>
      </w:r>
      <w:r w:rsidRPr="003C0842">
        <w:t xml:space="preserve"> skoncentrowane na sprawach lokalnych dotyczących np. Europy, Morza Śródziemnego, Ameryki, Afryki i Pacyfiku</w:t>
      </w:r>
      <w:r w:rsidRPr="003C0842">
        <w:rPr>
          <w:rStyle w:val="Odwoanieprzypisudolnego"/>
          <w:rFonts w:ascii="Times New Roman" w:hAnsi="Times New Roman"/>
          <w:sz w:val="24"/>
        </w:rPr>
        <w:footnoteReference w:id="281"/>
      </w:r>
      <w:r w:rsidRPr="003C0842">
        <w:t>.</w:t>
      </w:r>
    </w:p>
    <w:p w:rsidR="00A200B5" w:rsidRPr="003C0842" w:rsidRDefault="00A200B5" w:rsidP="00111348">
      <w:pPr>
        <w:spacing w:line="360" w:lineRule="auto"/>
        <w:ind w:firstLine="709"/>
      </w:pPr>
      <w:r w:rsidRPr="003C0842">
        <w:t>Włosi, zasiadając w Radzie w randze mocarstwa (</w:t>
      </w:r>
      <w:r w:rsidR="00DC6E29" w:rsidRPr="003C0842">
        <w:t xml:space="preserve">wiemy już, że </w:t>
      </w:r>
      <w:r w:rsidRPr="003C0842">
        <w:t>najczęściej kwestionowanego)</w:t>
      </w:r>
      <w:r w:rsidR="00FD3419" w:rsidRPr="003C0842">
        <w:t>,</w:t>
      </w:r>
      <w:r w:rsidRPr="003C0842">
        <w:t xml:space="preserve"> równie silnie bronili tej pozycji</w:t>
      </w:r>
      <w:r w:rsidR="008D4ECE" w:rsidRPr="003C0842">
        <w:t>,</w:t>
      </w:r>
      <w:r w:rsidRPr="003C0842">
        <w:t xml:space="preserve"> jak </w:t>
      </w:r>
      <w:r w:rsidR="008D4ECE" w:rsidRPr="003C0842">
        <w:t xml:space="preserve">natarczywie </w:t>
      </w:r>
      <w:r w:rsidRPr="003C0842">
        <w:t>chciały ją zdobyć państwa znajdujące się według własnej oceny w zbliżonej, a nawet lepszej sytuacji. Przekonanie to znajdowało zwykle żywy oddźwięk w narodowych stowarzyszeniach filoligowych, które informowały „Genewę” o swym stanowisku, na ogół ściśle zbieżnym z zapatrywaniem swego rządu. Konstrukcja tych telegramów, listów, komunikatów</w:t>
      </w:r>
      <w:r w:rsidR="00DC6E29" w:rsidRPr="003C0842">
        <w:t>, apeli</w:t>
      </w:r>
      <w:r w:rsidRPr="003C0842">
        <w:t xml:space="preserve"> itp. była </w:t>
      </w:r>
      <w:r w:rsidR="00FB6724" w:rsidRPr="003C0842">
        <w:t>rzec można monotonna</w:t>
      </w:r>
      <w:r w:rsidRPr="003C0842">
        <w:t>: jednomyślnie popierany projekt wstąpienia Niemiec do Ligi i przyznania im stałego miejsca w Radzie</w:t>
      </w:r>
      <w:r w:rsidR="00FD3419" w:rsidRPr="003C0842">
        <w:t>,</w:t>
      </w:r>
      <w:r w:rsidRPr="003C0842">
        <w:t xml:space="preserve"> jeśli analogiczne miejsce będzie zarezerwowane dla państwa nadawcy. Wśród śladów takiej międzynarodowej aktywności jest również 40-wierszowy telegram Associaton Polonaise pour la SDN</w:t>
      </w:r>
      <w:r w:rsidR="00594ECF" w:rsidRPr="003C0842">
        <w:t xml:space="preserve"> podpisany przez Witolda Chodź</w:t>
      </w:r>
      <w:r w:rsidR="00D732A3" w:rsidRPr="003C0842">
        <w:t>kę</w:t>
      </w:r>
      <w:r w:rsidRPr="003C0842">
        <w:t xml:space="preserve"> (prezes) i Zygmunta Nagórskiego (sekretarz generalny). Proligowcy polscy apelowali do bratnich krajowych stowarzyszeń aby w imię „wspólnych zasad międzynarodowej współpracy między narodami oraz realizacji umów lokarneńskich” wsparli ich punkt widzenia</w:t>
      </w:r>
      <w:r w:rsidRPr="003C0842">
        <w:rPr>
          <w:rStyle w:val="Odwoanieprzypisudolnego"/>
          <w:rFonts w:ascii="Times New Roman" w:hAnsi="Times New Roman"/>
          <w:sz w:val="24"/>
        </w:rPr>
        <w:footnoteReference w:id="282"/>
      </w:r>
      <w:r w:rsidRPr="003C0842">
        <w:t>.</w:t>
      </w:r>
    </w:p>
    <w:p w:rsidR="006C0C91" w:rsidRPr="003C0842" w:rsidRDefault="00A200B5" w:rsidP="00111348">
      <w:pPr>
        <w:spacing w:line="360" w:lineRule="auto"/>
        <w:ind w:firstLine="709"/>
      </w:pPr>
      <w:r w:rsidRPr="003C0842">
        <w:t xml:space="preserve">Apel ten pozostał bez echa jeśli nie liczyć innych, jakże licznych stowarzyszeń uznających się za uprawnione do wyrażenia opinii o wejściu Niemiec do Ligi. Zakres terytorialny i organizacyjny </w:t>
      </w:r>
      <w:r w:rsidR="006C0C91" w:rsidRPr="003C0842">
        <w:t xml:space="preserve">listów </w:t>
      </w:r>
      <w:r w:rsidRPr="003C0842">
        <w:t xml:space="preserve">płynących do prasy krajowej </w:t>
      </w:r>
      <w:r w:rsidR="008D4ECE" w:rsidRPr="003C0842">
        <w:t>oraz</w:t>
      </w:r>
      <w:r w:rsidRPr="003C0842">
        <w:t xml:space="preserve"> „Genewy” był ogromny</w:t>
      </w:r>
      <w:r w:rsidR="00DC6E29" w:rsidRPr="003C0842">
        <w:t xml:space="preserve">. </w:t>
      </w:r>
      <w:r w:rsidR="002839B9" w:rsidRPr="003C0842">
        <w:t>Realnego w</w:t>
      </w:r>
      <w:r w:rsidR="00DC6E29" w:rsidRPr="003C0842">
        <w:t>pływu nie miał, ale</w:t>
      </w:r>
      <w:r w:rsidRPr="003C0842">
        <w:t>świadcz</w:t>
      </w:r>
      <w:r w:rsidR="00DC6E29" w:rsidRPr="003C0842">
        <w:t>ył</w:t>
      </w:r>
      <w:r w:rsidRPr="003C0842">
        <w:t xml:space="preserve"> o intensywności społecznego przeżywania spraw międzynarodowych przez lokalne środowiska. Z polskiego Tarnowa </w:t>
      </w:r>
      <w:r w:rsidR="00FD3419" w:rsidRPr="003C0842">
        <w:t>n</w:t>
      </w:r>
      <w:r w:rsidRPr="003C0842">
        <w:t>a przykład p. K. Dzikowska, jako prezydentka Catholic Women’s Associati</w:t>
      </w:r>
      <w:r w:rsidR="002839B9" w:rsidRPr="003C0842">
        <w:t>on przekazała stosowny apel do S</w:t>
      </w:r>
      <w:r w:rsidRPr="003C0842">
        <w:t xml:space="preserve">ekretarza </w:t>
      </w:r>
      <w:r w:rsidR="002839B9" w:rsidRPr="003C0842">
        <w:t>G</w:t>
      </w:r>
      <w:r w:rsidRPr="003C0842">
        <w:t>eneralnego napisany w trzech językach – po angielsku, francusku i polsku</w:t>
      </w:r>
      <w:r w:rsidRPr="003C0842">
        <w:rPr>
          <w:rStyle w:val="Odwoanieprzypisudolnego"/>
          <w:rFonts w:ascii="Times New Roman" w:hAnsi="Times New Roman"/>
          <w:sz w:val="24"/>
        </w:rPr>
        <w:footnoteReference w:id="283"/>
      </w:r>
      <w:r w:rsidRPr="003C0842">
        <w:t xml:space="preserve">. </w:t>
      </w:r>
    </w:p>
    <w:p w:rsidR="00A200B5" w:rsidRPr="003C0842" w:rsidRDefault="00A200B5" w:rsidP="00111348">
      <w:pPr>
        <w:spacing w:line="360" w:lineRule="auto"/>
        <w:ind w:firstLine="709"/>
      </w:pPr>
      <w:r w:rsidRPr="003C0842">
        <w:t>Nieco tylko większą „wagę” miały apele innych lub podobnych stowarzyszeń, zwłaszcza jeśli nie skrywali się za nimi politycy będący u władzy. Odnieść t</w:t>
      </w:r>
      <w:r w:rsidR="00D732A3" w:rsidRPr="003C0842">
        <w:t>o można do zdominowanej przez la</w:t>
      </w:r>
      <w:r w:rsidRPr="003C0842">
        <w:t xml:space="preserve">burzystów League of Abolish War, która 26 marca 1926 r. przegłosowała rezolucję zgłoszoną przez </w:t>
      </w:r>
      <w:r w:rsidR="00FD3419" w:rsidRPr="003C0842">
        <w:t xml:space="preserve">George’a </w:t>
      </w:r>
      <w:r w:rsidRPr="003C0842">
        <w:t>Barnesa (</w:t>
      </w:r>
      <w:r w:rsidR="008D4ECE" w:rsidRPr="003C0842">
        <w:t>po</w:t>
      </w:r>
      <w:r w:rsidRPr="003C0842">
        <w:t xml:space="preserve">znanego w środowisku </w:t>
      </w:r>
      <w:r w:rsidRPr="003C0842">
        <w:lastRenderedPageBreak/>
        <w:t xml:space="preserve">ligowym </w:t>
      </w:r>
      <w:r w:rsidR="006C0C91" w:rsidRPr="003C0842">
        <w:t xml:space="preserve">jako </w:t>
      </w:r>
      <w:r w:rsidRPr="003C0842">
        <w:t>obrońc</w:t>
      </w:r>
      <w:r w:rsidR="006C0C91" w:rsidRPr="003C0842">
        <w:t>ę</w:t>
      </w:r>
      <w:r w:rsidRPr="003C0842">
        <w:t xml:space="preserve"> Rosji Radzieckiej) sugerującą potrzebę gruntownych reform, eliminujących podobne kryzysy w przyszłości. Ubolewając z powodu fiaska Nadzwyczajnego Zgromadzenia łączono je z</w:t>
      </w:r>
      <w:r w:rsidR="008D4ECE" w:rsidRPr="003C0842">
        <w:t>e zbędnym</w:t>
      </w:r>
      <w:r w:rsidRPr="003C0842">
        <w:t xml:space="preserve"> wymogiem jednomyślności głosowania w Radzie. Sugerowano więc przyjęcie zasady większościowej – dwóch trzecich lub trzech czwartych. Opowiadano się też za utrzymaniem obecności wśród stałych członków Rady jedynie „wielkich mocarstw”, których lista byłaby weryfikowana co 10-20 lat. Pozostali członkowie Ligi byliby wybierani przez Zgromadzenie na jeden rok z możliwością reelekcji</w:t>
      </w:r>
      <w:r w:rsidRPr="003C0842">
        <w:rPr>
          <w:rStyle w:val="Odwoanieprzypisudolnego"/>
          <w:rFonts w:ascii="Times New Roman" w:hAnsi="Times New Roman"/>
          <w:sz w:val="24"/>
        </w:rPr>
        <w:footnoteReference w:id="284"/>
      </w:r>
      <w:r w:rsidRPr="003C0842">
        <w:t>.</w:t>
      </w:r>
    </w:p>
    <w:p w:rsidR="00A200B5" w:rsidRPr="003C0842" w:rsidRDefault="00A200B5" w:rsidP="00111348">
      <w:pPr>
        <w:spacing w:line="360" w:lineRule="auto"/>
        <w:ind w:firstLine="709"/>
      </w:pPr>
      <w:r w:rsidRPr="003C0842">
        <w:t>Spory wokół składu Rady dodatkowo dzieliły ruch proligowy</w:t>
      </w:r>
      <w:r w:rsidR="00046166" w:rsidRPr="003C0842">
        <w:t>,</w:t>
      </w:r>
      <w:r w:rsidRPr="003C0842">
        <w:t xml:space="preserve"> w zdecydowanej większości odzwierciedlając</w:t>
      </w:r>
      <w:r w:rsidR="006C0C91" w:rsidRPr="003C0842">
        <w:t xml:space="preserve">y poglądy oraz zainteresowania </w:t>
      </w:r>
      <w:r w:rsidRPr="003C0842">
        <w:t xml:space="preserve">odnośnych rządów. Regułą było więc wspieranie aspiracji własnych państw i forsowanie projektów wbrew interesom „konkurencji”. Dobrym tego odzwierciedleniem jest wzmożona aktywność Argentyny, wcześniej bardzo obrażonej na Genewę. Zachęcani przez Francuzów, próbujących „zmiękczyć” kartą argentyńską stanowisko brazylijskie, proponowali daleko idącą reorganizację Ligi. Propozycje sformułowane przez Asociation Argentina Pro Liga de las Naciones odbijały zadawnioną rywalizację dwóch najważniejszych i największych obszarowo państw Ameryki Południowej. Fernando Lodi, prezes </w:t>
      </w:r>
      <w:r w:rsidR="006C0C91" w:rsidRPr="003C0842">
        <w:t>S</w:t>
      </w:r>
      <w:r w:rsidRPr="003C0842">
        <w:t>towarzyszenia</w:t>
      </w:r>
      <w:r w:rsidR="006C0C91" w:rsidRPr="003C0842">
        <w:t>,</w:t>
      </w:r>
      <w:r w:rsidRPr="003C0842">
        <w:t xml:space="preserve"> w memoriale z 15 kwietnia 1926 r. przesłanym na adres Sekretarza Generalnego chciał zwiększenia liczby członków Rady do 19. Spośród 5 państw ubiegających się wówczas o stałe miejsce w Radzie Stowarzyszenie widziało tam Niemcy, Hiszpanię i Chiny. Dla pozostałych przewidywano trzyletnie kadencje wymienne: Polska z Belgią i Brazylia z Argentyną</w:t>
      </w:r>
      <w:r w:rsidRPr="003C0842">
        <w:rPr>
          <w:rStyle w:val="Odwoanieprzypisudolnego"/>
          <w:rFonts w:ascii="Times New Roman" w:hAnsi="Times New Roman"/>
          <w:sz w:val="24"/>
        </w:rPr>
        <w:footnoteReference w:id="285"/>
      </w:r>
      <w:r w:rsidRPr="003C0842">
        <w:t>.</w:t>
      </w:r>
    </w:p>
    <w:p w:rsidR="008D4ECE" w:rsidRPr="003C0842" w:rsidRDefault="00A200B5" w:rsidP="00111348">
      <w:pPr>
        <w:spacing w:line="360" w:lineRule="auto"/>
        <w:ind w:firstLine="709"/>
      </w:pPr>
      <w:r w:rsidRPr="003C0842">
        <w:t>Wśród różnych projektów noszących stempel latynoamerykański utrwalił się pogląd, że lepszym rozwiązaniem będzie powiększenie do trzech miejsc niestałych niż for</w:t>
      </w:r>
      <w:r w:rsidR="008D4ECE" w:rsidRPr="003C0842">
        <w:t>s</w:t>
      </w:r>
      <w:r w:rsidRPr="003C0842">
        <w:t xml:space="preserve">owanie stałego miejsca dla Brazylii. </w:t>
      </w:r>
      <w:r w:rsidR="00046166" w:rsidRPr="003C0842">
        <w:t xml:space="preserve">Podobne </w:t>
      </w:r>
      <w:r w:rsidR="002839B9" w:rsidRPr="003C0842">
        <w:t>s</w:t>
      </w:r>
      <w:r w:rsidRPr="003C0842">
        <w:t xml:space="preserve">ugestie powodowały </w:t>
      </w:r>
      <w:r w:rsidR="006C0C91" w:rsidRPr="003C0842">
        <w:t>postępującą</w:t>
      </w:r>
      <w:r w:rsidRPr="003C0842">
        <w:t xml:space="preserve"> izolację Brazylii</w:t>
      </w:r>
      <w:r w:rsidR="008D4ECE" w:rsidRPr="003C0842">
        <w:t>,</w:t>
      </w:r>
      <w:r w:rsidRPr="003C0842">
        <w:t xml:space="preserve"> wzbudzającej </w:t>
      </w:r>
      <w:r w:rsidR="002839B9" w:rsidRPr="003C0842">
        <w:t xml:space="preserve">rosnącą </w:t>
      </w:r>
      <w:r w:rsidRPr="003C0842">
        <w:t xml:space="preserve">niechęć, kiedy przybierała pozę reprezentanta panamerykańskiego. Stałe miejsce było bowiem </w:t>
      </w:r>
      <w:r w:rsidR="002839B9" w:rsidRPr="003C0842">
        <w:t xml:space="preserve">też traktowane jako </w:t>
      </w:r>
      <w:r w:rsidRPr="003C0842">
        <w:t>prób</w:t>
      </w:r>
      <w:r w:rsidR="002839B9" w:rsidRPr="003C0842">
        <w:t>a</w:t>
      </w:r>
      <w:r w:rsidRPr="003C0842">
        <w:t xml:space="preserve"> zdobycia zewnętrznych oznak prymatu na kontynencie. </w:t>
      </w:r>
      <w:r w:rsidR="002839B9" w:rsidRPr="003C0842">
        <w:t xml:space="preserve">Aspirujących było wielu, a z szansami kilku. </w:t>
      </w:r>
      <w:r w:rsidRPr="003C0842">
        <w:t>W memorandum rządu Kuby z 20 kwietnia 1926 r. oczekiwania latynoamerykańskie ujęto w formułę jednego miejsca stałego (bez wskazania kandydata) oraz dwóch niestałych, wybranych przez Zgromadzenie na czteroletnią kadencję, nie podlegającą przedłużeniu ani powtórzeniu</w:t>
      </w:r>
      <w:r w:rsidRPr="003C0842">
        <w:rPr>
          <w:rStyle w:val="Odwoanieprzypisudolnego"/>
          <w:rFonts w:ascii="Times New Roman" w:hAnsi="Times New Roman"/>
          <w:sz w:val="24"/>
        </w:rPr>
        <w:footnoteReference w:id="286"/>
      </w:r>
      <w:r w:rsidRPr="003C0842">
        <w:t xml:space="preserve">. </w:t>
      </w:r>
    </w:p>
    <w:p w:rsidR="00A200B5" w:rsidRPr="003C0842" w:rsidRDefault="00A200B5" w:rsidP="00111348">
      <w:pPr>
        <w:spacing w:line="360" w:lineRule="auto"/>
        <w:ind w:firstLine="709"/>
      </w:pPr>
      <w:r w:rsidRPr="003C0842">
        <w:t xml:space="preserve">Główni aktorzy trwającej dyskusji uchylili się od pisemnego sformułowania swego stosunku do rekonstrukcji Rady licząc na możliwość </w:t>
      </w:r>
      <w:r w:rsidR="002839B9" w:rsidRPr="003C0842">
        <w:t>bezpośrednich negocjacji.P</w:t>
      </w:r>
      <w:r w:rsidRPr="003C0842">
        <w:t xml:space="preserve">odstawą </w:t>
      </w:r>
      <w:r w:rsidR="002839B9" w:rsidRPr="003C0842">
        <w:lastRenderedPageBreak/>
        <w:t xml:space="preserve">oczekiwanego kompromisu </w:t>
      </w:r>
      <w:r w:rsidRPr="003C0842">
        <w:t xml:space="preserve">miały być uzgodnienia między Londynem, Paryżem i Berlinem. </w:t>
      </w:r>
      <w:r w:rsidR="00066838" w:rsidRPr="003C0842">
        <w:t>Centraln</w:t>
      </w:r>
      <w:r w:rsidR="00A855F2" w:rsidRPr="003C0842">
        <w:t>ą pozycję</w:t>
      </w:r>
      <w:r w:rsidR="00FD3419" w:rsidRPr="003C0842">
        <w:t>zajmowali</w:t>
      </w:r>
      <w:r w:rsidR="00A855F2" w:rsidRPr="003C0842">
        <w:t xml:space="preserve"> Niem</w:t>
      </w:r>
      <w:r w:rsidR="00FD3419" w:rsidRPr="003C0842">
        <w:t xml:space="preserve">cy, </w:t>
      </w:r>
      <w:r w:rsidR="00A855F2" w:rsidRPr="003C0842">
        <w:t xml:space="preserve">którzy </w:t>
      </w:r>
      <w:r w:rsidR="00FD3419" w:rsidRPr="003C0842">
        <w:t>zwalcza</w:t>
      </w:r>
      <w:r w:rsidR="00A855F2" w:rsidRPr="003C0842">
        <w:t>li</w:t>
      </w:r>
      <w:r w:rsidRPr="003C0842">
        <w:t xml:space="preserve">każdą </w:t>
      </w:r>
      <w:r w:rsidR="00066838" w:rsidRPr="003C0842">
        <w:t>inną</w:t>
      </w:r>
      <w:r w:rsidRPr="003C0842">
        <w:t xml:space="preserve"> rekonstrukcję Rady niż tylko powiększenie </w:t>
      </w:r>
      <w:r w:rsidR="00BB2F0C" w:rsidRPr="003C0842">
        <w:t xml:space="preserve">jej </w:t>
      </w:r>
      <w:r w:rsidRPr="003C0842">
        <w:t>o jedno</w:t>
      </w:r>
      <w:r w:rsidR="00BB2F0C" w:rsidRPr="003C0842">
        <w:t xml:space="preserve">, </w:t>
      </w:r>
      <w:r w:rsidR="00FD3419" w:rsidRPr="003C0842">
        <w:t>stałe</w:t>
      </w:r>
      <w:r w:rsidRPr="003C0842">
        <w:t xml:space="preserve"> miejsce. Im bliżej 10 maja, kiedy zbierała się w Genewie tzw. Komisja Rekonstrukcji, tym silniej wadził im projekt utworzenia miejsc półstałych, jeśliby miało to oznaczać przyznanie takieg</w:t>
      </w:r>
      <w:r w:rsidR="00BB2F0C" w:rsidRPr="003C0842">
        <w:t>o miejsca Polsce. Kwestia ta, z europejskiej perspektywy, ura</w:t>
      </w:r>
      <w:r w:rsidRPr="003C0842">
        <w:t>s</w:t>
      </w:r>
      <w:r w:rsidR="00BB2F0C" w:rsidRPr="003C0842">
        <w:t>ta</w:t>
      </w:r>
      <w:r w:rsidRPr="003C0842">
        <w:t xml:space="preserve">ła do </w:t>
      </w:r>
      <w:r w:rsidR="00BB2F0C" w:rsidRPr="003C0842">
        <w:t>centralnej</w:t>
      </w:r>
      <w:r w:rsidRPr="003C0842">
        <w:t xml:space="preserve">, </w:t>
      </w:r>
      <w:r w:rsidR="000C7938" w:rsidRPr="003C0842">
        <w:t xml:space="preserve">jeśli </w:t>
      </w:r>
      <w:r w:rsidRPr="003C0842">
        <w:t>lokarneńsk</w:t>
      </w:r>
      <w:r w:rsidR="000C7938" w:rsidRPr="003C0842">
        <w:t>a</w:t>
      </w:r>
      <w:r w:rsidRPr="003C0842">
        <w:t xml:space="preserve"> konstrukcj</w:t>
      </w:r>
      <w:r w:rsidR="000C7938" w:rsidRPr="003C0842">
        <w:t>a miała pozostać aktualną</w:t>
      </w:r>
      <w:r w:rsidRPr="003C0842">
        <w:t xml:space="preserve">. Takie </w:t>
      </w:r>
      <w:r w:rsidR="000C7938" w:rsidRPr="003C0842">
        <w:t>usytuowanie</w:t>
      </w:r>
      <w:r w:rsidRPr="003C0842">
        <w:t xml:space="preserve"> prowadzonych od maja 1926 r. sporów pozwala lepiej zrozumieć istotę niemieckich dążeń rewizjonistycznych oraz francusko-brytyjską </w:t>
      </w:r>
      <w:r w:rsidR="000C7938" w:rsidRPr="003C0842">
        <w:t>nieformalną „</w:t>
      </w:r>
      <w:r w:rsidRPr="003C0842">
        <w:t>zmowę</w:t>
      </w:r>
      <w:r w:rsidR="000C7938" w:rsidRPr="003C0842">
        <w:t xml:space="preserve">”,wskazującą </w:t>
      </w:r>
      <w:r w:rsidRPr="003C0842">
        <w:t>Berlin</w:t>
      </w:r>
      <w:r w:rsidR="000C7938" w:rsidRPr="003C0842">
        <w:t>owi</w:t>
      </w:r>
      <w:r w:rsidRPr="003C0842">
        <w:t xml:space="preserve"> kierun</w:t>
      </w:r>
      <w:r w:rsidR="000C7938" w:rsidRPr="003C0842">
        <w:t>e</w:t>
      </w:r>
      <w:r w:rsidRPr="003C0842">
        <w:t>k wschodni.</w:t>
      </w:r>
    </w:p>
    <w:p w:rsidR="006C0C91" w:rsidRPr="003C0842" w:rsidRDefault="00A200B5" w:rsidP="00111348">
      <w:pPr>
        <w:spacing w:line="360" w:lineRule="auto"/>
        <w:ind w:firstLine="709"/>
      </w:pPr>
      <w:r w:rsidRPr="003C0842">
        <w:t xml:space="preserve">Rozmowy w Komisji Rekonstrukcji </w:t>
      </w:r>
      <w:r w:rsidR="00CB0491" w:rsidRPr="003C0842">
        <w:t>(</w:t>
      </w:r>
      <w:r w:rsidRPr="003C0842">
        <w:t>15 państw</w:t>
      </w:r>
      <w:r w:rsidR="00CB0491" w:rsidRPr="003C0842">
        <w:t>),</w:t>
      </w:r>
      <w:r w:rsidR="000C7938" w:rsidRPr="003C0842">
        <w:t>kierowanej</w:t>
      </w:r>
      <w:r w:rsidRPr="003C0842">
        <w:t xml:space="preserve"> przez dobrze w Lidze znanego Szwajcara Giuseppe Motta (zastępcą </w:t>
      </w:r>
      <w:r w:rsidR="000C7938" w:rsidRPr="003C0842">
        <w:t>był</w:t>
      </w:r>
      <w:r w:rsidRPr="003C0842">
        <w:t xml:space="preserve"> Tomas Le Breton</w:t>
      </w:r>
      <w:r w:rsidR="000C7938" w:rsidRPr="003C0842">
        <w:t xml:space="preserve"> z Argentyny</w:t>
      </w:r>
      <w:r w:rsidR="00CB0491" w:rsidRPr="003C0842">
        <w:t>) zostały zdominowane</w:t>
      </w:r>
      <w:r w:rsidRPr="003C0842">
        <w:t xml:space="preserve"> dyskusją wokół trzech kwestii: 1) składu Rady; 2) liczby jej członków i 3) sposobu ich wyboru. Każdy z tych problemów </w:t>
      </w:r>
      <w:r w:rsidR="000C7938" w:rsidRPr="003C0842">
        <w:t>zawierałwariant</w:t>
      </w:r>
      <w:r w:rsidR="00CB0491" w:rsidRPr="003C0842">
        <w:t>y zdominowane</w:t>
      </w:r>
      <w:r w:rsidR="000C7938" w:rsidRPr="003C0842">
        <w:t>partykularny</w:t>
      </w:r>
      <w:r w:rsidR="00CB0491" w:rsidRPr="003C0842">
        <w:t>mi</w:t>
      </w:r>
      <w:r w:rsidRPr="003C0842">
        <w:t>interes</w:t>
      </w:r>
      <w:r w:rsidR="00CB0491" w:rsidRPr="003C0842">
        <w:t>ami</w:t>
      </w:r>
      <w:r w:rsidRPr="003C0842">
        <w:t xml:space="preserve"> uczestników. Pomijane i przez to lekceważone stanowisko Chin także ciążyło na obradach, gd</w:t>
      </w:r>
      <w:r w:rsidR="000C7938" w:rsidRPr="003C0842">
        <w:t xml:space="preserve">yż zabrakło w Komisji </w:t>
      </w:r>
      <w:r w:rsidRPr="003C0842">
        <w:t xml:space="preserve">zwolenników </w:t>
      </w:r>
      <w:r w:rsidR="000C7938" w:rsidRPr="003C0842">
        <w:t xml:space="preserve">ich </w:t>
      </w:r>
      <w:r w:rsidRPr="003C0842">
        <w:t xml:space="preserve">tezy </w:t>
      </w:r>
      <w:r w:rsidR="000C7938" w:rsidRPr="003C0842">
        <w:t xml:space="preserve">o </w:t>
      </w:r>
      <w:r w:rsidRPr="003C0842">
        <w:t xml:space="preserve">potrzebie dwóch miejsc niestałych dla Azji i innych części świata z wyłączeniem Europy i Ameryki. </w:t>
      </w:r>
      <w:r w:rsidR="000C5E78" w:rsidRPr="003C0842">
        <w:t>KonsekwencjaChao-Hsin Chu</w:t>
      </w:r>
      <w:r w:rsidR="006C0C91" w:rsidRPr="003C0842">
        <w:t>,</w:t>
      </w:r>
      <w:r w:rsidRPr="003C0842">
        <w:t>podkreślającego wagę kryterium geograficznego i d</w:t>
      </w:r>
      <w:r w:rsidR="000C5E78" w:rsidRPr="003C0842">
        <w:t>emograficznego</w:t>
      </w:r>
      <w:r w:rsidR="006C0C91" w:rsidRPr="003C0842">
        <w:t>,</w:t>
      </w:r>
      <w:r w:rsidR="000C5E78" w:rsidRPr="003C0842">
        <w:t xml:space="preserve"> znajdowała wprawdzie uznanie, a nawet zrozumienie, ale nie przekładało się ono na poparcie chińskich postulatów.</w:t>
      </w:r>
    </w:p>
    <w:p w:rsidR="00BF2459" w:rsidRPr="003C0842" w:rsidRDefault="006C0C91" w:rsidP="00111348">
      <w:pPr>
        <w:spacing w:line="360" w:lineRule="auto"/>
        <w:ind w:firstLine="709"/>
      </w:pPr>
      <w:r w:rsidRPr="003C0842">
        <w:t xml:space="preserve">Miała w tym swój udział Japonia, nie kryjąca specjalnie </w:t>
      </w:r>
      <w:r w:rsidR="00A200B5" w:rsidRPr="003C0842">
        <w:t>plan</w:t>
      </w:r>
      <w:r w:rsidRPr="003C0842">
        <w:t>ów</w:t>
      </w:r>
      <w:r w:rsidR="00AC3514" w:rsidRPr="003C0842">
        <w:t xml:space="preserve"> zmierzających</w:t>
      </w:r>
      <w:r w:rsidR="00A200B5" w:rsidRPr="003C0842">
        <w:t xml:space="preserve"> do zwasalizowania państwa trawionego wojną domową</w:t>
      </w:r>
      <w:r w:rsidR="00A200B5" w:rsidRPr="003C0842">
        <w:rPr>
          <w:rStyle w:val="Odwoanieprzypisudolnego"/>
          <w:rFonts w:ascii="Times New Roman" w:hAnsi="Times New Roman"/>
          <w:sz w:val="24"/>
        </w:rPr>
        <w:footnoteReference w:id="287"/>
      </w:r>
      <w:r w:rsidR="00A200B5" w:rsidRPr="003C0842">
        <w:t xml:space="preserve">. Każda próba wzmocnienia Chin na arenie międzynarodowej </w:t>
      </w:r>
      <w:r w:rsidR="00AC3514" w:rsidRPr="003C0842">
        <w:t>była przez Japonię</w:t>
      </w:r>
      <w:r w:rsidR="00CB0491" w:rsidRPr="003C0842">
        <w:t>zwalczana</w:t>
      </w:r>
      <w:r w:rsidR="00AC3514" w:rsidRPr="003C0842">
        <w:t xml:space="preserve">. Jej </w:t>
      </w:r>
      <w:r w:rsidR="00CB0491" w:rsidRPr="003C0842">
        <w:t>pozycja w Lidze, wspierając</w:t>
      </w:r>
      <w:r w:rsidR="00FD3419" w:rsidRPr="003C0842">
        <w:t>a</w:t>
      </w:r>
      <w:r w:rsidR="00CB0491" w:rsidRPr="003C0842">
        <w:t xml:space="preserve"> się na niekwestionowanym </w:t>
      </w:r>
      <w:r w:rsidR="00A200B5" w:rsidRPr="003C0842">
        <w:t>miejsc</w:t>
      </w:r>
      <w:r w:rsidR="00CB0491" w:rsidRPr="003C0842">
        <w:t>u</w:t>
      </w:r>
      <w:r w:rsidR="00AC3514" w:rsidRPr="003C0842">
        <w:t xml:space="preserve"> w Radzie</w:t>
      </w:r>
      <w:r w:rsidR="00CB0491" w:rsidRPr="003C0842">
        <w:t>, była wysoka.J</w:t>
      </w:r>
      <w:r w:rsidR="00AC3514" w:rsidRPr="003C0842">
        <w:t xml:space="preserve">apońscy </w:t>
      </w:r>
      <w:r w:rsidR="00CB0491" w:rsidRPr="003C0842">
        <w:t xml:space="preserve">urzędnicy w Sekretariacie oraz </w:t>
      </w:r>
      <w:r w:rsidR="00AC3514" w:rsidRPr="003C0842">
        <w:t xml:space="preserve">dyplomaci cieszyli się wysokim prestiżem. Obraz ten kontrastował z krytyczną opinią </w:t>
      </w:r>
      <w:r w:rsidR="00A200B5" w:rsidRPr="003C0842">
        <w:t>o Chinach jako państwa zacofanego gospodarczo i niestabilnego politycznie, rozsadzanego konfliktami o charakterze społecznym i narodowościowym.</w:t>
      </w:r>
      <w:r w:rsidR="00AC3514" w:rsidRPr="003C0842">
        <w:t xml:space="preserve"> Do tego jeszcze Chiny, obecne już w Radzie w latach 1921-1923 </w:t>
      </w:r>
      <w:r w:rsidR="00A200B5" w:rsidRPr="003C0842">
        <w:t xml:space="preserve">znalazły się wśród jej najpoważniejszych „dłużników”. Sytuacja ta nie uległa zmianie także w czasie prac Komisji Rekonstrukcji, mimo istotnego obniżenia składki chińskiej – poniżej włoskiej czy japońskiej. Upominającego się Chao-Hsin Chu o liczniejszą reprezentację Azji w Radzie kontrowano więc licznymi wątpliwościami. </w:t>
      </w:r>
      <w:r w:rsidR="00A200B5" w:rsidRPr="003C0842">
        <w:lastRenderedPageBreak/>
        <w:t>Pytano się nawet</w:t>
      </w:r>
      <w:r w:rsidR="00FD3419" w:rsidRPr="003C0842">
        <w:t>,</w:t>
      </w:r>
      <w:r w:rsidR="00A200B5" w:rsidRPr="003C0842">
        <w:t xml:space="preserve"> czy państwa nie wypełniające swych zobowiązań wobec Ligi powinny korzystać z pełni praw na równi z innymi członkami?</w:t>
      </w:r>
      <w:r w:rsidR="00A200B5" w:rsidRPr="003C0842">
        <w:rPr>
          <w:rStyle w:val="Odwoanieprzypisudolnego"/>
          <w:rFonts w:ascii="Times New Roman" w:hAnsi="Times New Roman"/>
          <w:sz w:val="24"/>
        </w:rPr>
        <w:footnoteReference w:id="288"/>
      </w:r>
    </w:p>
    <w:p w:rsidR="00BD56B3" w:rsidRDefault="00A200B5" w:rsidP="00111348">
      <w:pPr>
        <w:spacing w:line="360" w:lineRule="auto"/>
        <w:ind w:firstLine="709"/>
      </w:pPr>
      <w:r w:rsidRPr="003C0842">
        <w:t>W raporcie podsumowującym tygodniowe obrady Komisji Rekonstrukcji znalazło się odwołanie do „reprezentacji geograficznej”, o które usilnie zabiegał przedstawiciel Chin, wspiera</w:t>
      </w:r>
      <w:r w:rsidR="00352E90" w:rsidRPr="003C0842">
        <w:t>ny przez</w:t>
      </w:r>
      <w:r w:rsidRPr="003C0842">
        <w:t>Alberto Guani</w:t>
      </w:r>
      <w:r w:rsidR="00352E90" w:rsidRPr="003C0842">
        <w:t>ego</w:t>
      </w:r>
      <w:r w:rsidRPr="003C0842">
        <w:t xml:space="preserve"> z Urugwaju. Robert Cecil jako spiritus movens negocjacji </w:t>
      </w:r>
      <w:r w:rsidR="00973ADB" w:rsidRPr="003C0842">
        <w:t xml:space="preserve">zasadniczo </w:t>
      </w:r>
      <w:r w:rsidRPr="003C0842">
        <w:t xml:space="preserve">ustąpił </w:t>
      </w:r>
      <w:r w:rsidR="00352E90" w:rsidRPr="003C0842">
        <w:t xml:space="preserve">w </w:t>
      </w:r>
      <w:r w:rsidR="00973ADB" w:rsidRPr="003C0842">
        <w:t>tej</w:t>
      </w:r>
      <w:r w:rsidR="00352E90" w:rsidRPr="003C0842">
        <w:t xml:space="preserve"> sprawie</w:t>
      </w:r>
      <w:r w:rsidR="00973ADB" w:rsidRPr="003C0842">
        <w:t xml:space="preserve">o tyle </w:t>
      </w:r>
      <w:r w:rsidRPr="003C0842">
        <w:t xml:space="preserve">łatwiej, że kończąca się runda mimo 12 spotkań nie rozwiązała </w:t>
      </w:r>
      <w:r w:rsidR="007C25BC" w:rsidRPr="003C0842">
        <w:t xml:space="preserve">żadnego </w:t>
      </w:r>
      <w:r w:rsidRPr="003C0842">
        <w:t>problemu</w:t>
      </w:r>
      <w:r w:rsidR="00B05D56" w:rsidRPr="003C0842">
        <w:t>;</w:t>
      </w:r>
      <w:r w:rsidRPr="003C0842">
        <w:t xml:space="preserve"> wyznacz</w:t>
      </w:r>
      <w:r w:rsidR="00B05D56" w:rsidRPr="003C0842">
        <w:t>ono więc</w:t>
      </w:r>
      <w:r w:rsidRPr="003C0842">
        <w:t xml:space="preserve"> kolejne spotkani</w:t>
      </w:r>
      <w:r w:rsidR="00B05D56" w:rsidRPr="003C0842">
        <w:t>e</w:t>
      </w:r>
      <w:r w:rsidRPr="003C0842">
        <w:t xml:space="preserve"> na 28 czerwca 1926 r.</w:t>
      </w:r>
      <w:r w:rsidRPr="003C0842">
        <w:rPr>
          <w:rStyle w:val="Odwoanieprzypisudolnego"/>
          <w:rFonts w:ascii="Times New Roman" w:hAnsi="Times New Roman"/>
          <w:sz w:val="24"/>
        </w:rPr>
        <w:footnoteReference w:id="289"/>
      </w:r>
      <w:r w:rsidR="007C25BC" w:rsidRPr="003C0842">
        <w:t xml:space="preserve">Zarówno Niemcy, jak i Brazylia, Hiszpania i Polska pozostały przy swoich stanowiskach. Szczególnie trudny okazał się </w:t>
      </w:r>
      <w:r w:rsidR="00B05D56" w:rsidRPr="003C0842">
        <w:t>o</w:t>
      </w:r>
      <w:r w:rsidRPr="003C0842">
        <w:t>pór Niemiec</w:t>
      </w:r>
      <w:r w:rsidR="007C25BC" w:rsidRPr="003C0842">
        <w:t>, które</w:t>
      </w:r>
      <w:r w:rsidRPr="003C0842">
        <w:t xml:space="preserve"> blokowa</w:t>
      </w:r>
      <w:r w:rsidR="007C25BC" w:rsidRPr="003C0842">
        <w:t>ły</w:t>
      </w:r>
      <w:r w:rsidRPr="003C0842">
        <w:t xml:space="preserve"> rozwiąza</w:t>
      </w:r>
      <w:r w:rsidR="007C25BC" w:rsidRPr="003C0842">
        <w:t>nia</w:t>
      </w:r>
      <w:r w:rsidRPr="003C0842">
        <w:t xml:space="preserve"> pomniejszając</w:t>
      </w:r>
      <w:r w:rsidR="007C25BC" w:rsidRPr="003C0842">
        <w:t>e</w:t>
      </w:r>
      <w:r w:rsidRPr="003C0842">
        <w:t xml:space="preserve"> ich wyróżniające wejście do Ligi</w:t>
      </w:r>
      <w:r w:rsidR="00B05D56" w:rsidRPr="003C0842">
        <w:t xml:space="preserve">. </w:t>
      </w:r>
      <w:r w:rsidR="007C25BC" w:rsidRPr="003C0842">
        <w:t>Mówiono nawet, że</w:t>
      </w:r>
      <w:r w:rsidRPr="003C0842">
        <w:t xml:space="preserve">art. 4 Paktu stałe miejsce rezerwował dla „głównych mocarstw sprzymierzonych i stowarzyszonych”, a nie dla ich wrogów. </w:t>
      </w:r>
      <w:r w:rsidR="00B05D56" w:rsidRPr="003C0842">
        <w:t xml:space="preserve">Dostrzegano też „naginanie” się Ligi do oczekiwań kandydata na członka, aż po wrażenie jego dyktatu. Jeśli </w:t>
      </w:r>
      <w:r w:rsidRPr="003C0842">
        <w:t xml:space="preserve">poza dyskusją było przyjęcie Niemiec i ich stałe miejsce w Radzie, </w:t>
      </w:r>
      <w:r w:rsidR="00B05D56" w:rsidRPr="003C0842">
        <w:t xml:space="preserve">to </w:t>
      </w:r>
      <w:r w:rsidR="000E5849" w:rsidRPr="003C0842">
        <w:t>atencję</w:t>
      </w:r>
      <w:r w:rsidRPr="003C0842">
        <w:t xml:space="preserve"> dla zajmowanego </w:t>
      </w:r>
      <w:r w:rsidR="00B05D56" w:rsidRPr="003C0842">
        <w:t xml:space="preserve">przez rząd niemiecki </w:t>
      </w:r>
      <w:r w:rsidRPr="003C0842">
        <w:t>stanowiska</w:t>
      </w:r>
      <w:r w:rsidR="00B05D56" w:rsidRPr="003C0842">
        <w:t xml:space="preserve"> uważano za </w:t>
      </w:r>
      <w:r w:rsidR="007C25BC" w:rsidRPr="003C0842">
        <w:t xml:space="preserve">krok idący zbyt daleko, </w:t>
      </w:r>
      <w:r w:rsidR="00B05D56" w:rsidRPr="003C0842">
        <w:t>przesadę.</w:t>
      </w:r>
    </w:p>
    <w:p w:rsidR="00AC3514" w:rsidRPr="003C0842" w:rsidRDefault="00A200B5" w:rsidP="00111348">
      <w:pPr>
        <w:spacing w:line="360" w:lineRule="auto"/>
        <w:ind w:firstLine="709"/>
      </w:pPr>
      <w:r w:rsidRPr="003C0842">
        <w:t>W pretensjach do Niemiec i wszystkich, którzy popierali ich wyróżniający akces do Ligi</w:t>
      </w:r>
      <w:r w:rsidR="00C80EEE" w:rsidRPr="003C0842">
        <w:t>,</w:t>
      </w:r>
      <w:r w:rsidRPr="003C0842">
        <w:t xml:space="preserve"> celowali politycy Brazylii, Hiszpanii i stosunkowo najbardziej stonowani z Polski. Zarazem państwa te wzajemnie szachowały się w sprawie tzw. miejsc półstałych, które dawały możliwość kilku kadencyjnego zasiadania w Radzie. </w:t>
      </w:r>
    </w:p>
    <w:p w:rsidR="005D6F7C" w:rsidRPr="003C0842" w:rsidRDefault="00352E90" w:rsidP="00111348">
      <w:pPr>
        <w:spacing w:line="360" w:lineRule="auto"/>
        <w:ind w:firstLine="709"/>
      </w:pPr>
      <w:r w:rsidRPr="003C0842">
        <w:t>Wśród kilkunastu</w:t>
      </w:r>
      <w:r w:rsidR="00A200B5" w:rsidRPr="003C0842">
        <w:t xml:space="preserve"> punktów kulminacyjnych</w:t>
      </w:r>
      <w:r w:rsidR="00B05D56" w:rsidRPr="003C0842">
        <w:t xml:space="preserve"> tego czasu</w:t>
      </w:r>
      <w:r w:rsidR="00A200B5" w:rsidRPr="003C0842">
        <w:t xml:space="preserve"> szczególne miejsce zajmuje 40 sesja Rady, która odbyła się w Genewie w dniach 7-10 czerwca. Złym znakiem była nieobecność na pierwszym posiedzeniu delegat</w:t>
      </w:r>
      <w:r w:rsidR="00AC3514" w:rsidRPr="003C0842">
        <w:t>ów</w:t>
      </w:r>
      <w:r w:rsidR="00A200B5" w:rsidRPr="003C0842">
        <w:t xml:space="preserve"> Brazylii</w:t>
      </w:r>
      <w:r w:rsidR="00AC3514" w:rsidRPr="003C0842">
        <w:t xml:space="preserve"> i</w:t>
      </w:r>
      <w:r w:rsidR="00A200B5" w:rsidRPr="003C0842">
        <w:t xml:space="preserve"> Hiszpanii</w:t>
      </w:r>
      <w:r w:rsidR="00164234" w:rsidRPr="003C0842">
        <w:t>–</w:t>
      </w:r>
      <w:r w:rsidR="00AC3514" w:rsidRPr="003C0842">
        <w:t xml:space="preserve"> Mello Franca i José Quiñonesa de León</w:t>
      </w:r>
      <w:r w:rsidR="00A200B5" w:rsidRPr="003C0842">
        <w:t xml:space="preserve">. Absencja tego ostatniego była tym bardziej symboliczna, że uczestniczył </w:t>
      </w:r>
      <w:r w:rsidR="00973ADB" w:rsidRPr="003C0842">
        <w:t xml:space="preserve">on </w:t>
      </w:r>
      <w:r w:rsidR="00A200B5" w:rsidRPr="003C0842">
        <w:t xml:space="preserve">we wszystkich sesjach Rady, aż do wybuchu konfliktu podczas Nadzwyczajnego Zgromadzenia. Jego miejsce zajął Luis Maria Quer Y Boule, sekretarz poselstwa hiszpańskiego w Bernie. Była to jego pierwsza </w:t>
      </w:r>
      <w:r w:rsidRPr="003C0842">
        <w:t xml:space="preserve">oficjalna </w:t>
      </w:r>
      <w:r w:rsidR="00A200B5" w:rsidRPr="003C0842">
        <w:t>wizyta w siedzibie Ligi</w:t>
      </w:r>
      <w:r w:rsidR="00973ADB" w:rsidRPr="003C0842">
        <w:t xml:space="preserve">, gdzie </w:t>
      </w:r>
      <w:r w:rsidR="00A200B5" w:rsidRPr="003C0842">
        <w:t xml:space="preserve">zapisał się z powodu deklaracji złożonej 10 czerwca, że jego kraj nie może zajmować miejsca </w:t>
      </w:r>
      <w:r w:rsidR="00A200B5" w:rsidRPr="003C0842">
        <w:lastRenderedPageBreak/>
        <w:t>drug</w:t>
      </w:r>
      <w:r w:rsidR="00F40624" w:rsidRPr="003C0842">
        <w:t>orzędnego</w:t>
      </w:r>
      <w:r w:rsidR="00A200B5" w:rsidRPr="003C0842">
        <w:t xml:space="preserve">, a „aktualna sytuacja wyklucza” udział Hiszpanii w wyborach do Rady. Dramaturgię finałowego posiedzenia Rady </w:t>
      </w:r>
      <w:r w:rsidR="00155992" w:rsidRPr="003C0842">
        <w:t>podnios</w:t>
      </w:r>
      <w:r w:rsidR="00413C94" w:rsidRPr="003C0842">
        <w:t>ło wręczenie sekretarzowi g</w:t>
      </w:r>
      <w:r w:rsidR="00155992" w:rsidRPr="003C0842">
        <w:t xml:space="preserve">eneralnemuprzez </w:t>
      </w:r>
      <w:r w:rsidR="00A200B5" w:rsidRPr="003C0842">
        <w:t>MelloFranco</w:t>
      </w:r>
      <w:r w:rsidR="00155992" w:rsidRPr="003C0842">
        <w:t xml:space="preserve"> telegramu swego rządu stwierdzającego </w:t>
      </w:r>
      <w:r w:rsidR="00A200B5" w:rsidRPr="003C0842">
        <w:t>wycofani</w:t>
      </w:r>
      <w:r w:rsidR="00155992" w:rsidRPr="003C0842">
        <w:t>e</w:t>
      </w:r>
      <w:r w:rsidR="00A200B5" w:rsidRPr="003C0842">
        <w:t xml:space="preserve"> się Brazylii z Ligi oraz rezygnacj</w:t>
      </w:r>
      <w:r w:rsidR="00155992" w:rsidRPr="003C0842">
        <w:t>ę</w:t>
      </w:r>
      <w:r w:rsidR="00A200B5" w:rsidRPr="003C0842">
        <w:t xml:space="preserve"> z miejsca w Radzie</w:t>
      </w:r>
      <w:r w:rsidR="00A200B5" w:rsidRPr="003C0842">
        <w:rPr>
          <w:rStyle w:val="Odwoanieprzypisudolnego"/>
          <w:rFonts w:ascii="Times New Roman" w:hAnsi="Times New Roman"/>
          <w:sz w:val="24"/>
        </w:rPr>
        <w:footnoteReference w:id="290"/>
      </w:r>
      <w:r w:rsidR="00A200B5" w:rsidRPr="003C0842">
        <w:t xml:space="preserve">. </w:t>
      </w:r>
    </w:p>
    <w:p w:rsidR="00E30F69" w:rsidRPr="003C0842" w:rsidRDefault="007C25BC" w:rsidP="00111348">
      <w:pPr>
        <w:spacing w:line="360" w:lineRule="auto"/>
        <w:ind w:firstLine="709"/>
      </w:pPr>
      <w:r w:rsidRPr="003C0842">
        <w:t>Wspomniano już</w:t>
      </w:r>
      <w:r w:rsidR="00A200B5" w:rsidRPr="003C0842">
        <w:t>, że dla będącej w roku wyborczym Brazylii sprawa udziału w Radzie nabierała d</w:t>
      </w:r>
      <w:r w:rsidR="00F40624" w:rsidRPr="003C0842">
        <w:t>użego</w:t>
      </w:r>
      <w:r w:rsidR="00A200B5" w:rsidRPr="003C0842">
        <w:t xml:space="preserve"> znaczenia propagandowego. W Rio de Janeiro grano </w:t>
      </w:r>
      <w:r w:rsidR="00A200B5" w:rsidRPr="003C0842">
        <w:rPr>
          <w:i/>
        </w:rPr>
        <w:t>va banc</w:t>
      </w:r>
      <w:r w:rsidR="00A200B5" w:rsidRPr="003C0842">
        <w:t xml:space="preserve">. Mimo sugestii Mello Franco </w:t>
      </w:r>
      <w:r w:rsidR="005D6F7C" w:rsidRPr="003C0842">
        <w:t>składanych prezydentowi kraju</w:t>
      </w:r>
      <w:r w:rsidR="00FD3419" w:rsidRPr="003C0842">
        <w:t>,</w:t>
      </w:r>
      <w:r w:rsidR="00A200B5" w:rsidRPr="003C0842">
        <w:t>aby utrzymać współpracę z Genewą</w:t>
      </w:r>
      <w:r w:rsidR="00155992" w:rsidRPr="003C0842">
        <w:t>, chociaż</w:t>
      </w:r>
      <w:r w:rsidR="00A200B5" w:rsidRPr="003C0842">
        <w:t xml:space="preserve"> w ramach Międzynarodowej Organizacji Pracy, a zwłaszcza Stałego Trybunału Sprawiedliwości Międzynarodowej, rząd burzył wszystkie mosty łączące Brazylię z Ligą. </w:t>
      </w:r>
      <w:r w:rsidR="00E30F69" w:rsidRPr="003C0842">
        <w:t xml:space="preserve">Jego </w:t>
      </w:r>
      <w:r w:rsidR="00A200B5" w:rsidRPr="003C0842">
        <w:t>MSZ14 czerwca 1926 r. powiadomiło Radę oraz wszystkich członków Ligi o swym wystąpie</w:t>
      </w:r>
      <w:r w:rsidR="00F40624" w:rsidRPr="003C0842">
        <w:t xml:space="preserve">niu. Była </w:t>
      </w:r>
      <w:r w:rsidR="00A200B5" w:rsidRPr="003C0842">
        <w:t>to decyzjanieodwracalna. Szybko się z nią pogodzono w Londynie, gdzie ryzyko naruszenia „ducha Locarn</w:t>
      </w:r>
      <w:r w:rsidR="00A855F2" w:rsidRPr="003C0842">
        <w:t xml:space="preserve">o” </w:t>
      </w:r>
      <w:r w:rsidR="00A200B5" w:rsidRPr="003C0842">
        <w:t xml:space="preserve">nakazywało zapomnieć obietnice składane wcześniej Brazylii. Podobne nastroje dominowały w Paryżu, gdzie łączono sugestie dotyczące roli Brazylii w Lidze z oczekiwaniem na „ambicjonalną” aktywizację Stanów Zjednoczonych, mających zarezerwowane przez Pakt miejsce w Radzie. Oczekiwanie okazało się czasem zmarnowanym, bowiem niechęć Stanów Zjednoczonych do Ligi i Europy nie zmieniała się. </w:t>
      </w:r>
    </w:p>
    <w:p w:rsidR="00A200B5" w:rsidRPr="003C0842" w:rsidRDefault="00A200B5" w:rsidP="00111348">
      <w:pPr>
        <w:spacing w:line="360" w:lineRule="auto"/>
        <w:ind w:firstLine="709"/>
      </w:pPr>
      <w:r w:rsidRPr="003C0842">
        <w:t xml:space="preserve">W nowej sytuacji wywołanej stanowczym żądaniem Brazylii, Francja skupiła uwagę na Argentynie, której aktywność w </w:t>
      </w:r>
      <w:r w:rsidR="005D6F7C" w:rsidRPr="003C0842">
        <w:t>K</w:t>
      </w:r>
      <w:r w:rsidRPr="003C0842">
        <w:t>omisji Rekonstrukcji stwarzała nadzieje na trwałą zmianę. Podobny punkt widzenia prezentowali dyplomaci niemieccy, dla których „zastąpienie” Brazylii przez Argentynę było korzystne biorąc pod uwagę pewien ich germanofilizm. Inne zdanie prezentowali Włosi, mimo że Argentyna była jednym z trzech najważniejszych państw ich zamorskiej emigracji. Jednak totalna wrogość do Francji nakazywała im zajmować odmienne stanowisko, które korespondowało z generalną niechęcią Włochów do zwiększania liczby państw obecnych na stałe w Radzie (poza Niemcami). Z jeszcze większą wstrzemięźliwością do filoargentyńskich awansów podchodziła Wielka Brytania</w:t>
      </w:r>
      <w:r w:rsidR="00E30F69" w:rsidRPr="003C0842">
        <w:t>,</w:t>
      </w:r>
      <w:r w:rsidRPr="003C0842">
        <w:t xml:space="preserve"> zważywszy na bardzo źle widzianą w Stanach Zjednoczonych krytyk</w:t>
      </w:r>
      <w:r w:rsidR="00FD3419" w:rsidRPr="003C0842">
        <w:t>ę</w:t>
      </w:r>
      <w:r w:rsidRPr="003C0842">
        <w:t xml:space="preserve"> doktryny Monroego, która w Argentynie miała sporą grupę głośnych </w:t>
      </w:r>
      <w:r w:rsidR="00690CB4" w:rsidRPr="003C0842">
        <w:t>wrogów</w:t>
      </w:r>
      <w:r w:rsidRPr="003C0842">
        <w:t xml:space="preserve">. Z jeszcze innych pozycji na aktywność dyplomacji argentyńskiej w Komisji Rekonstrukcji </w:t>
      </w:r>
      <w:r w:rsidR="00E30F69" w:rsidRPr="003C0842">
        <w:t xml:space="preserve">patrzyły </w:t>
      </w:r>
      <w:r w:rsidRPr="003C0842">
        <w:t>pozostałe państwa latynoamerykańskie. Zdawkowy żal z powodu wyjazdu Brazylijczyków z Genewy łączył się z nadziejami na lepszą pozycję ich państw, a zatem ich samych w różnych instytucjach i agendach</w:t>
      </w:r>
      <w:r w:rsidR="005D6F7C" w:rsidRPr="003C0842">
        <w:t>,</w:t>
      </w:r>
      <w:r w:rsidRPr="003C0842">
        <w:t xml:space="preserve"> całej działalności Ligi. Ewentualna wymiana Brazylii na Argentynę nadzieje takie umniejszały. Latynoamerykańska łamigłówka w Komisji Rekonstrukcji</w:t>
      </w:r>
      <w:r w:rsidR="00FD3419" w:rsidRPr="003C0842">
        <w:t>,</w:t>
      </w:r>
      <w:r w:rsidRPr="003C0842">
        <w:t xml:space="preserve"> czy lepiej walczyć o </w:t>
      </w:r>
      <w:r w:rsidRPr="003C0842">
        <w:lastRenderedPageBreak/>
        <w:t>stałe miejsce Brazylii, czy też mieć zarezerwowane trzy miejsca w Radzie, traciła sens. Argentyna byłaby „pewniakiem”</w:t>
      </w:r>
      <w:r w:rsidR="00FD3419" w:rsidRPr="003C0842">
        <w:t>,</w:t>
      </w:r>
      <w:r w:rsidRPr="003C0842">
        <w:t xml:space="preserve"> jeśliby zdecydowała się wystawić swoją kandydaturę. W takiej sytuacji do podziału nadal pozostawały tylko dwa miejsca, tak jak było to wcześniej</w:t>
      </w:r>
      <w:r w:rsidRPr="003C0842">
        <w:rPr>
          <w:rStyle w:val="Odwoanieprzypisudolnego"/>
          <w:rFonts w:ascii="Times New Roman" w:hAnsi="Times New Roman"/>
          <w:sz w:val="24"/>
        </w:rPr>
        <w:footnoteReference w:id="291"/>
      </w:r>
      <w:r w:rsidRPr="003C0842">
        <w:t>.</w:t>
      </w:r>
    </w:p>
    <w:p w:rsidR="00AC3514" w:rsidRPr="003C0842" w:rsidRDefault="00A200B5" w:rsidP="00111348">
      <w:pPr>
        <w:spacing w:line="360" w:lineRule="auto"/>
        <w:ind w:firstLine="709"/>
      </w:pPr>
      <w:r w:rsidRPr="003C0842">
        <w:t>Zbliżony los spotkał postulat chiński, tak w zakresie ich starań o stałe miejsce</w:t>
      </w:r>
      <w:r w:rsidR="00FD3419" w:rsidRPr="003C0842">
        <w:t>,</w:t>
      </w:r>
      <w:r w:rsidRPr="003C0842">
        <w:t xml:space="preserve"> jak również postulat zarezerwowania dwóch miejsc niestałych w Radzie dla kontynentu azjatyckiego</w:t>
      </w:r>
      <w:r w:rsidR="00F40624" w:rsidRPr="003C0842">
        <w:t xml:space="preserve"> oraz innych ziem niż Europa i Ameryka</w:t>
      </w:r>
      <w:r w:rsidRPr="003C0842">
        <w:t>. Akcentowanie tego oczekiwania przez Chao-Hsin Chu na każdym z kolejnych etapów negocjacji nie przynosiło żadnych efektów. Walk</w:t>
      </w:r>
      <w:r w:rsidR="00F40624" w:rsidRPr="003C0842">
        <w:t>ę</w:t>
      </w:r>
      <w:r w:rsidRPr="003C0842">
        <w:t xml:space="preserve"> Chin</w:t>
      </w:r>
      <w:r w:rsidR="00F40624" w:rsidRPr="003C0842">
        <w:t>y</w:t>
      </w:r>
      <w:r w:rsidRPr="003C0842">
        <w:t xml:space="preserve"> toczył</w:t>
      </w:r>
      <w:r w:rsidR="00F40624" w:rsidRPr="003C0842">
        <w:t>y</w:t>
      </w:r>
      <w:r w:rsidRPr="003C0842">
        <w:t xml:space="preserve"> w samotności</w:t>
      </w:r>
      <w:r w:rsidR="00F40624" w:rsidRPr="003C0842">
        <w:t>. Niewiele ważyły</w:t>
      </w:r>
      <w:r w:rsidR="00971DC5" w:rsidRPr="003C0842">
        <w:t>przestrogi</w:t>
      </w:r>
      <w:r w:rsidRPr="003C0842">
        <w:t xml:space="preserve"> o postępującej europeizacji Ligi, która stawała się związkiem państw do załatwiania spraw starego kontynentu, i to wedle recept stosowanych do „wielkiej wojny”. Ważne pozostawało to, że znakomita większość członków Komisji Rekonstrukcji, podobnie jak i Ligi</w:t>
      </w:r>
      <w:r w:rsidR="005D6F7C" w:rsidRPr="003C0842">
        <w:t>,</w:t>
      </w:r>
      <w:r w:rsidRPr="003C0842">
        <w:t xml:space="preserve"> nie uznawała chińskich aspiracji za uzasadnione. </w:t>
      </w:r>
      <w:r w:rsidR="00971DC5" w:rsidRPr="003C0842">
        <w:t>Jednocześnie</w:t>
      </w:r>
      <w:r w:rsidRPr="003C0842">
        <w:t xml:space="preserve"> głos chiński ciążył na ogólnej atmosferze obrad, które coraz częściej </w:t>
      </w:r>
      <w:r w:rsidR="00690CB4" w:rsidRPr="003C0842">
        <w:t xml:space="preserve">charakteryzowano </w:t>
      </w:r>
      <w:r w:rsidR="00971DC5" w:rsidRPr="003C0842">
        <w:t>jako</w:t>
      </w:r>
      <w:r w:rsidRPr="003C0842">
        <w:t xml:space="preserve"> kryzys</w:t>
      </w:r>
      <w:r w:rsidR="00690CB4" w:rsidRPr="003C0842">
        <w:t>owe</w:t>
      </w:r>
      <w:r w:rsidRPr="003C0842">
        <w:t xml:space="preserve">. </w:t>
      </w:r>
    </w:p>
    <w:p w:rsidR="00591FD0" w:rsidRPr="003C0842" w:rsidRDefault="00690CB4" w:rsidP="00111348">
      <w:pPr>
        <w:spacing w:line="360" w:lineRule="auto"/>
        <w:ind w:firstLine="709"/>
      </w:pPr>
      <w:r w:rsidRPr="003C0842">
        <w:t>Wśród</w:t>
      </w:r>
      <w:r w:rsidR="00A200B5" w:rsidRPr="003C0842">
        <w:t xml:space="preserve"> dobitnych tego przejawów było odroczenie drugiej rundy Komisji Rekonstrukcji przewidzianej na 28 czerwca. Powodem były niezmienione oczekiwania nie tylko Niemiec, ale też Hiszpanii i Polski</w:t>
      </w:r>
      <w:r w:rsidR="00971DC5" w:rsidRPr="003C0842">
        <w:t>. Nasiliły się</w:t>
      </w:r>
      <w:r w:rsidR="00A200B5" w:rsidRPr="003C0842">
        <w:t xml:space="preserve"> mniej lub bardziej jednoznaczne sugestie o możliwości powzięcia radykalnych decyzji</w:t>
      </w:r>
      <w:r w:rsidR="00971DC5" w:rsidRPr="003C0842">
        <w:t xml:space="preserve"> przez niezadowolonych. Wzmogło to </w:t>
      </w:r>
      <w:r w:rsidR="00A200B5" w:rsidRPr="003C0842">
        <w:t>nacisk na pozyskanie Hiszpanii, która</w:t>
      </w:r>
      <w:r w:rsidR="00971DC5" w:rsidRPr="003C0842">
        <w:t xml:space="preserve"> była kandydatem do miejsca pół</w:t>
      </w:r>
      <w:r w:rsidR="00A200B5" w:rsidRPr="003C0842">
        <w:t xml:space="preserve">stałego. Francuzi, </w:t>
      </w:r>
      <w:r w:rsidR="00FD3419" w:rsidRPr="003C0842">
        <w:t>a</w:t>
      </w:r>
      <w:r w:rsidR="00A200B5" w:rsidRPr="003C0842">
        <w:t xml:space="preserve"> zwłaszcza Brytyjczycy, którzy przyrzekali Hiszpanom poparcie dla ich pobytu w Radzie na stałe, przekon</w:t>
      </w:r>
      <w:r w:rsidR="00971DC5" w:rsidRPr="003C0842">
        <w:t>ywali</w:t>
      </w:r>
      <w:r w:rsidR="00A200B5" w:rsidRPr="003C0842">
        <w:t xml:space="preserve">, że de facto tak właśnie będzie poprzez system reelekcji, mający gwarantowane poparcie mocarstw. </w:t>
      </w:r>
      <w:r w:rsidRPr="003C0842">
        <w:t>Propozycje te zostały</w:t>
      </w:r>
      <w:r w:rsidR="00E30F69" w:rsidRPr="003C0842">
        <w:t>ponow</w:t>
      </w:r>
      <w:r w:rsidRPr="003C0842">
        <w:t>ione na</w:t>
      </w:r>
      <w:r w:rsidR="00A200B5" w:rsidRPr="003C0842">
        <w:t xml:space="preserve"> drugiej sesji Komisji Rekonstrukcji </w:t>
      </w:r>
      <w:r w:rsidR="00E30F69" w:rsidRPr="003C0842">
        <w:t>(</w:t>
      </w:r>
      <w:r w:rsidR="00A200B5" w:rsidRPr="003C0842">
        <w:t xml:space="preserve">30 sierpnia </w:t>
      </w:r>
      <w:r w:rsidR="00E30F69" w:rsidRPr="003C0842">
        <w:t>–</w:t>
      </w:r>
      <w:r w:rsidR="00A200B5" w:rsidRPr="003C0842">
        <w:t xml:space="preserve"> 3 września 1926 r.</w:t>
      </w:r>
      <w:r w:rsidR="00E30F69" w:rsidRPr="003C0842">
        <w:t>)</w:t>
      </w:r>
      <w:r w:rsidRPr="003C0842">
        <w:t>.</w:t>
      </w:r>
      <w:r w:rsidR="00A200B5" w:rsidRPr="003C0842">
        <w:t>Budowany na sprzecznych interesach gmach powiększającej się Rady zakładał, że milczący na ogół przedstawiciel Hiszpanii przyjmie jednak propozycję miejsca półstałego. Dlatego też w raporcie podsumowującym obrady tejże rundy Komisji wyraźnie stwierdzono, że odmówiono Hiszpanii miejsca stałego</w:t>
      </w:r>
      <w:r w:rsidR="00591FD0" w:rsidRPr="003C0842">
        <w:t>. Zaznaczono również, że</w:t>
      </w:r>
      <w:r w:rsidR="00A200B5" w:rsidRPr="003C0842">
        <w:t xml:space="preserve"> Polsk</w:t>
      </w:r>
      <w:r w:rsidR="00591FD0" w:rsidRPr="003C0842">
        <w:t>a</w:t>
      </w:r>
      <w:r w:rsidR="00A200B5" w:rsidRPr="003C0842">
        <w:t xml:space="preserve"> i Chin</w:t>
      </w:r>
      <w:r w:rsidR="00591FD0" w:rsidRPr="003C0842">
        <w:t>y</w:t>
      </w:r>
      <w:r w:rsidR="00A200B5" w:rsidRPr="003C0842">
        <w:t xml:space="preserve"> skłonne były wspierać alternatywne rozwiązania dla przezwyciężenia istniejącego kryzysu</w:t>
      </w:r>
      <w:r w:rsidR="00A200B5" w:rsidRPr="003C0842">
        <w:rPr>
          <w:rStyle w:val="Odwoanieprzypisudolnego"/>
          <w:rFonts w:ascii="Times New Roman" w:hAnsi="Times New Roman"/>
          <w:sz w:val="24"/>
        </w:rPr>
        <w:footnoteReference w:id="292"/>
      </w:r>
      <w:r w:rsidR="00A200B5" w:rsidRPr="003C0842">
        <w:t xml:space="preserve">. </w:t>
      </w:r>
    </w:p>
    <w:p w:rsidR="00BD56B3" w:rsidRDefault="00591FD0" w:rsidP="00111348">
      <w:pPr>
        <w:spacing w:line="360" w:lineRule="auto"/>
        <w:ind w:firstLine="709"/>
      </w:pPr>
      <w:r w:rsidRPr="003C0842">
        <w:t>Nad tym t</w:t>
      </w:r>
      <w:r w:rsidR="00A200B5" w:rsidRPr="003C0842">
        <w:t>ekst</w:t>
      </w:r>
      <w:r w:rsidRPr="003C0842">
        <w:t>em</w:t>
      </w:r>
      <w:r w:rsidR="00A200B5" w:rsidRPr="003C0842">
        <w:t xml:space="preserve"> członk</w:t>
      </w:r>
      <w:r w:rsidRPr="003C0842">
        <w:t>owie</w:t>
      </w:r>
      <w:r w:rsidR="00A200B5" w:rsidRPr="003C0842">
        <w:t xml:space="preserve"> Rady biedzili się na posiedzeniu tajnym </w:t>
      </w:r>
      <w:r w:rsidR="00AC3514" w:rsidRPr="003C0842">
        <w:t>o</w:t>
      </w:r>
      <w:r w:rsidR="00A200B5" w:rsidRPr="003C0842">
        <w:t xml:space="preserve"> godzinę dłużej niż zaplanowano. </w:t>
      </w:r>
      <w:r w:rsidR="004C55E0" w:rsidRPr="003C0842">
        <w:t>R</w:t>
      </w:r>
      <w:r w:rsidR="00A200B5" w:rsidRPr="003C0842">
        <w:t xml:space="preserve">ozwiązanie ułatwiała nieobecność Brazylii, </w:t>
      </w:r>
      <w:r w:rsidRPr="003C0842">
        <w:t xml:space="preserve">o </w:t>
      </w:r>
      <w:r w:rsidR="00A200B5" w:rsidRPr="003C0842">
        <w:t>któr</w:t>
      </w:r>
      <w:r w:rsidRPr="003C0842">
        <w:t>ej</w:t>
      </w:r>
      <w:r w:rsidR="00A200B5" w:rsidRPr="003C0842">
        <w:t xml:space="preserve"> w dyskusji w ogóle </w:t>
      </w:r>
      <w:r w:rsidRPr="003C0842">
        <w:t xml:space="preserve">nie wspomniano </w:t>
      </w:r>
      <w:r w:rsidR="00812FC5" w:rsidRPr="003C0842">
        <w:t xml:space="preserve">(!) </w:t>
      </w:r>
      <w:r w:rsidR="00A200B5" w:rsidRPr="003C0842">
        <w:t>oraz Hiszpanii, traktowanej z nadzieją</w:t>
      </w:r>
      <w:r w:rsidR="004C55E0" w:rsidRPr="003C0842">
        <w:t xml:space="preserve"> na porozumienie. Liczył na to zwłaszcza</w:t>
      </w:r>
      <w:r w:rsidR="00A200B5" w:rsidRPr="003C0842">
        <w:t xml:space="preserve"> min. Briand, który </w:t>
      </w:r>
      <w:r w:rsidR="004C55E0" w:rsidRPr="003C0842">
        <w:t xml:space="preserve">zarazem </w:t>
      </w:r>
      <w:r w:rsidR="00A200B5" w:rsidRPr="003C0842">
        <w:t xml:space="preserve">podkreślał pozytywny i konstruktywny stosunek do </w:t>
      </w:r>
      <w:r w:rsidR="00A200B5" w:rsidRPr="003C0842">
        <w:lastRenderedPageBreak/>
        <w:t xml:space="preserve">rekonstrukcji </w:t>
      </w:r>
      <w:r w:rsidR="004C55E0" w:rsidRPr="003C0842">
        <w:t xml:space="preserve">Rady </w:t>
      </w:r>
      <w:r w:rsidR="00A200B5" w:rsidRPr="003C0842">
        <w:t>delegatów z Niemiec i Polski</w:t>
      </w:r>
      <w:r w:rsidR="00A200B5" w:rsidRPr="003C0842">
        <w:rPr>
          <w:rStyle w:val="Odwoanieprzypisudolnego"/>
          <w:rFonts w:ascii="Times New Roman" w:hAnsi="Times New Roman"/>
          <w:sz w:val="24"/>
        </w:rPr>
        <w:footnoteReference w:id="293"/>
      </w:r>
      <w:r w:rsidR="00A200B5" w:rsidRPr="003C0842">
        <w:t xml:space="preserve">. Uzgodnione </w:t>
      </w:r>
      <w:r w:rsidR="004C55E0" w:rsidRPr="003C0842">
        <w:t xml:space="preserve">już </w:t>
      </w:r>
      <w:r w:rsidR="00A200B5" w:rsidRPr="003C0842">
        <w:t>stanowiska przyjęła Rada na posiedzeniu publicznym</w:t>
      </w:r>
      <w:r w:rsidR="004C55E0" w:rsidRPr="003C0842">
        <w:t>:</w:t>
      </w:r>
    </w:p>
    <w:p w:rsidR="00BD56B3" w:rsidRDefault="00A200B5" w:rsidP="00111348">
      <w:pPr>
        <w:spacing w:line="360" w:lineRule="auto"/>
        <w:ind w:firstLine="709"/>
      </w:pPr>
      <w:r w:rsidRPr="003C0842">
        <w:t>1) Niemcy po wstąpieniu do Ligi zostaną członkiem Rady ze stałym mandatem;</w:t>
      </w:r>
    </w:p>
    <w:p w:rsidR="00BD56B3" w:rsidRDefault="00A200B5" w:rsidP="00111348">
      <w:pPr>
        <w:spacing w:line="360" w:lineRule="auto"/>
        <w:ind w:firstLine="709"/>
      </w:pPr>
      <w:r w:rsidRPr="003C0842">
        <w:t>2) do 9 ulega zwiększeniu liczba miejsc niestałych w Radzie;</w:t>
      </w:r>
    </w:p>
    <w:p w:rsidR="00A200B5" w:rsidRPr="003C0842" w:rsidRDefault="00A200B5" w:rsidP="00111348">
      <w:pPr>
        <w:spacing w:line="360" w:lineRule="auto"/>
        <w:ind w:firstLine="709"/>
      </w:pPr>
      <w:r w:rsidRPr="003C0842">
        <w:t>3) zalec</w:t>
      </w:r>
      <w:r w:rsidR="00591FD0" w:rsidRPr="003C0842">
        <w:t>ono</w:t>
      </w:r>
      <w:r w:rsidRPr="003C0842">
        <w:t xml:space="preserve"> Zgromadzeniu przyjęcie projektu regulaminu w sprawie wyboru niestałych członków Rady i charakteru sprawowania ich mandatów.</w:t>
      </w:r>
    </w:p>
    <w:p w:rsidR="00BD56B3" w:rsidRDefault="00A200B5" w:rsidP="00111348">
      <w:pPr>
        <w:spacing w:line="360" w:lineRule="auto"/>
        <w:ind w:firstLine="709"/>
      </w:pPr>
      <w:r w:rsidRPr="003C0842">
        <w:t>Przybywających do Genewy polityków na VII Zgromadzenie</w:t>
      </w:r>
      <w:r w:rsidR="00812FC5" w:rsidRPr="003C0842">
        <w:t>,</w:t>
      </w:r>
      <w:r w:rsidRPr="003C0842">
        <w:t xml:space="preserve"> rozpoczynające się 6 września 1926 r.</w:t>
      </w:r>
      <w:r w:rsidR="00812FC5" w:rsidRPr="003C0842">
        <w:t>,</w:t>
      </w:r>
      <w:r w:rsidRPr="003C0842">
        <w:t xml:space="preserve"> witały informacje </w:t>
      </w:r>
      <w:r w:rsidR="00812FC5" w:rsidRPr="003C0842">
        <w:t>sugerujące</w:t>
      </w:r>
      <w:r w:rsidRPr="003C0842">
        <w:t xml:space="preserve"> pozytywne zamknięcie kryzysu Ligi, najgłębszego i najgłośniejszego w jej dotychczasowych dziejach. Towarzyszyła im także świadomość poważnych strat, w części nieodwracalnych. </w:t>
      </w:r>
      <w:r w:rsidR="00812FC5" w:rsidRPr="003C0842">
        <w:t xml:space="preserve">Chodzi </w:t>
      </w:r>
      <w:r w:rsidRPr="003C0842">
        <w:t>o definitywne</w:t>
      </w:r>
      <w:r w:rsidR="00812FC5" w:rsidRPr="003C0842">
        <w:t xml:space="preserve"> – jak się to później pokazało </w:t>
      </w:r>
      <w:r w:rsidR="00164234" w:rsidRPr="003C0842">
        <w:t>–</w:t>
      </w:r>
      <w:r w:rsidRPr="003C0842">
        <w:t xml:space="preserve"> wycofanie się Brazylii. Jej absencji nie zrekompensowała pożądana, zwłaszcza przez Francję i Wielką Brytanię aktywizacja Argentyny, która </w:t>
      </w:r>
      <w:r w:rsidR="00812FC5" w:rsidRPr="003C0842">
        <w:t xml:space="preserve">jednak </w:t>
      </w:r>
      <w:r w:rsidRPr="003C0842">
        <w:t>nadal figurowała wśród państw nieobecnych na kolejnych zgromadzeniach. Podczas VII Zgromadzenia brakowało delegacji z 6 państw – Argentyny, Boliwii, Brazylii, Hondurasu, Peru i Kostaryki, przy czym ta ostania 24 grudnia 1924 r. zgłosiła wolę wystąpienia z Ligi. Pozostałe 12 państw z tego regionu bardziej przykładało się do znalezienia dla siebie miejsca w Radzie</w:t>
      </w:r>
      <w:r w:rsidR="00812FC5" w:rsidRPr="003C0842">
        <w:t>,</w:t>
      </w:r>
      <w:r w:rsidRPr="003C0842">
        <w:t xml:space="preserve"> niż prób</w:t>
      </w:r>
      <w:r w:rsidR="00812FC5" w:rsidRPr="003C0842">
        <w:t>ami</w:t>
      </w:r>
      <w:r w:rsidRPr="003C0842">
        <w:t xml:space="preserve"> budowania solidarności latynoamerykańskiej, nie mówiąc o </w:t>
      </w:r>
      <w:r w:rsidR="009E08C3" w:rsidRPr="003C0842">
        <w:t>ogólno</w:t>
      </w:r>
      <w:r w:rsidRPr="003C0842">
        <w:t xml:space="preserve">ligowej. Stroniły też od wspierania brazylijskiego niezadowolenia z powodu rozwiązań </w:t>
      </w:r>
      <w:r w:rsidR="00812FC5" w:rsidRPr="003C0842">
        <w:t xml:space="preserve">przyjętych </w:t>
      </w:r>
      <w:r w:rsidRPr="003C0842">
        <w:t xml:space="preserve">w Komisji Rekonstrukcji oraz różnych projektów mających wznowić dyskusję </w:t>
      </w:r>
      <w:r w:rsidR="00812FC5" w:rsidRPr="003C0842">
        <w:t>nad ewentualną zmianą</w:t>
      </w:r>
      <w:r w:rsidRPr="003C0842">
        <w:t xml:space="preserve"> postanowień Rady przez Zgromadzenie. Twierdzono bowiem, że skoro Brazylia została wybrana do Rady przez Zgromadzenie, to jej rezygnacja powinna być zaakceptowana przez organ desygnujący. Wodą na młyn brazylijskich pretensji było pytanie, czy Rada w niepełnym, nieraz „kadłubowym” składzie jest w ogóle władna działać? Oczekiwano, że kwestia ta, jako nieuregulowana</w:t>
      </w:r>
      <w:r w:rsidR="007F6CFF" w:rsidRPr="003C0842">
        <w:t>,</w:t>
      </w:r>
      <w:r w:rsidR="00971DC5" w:rsidRPr="003C0842">
        <w:t xml:space="preserve">także </w:t>
      </w:r>
      <w:r w:rsidRPr="003C0842">
        <w:t>powinna zainteresowa</w:t>
      </w:r>
      <w:r w:rsidR="00971DC5" w:rsidRPr="003C0842">
        <w:t>ć</w:t>
      </w:r>
      <w:r w:rsidRPr="003C0842">
        <w:t xml:space="preserve"> Zgromadzeni</w:t>
      </w:r>
      <w:r w:rsidR="00971DC5" w:rsidRPr="003C0842">
        <w:t>e</w:t>
      </w:r>
      <w:r w:rsidRPr="003C0842">
        <w:t>.</w:t>
      </w:r>
    </w:p>
    <w:p w:rsidR="004C55E0" w:rsidRPr="003C0842" w:rsidRDefault="00971DC5" w:rsidP="00111348">
      <w:pPr>
        <w:spacing w:line="360" w:lineRule="auto"/>
        <w:ind w:firstLine="709"/>
      </w:pPr>
      <w:r w:rsidRPr="003C0842">
        <w:t>P</w:t>
      </w:r>
      <w:r w:rsidR="00A200B5" w:rsidRPr="003C0842">
        <w:t>rzez cały czas trwały rozmowy zachęcające państwa frondujące do złagodzenia swych żądań i niekomplikowania spraw i tak skomplikowanych. Zwłaszcza pracownicy Sekretariatu mieli świadomość, że wycofanie się tak aktywnych na forum Ligi dyplomatów jak MelloFranco z Brazylii czy Quiñones de León z Hiszpanii wymusi</w:t>
      </w:r>
      <w:r w:rsidR="00A855F2" w:rsidRPr="003C0842">
        <w:t xml:space="preserve"> p</w:t>
      </w:r>
      <w:r w:rsidR="007F6CFF" w:rsidRPr="003C0842">
        <w:t>aństwowo-kontynentalno-personalną</w:t>
      </w:r>
      <w:r w:rsidR="00A200B5" w:rsidRPr="003C0842">
        <w:t xml:space="preserve"> reorganizację różnych gremiów. Sprostanie wymogom </w:t>
      </w:r>
      <w:r w:rsidR="009E08C3" w:rsidRPr="003C0842">
        <w:t xml:space="preserve">kompetencji, </w:t>
      </w:r>
      <w:r w:rsidR="00A200B5" w:rsidRPr="003C0842">
        <w:t xml:space="preserve">regulaminów, precedensów, ambicji państw i konkretnych osób wymagało wielu uzgodnień, często z rozmysłem </w:t>
      </w:r>
      <w:r w:rsidR="009E08C3" w:rsidRPr="003C0842">
        <w:t>przeciąganych</w:t>
      </w:r>
      <w:r w:rsidR="00A200B5" w:rsidRPr="003C0842">
        <w:t xml:space="preserve">. </w:t>
      </w:r>
      <w:r w:rsidRPr="003C0842">
        <w:t xml:space="preserve">Gmatwanie </w:t>
      </w:r>
      <w:r w:rsidR="00A200B5" w:rsidRPr="003C0842">
        <w:t xml:space="preserve">dyskusji, a nawet próby bojkotu prac Ligi znajdowały zrozumienie, nierzadko poparcie w środowiskach wrogo </w:t>
      </w:r>
      <w:r w:rsidR="00A200B5" w:rsidRPr="003C0842">
        <w:lastRenderedPageBreak/>
        <w:t xml:space="preserve">oceniających cały budowany ciągle jeszcze mechanizm współdziałania międzynarodowego ześrodkowanego w Genewie. W krytyce celowały siły skrajne: komunistyczne eksponowały wyższość powiązań internacjonalistycznych, natomiast prawicowe odwoływały się do zawsze atrakcyjnych haseł nacjonalistycznych. Z krytyką ujawnili się też rzecznicy uniwersalnej Ligi Narodów, </w:t>
      </w:r>
      <w:r w:rsidR="004C55E0" w:rsidRPr="003C0842">
        <w:t xml:space="preserve">która nie </w:t>
      </w:r>
      <w:r w:rsidR="00A200B5" w:rsidRPr="003C0842">
        <w:t>przyciąga kolejn</w:t>
      </w:r>
      <w:r w:rsidR="004C55E0" w:rsidRPr="003C0842">
        <w:t>ych</w:t>
      </w:r>
      <w:r w:rsidR="00A200B5" w:rsidRPr="003C0842">
        <w:t xml:space="preserve"> państw,</w:t>
      </w:r>
      <w:r w:rsidR="004C55E0" w:rsidRPr="003C0842">
        <w:t xml:space="preserve"> co zwiększałobyszanse</w:t>
      </w:r>
      <w:r w:rsidR="00A200B5" w:rsidRPr="003C0842">
        <w:t xml:space="preserve"> sk</w:t>
      </w:r>
      <w:r w:rsidR="004C55E0" w:rsidRPr="003C0842">
        <w:t>utecznego</w:t>
      </w:r>
      <w:r w:rsidR="00A200B5" w:rsidRPr="003C0842">
        <w:t xml:space="preserve"> wypełniania zadań wyznaczonych przez Pakt. </w:t>
      </w:r>
    </w:p>
    <w:p w:rsidR="009E08C3" w:rsidRPr="003C0842" w:rsidRDefault="00A200B5" w:rsidP="00111348">
      <w:pPr>
        <w:spacing w:line="360" w:lineRule="auto"/>
        <w:ind w:firstLine="709"/>
      </w:pPr>
      <w:r w:rsidRPr="003C0842">
        <w:t xml:space="preserve">Rzeczywistość pokazywała obraz odmienny: pożądane przyjęcie Niemiec dokonywało się w atmosferze przetargów zdominowanych egoizmem, ale też obaw o wykorzystanie instytucji genewskiej do zburzenia porządku, którego miała strzec. Strach przed naciskiem Niemiec w Europie i Japonii w Azji wymuszał na Belgii, Chinach czy Polsce walkę o wejście do Rady, której decyzje podejmowane bez ich udziału mogły okazać się brzemienne w skutkach. Obiektywna niemożność zaspokojenia oczekiwań wszystkich pretendentów do mocarstwowej „nobilitacji” była częścią składową ówczesnego, ciężkiego kryzysu. </w:t>
      </w:r>
    </w:p>
    <w:p w:rsidR="00A200B5" w:rsidRPr="00241D7B" w:rsidRDefault="009E08C3" w:rsidP="00111348">
      <w:pPr>
        <w:spacing w:line="360" w:lineRule="auto"/>
        <w:ind w:firstLine="709"/>
        <w:rPr>
          <w:sz w:val="28"/>
          <w:szCs w:val="28"/>
        </w:rPr>
      </w:pPr>
      <w:r w:rsidRPr="003C0842">
        <w:t>Nasiliła się też</w:t>
      </w:r>
      <w:r w:rsidR="00A200B5" w:rsidRPr="003C0842">
        <w:t xml:space="preserve"> krytyk</w:t>
      </w:r>
      <w:r w:rsidRPr="003C0842">
        <w:t>a</w:t>
      </w:r>
      <w:r w:rsidR="00A200B5" w:rsidRPr="003C0842">
        <w:t xml:space="preserve"> Ligi jako organizacji zdominowanej przez Europę i jej sprawy. Podkreślano lekceważenie oczekiwań Chin oraz stanowczość Francji i Wielkiej Brytanii wobec Brazylii, raczej utwierdzanej wcześniej w swych mocarstwowych ambicjach. Z wielkiego kontynentu amerykańskiego nie było w Lidze ich niekwestionowanego lidera – Stanów Zjednoczonych, dużych obszarowo państw Meksyku, Brazylii, de facto Argentyny. </w:t>
      </w:r>
      <w:r w:rsidR="00241D7B" w:rsidRPr="001E5F63">
        <w:t xml:space="preserve">Przy ograniczonej aktywności Kanady (realizującej </w:t>
      </w:r>
      <w:r w:rsidR="00241D7B" w:rsidRPr="001E5F63">
        <w:rPr>
          <w:i/>
        </w:rPr>
        <w:t>grosso modo</w:t>
      </w:r>
      <w:r w:rsidR="00241D7B" w:rsidRPr="001E5F63">
        <w:t xml:space="preserve"> wytyczne Londynu) można mówić o krytycznym, w każdym razie ograniczonym, lub nikłym rezonansie na tym obszarze problemów ekscytujących instytucję genewską. Dotyczyło to także indywidualnego spojrzenia na wstąpienie Niemiec do Ligi ze strony Nowej Zelandii. Wprawdzie jej przedstawiciel jako członek „drużyny brytyjskiej” głosował „za” przyjęciem Niemiec, ale myślał „nie” z powodu sprawowanego mandatu nad Samoa Zachodnim – przed wojną niemieckim</w:t>
      </w:r>
      <w:r w:rsidR="00241D7B" w:rsidRPr="001E5F63">
        <w:rPr>
          <w:rStyle w:val="Odwoanieprzypisudolnego"/>
          <w:sz w:val="24"/>
        </w:rPr>
        <w:footnoteReference w:id="294"/>
      </w:r>
      <w:r w:rsidR="00A200B5" w:rsidRPr="001E5F63">
        <w:t xml:space="preserve">. </w:t>
      </w:r>
      <w:r w:rsidRPr="001E5F63">
        <w:t>E</w:t>
      </w:r>
      <w:r w:rsidR="00A200B5" w:rsidRPr="001E5F63">
        <w:t>uropocentryzm</w:t>
      </w:r>
      <w:r w:rsidRPr="003C0842">
        <w:t xml:space="preserve">LN </w:t>
      </w:r>
      <w:r w:rsidR="00A200B5" w:rsidRPr="003C0842">
        <w:t xml:space="preserve">dostrzegano też z perspektywy azjatyckiej. Japonia była w Lidze </w:t>
      </w:r>
      <w:r w:rsidRPr="003C0842">
        <w:t>aktywna</w:t>
      </w:r>
      <w:r w:rsidR="00A200B5" w:rsidRPr="003C0842">
        <w:t>, przede wszystkim przez częsty udział jej przedstawicieli w różnych komisjach, komitetach itd. Z drugiej strony owa, głównie techniczna i organizacyjna obecność w Genewie, nie oznaczała zaangażowania rządu czy państwa. Stale aktualizowane hasło „Azji dla Azjatów” lub japońskiej wersji panazjatyzmu zachęcało, wręcz wymuszało separowanie Ligi od tego kontynentu</w:t>
      </w:r>
      <w:r w:rsidR="00A200B5" w:rsidRPr="003C0842">
        <w:rPr>
          <w:rStyle w:val="Odwoanieprzypisudolnego"/>
          <w:rFonts w:ascii="Times New Roman" w:hAnsi="Times New Roman"/>
          <w:sz w:val="24"/>
        </w:rPr>
        <w:footnoteReference w:id="295"/>
      </w:r>
      <w:r w:rsidR="00A200B5" w:rsidRPr="003C0842">
        <w:t>.</w:t>
      </w:r>
    </w:p>
    <w:p w:rsidR="00A200B5" w:rsidRPr="003C0842" w:rsidRDefault="00A200B5" w:rsidP="00111348">
      <w:pPr>
        <w:spacing w:line="360" w:lineRule="auto"/>
        <w:ind w:firstLine="709"/>
      </w:pPr>
      <w:r w:rsidRPr="003C0842">
        <w:lastRenderedPageBreak/>
        <w:t>Wejście Niemiec do Ligi, ze znanym powszechnie pakietem pretensji i rewizyjno-burzycielskich planów skoncentrowanych na sprawach „starego kontynentu” (jeśli pominąć aspiracje kolonialne, niezbyt eksponowane) ową europejskość Ligi uwypuklało. Krytycy mieli pole do popisu. Lord Cecil, jeden z liderów prowadzonych wówczas negocjacji (rozumie się w ścisłym porozumieniu z własnym rządem) uznał po latach, że „nie widzi niczego co mogłoby być wówczas zrobione lepiej”. Odnotowuje wszakże towarzyszące politykom wątpliwości: czy kontrowersje związane z przyjęciem Niemiec zostaną zrekompensowane przez ich obecność w Lidze?</w:t>
      </w:r>
      <w:r w:rsidRPr="003C0842">
        <w:rPr>
          <w:rStyle w:val="Odwoanieprzypisudolnego"/>
          <w:rFonts w:ascii="Times New Roman" w:hAnsi="Times New Roman"/>
          <w:sz w:val="24"/>
        </w:rPr>
        <w:footnoteReference w:id="296"/>
      </w:r>
    </w:p>
    <w:p w:rsidR="00A200B5" w:rsidRPr="003C0842" w:rsidRDefault="00A200B5" w:rsidP="00111348">
      <w:pPr>
        <w:spacing w:line="360" w:lineRule="auto"/>
        <w:ind w:firstLine="709"/>
      </w:pPr>
      <w:r w:rsidRPr="003C0842">
        <w:t>Początek był spektakularnie trudny, dramatyczny nawet. Minister spraw zagranicznych Hiszpanii Josè De Vanguas 8 września 1926 r. notyfikow</w:t>
      </w:r>
      <w:r w:rsidR="00413C94" w:rsidRPr="003C0842">
        <w:t>ał s</w:t>
      </w:r>
      <w:r w:rsidRPr="003C0842">
        <w:t xml:space="preserve">ekretarzowi </w:t>
      </w:r>
      <w:r w:rsidR="00413C94" w:rsidRPr="003C0842">
        <w:t>g</w:t>
      </w:r>
      <w:r w:rsidRPr="003C0842">
        <w:t>eneralnemu wystąpienie swego kraju z Ligi. Jakkolwiek nie była to decyzja zaskakująca, to jednak wrażenie było silne. Uderzało dodatkowo w grupę państw, dla których Hiszpania była tradycyjnym wzorem, nierzadko mentorem, słuchanym</w:t>
      </w:r>
      <w:r w:rsidR="009E08C3" w:rsidRPr="003C0842">
        <w:t>, nierzadko uwzgl</w:t>
      </w:r>
      <w:r w:rsidR="007F6CFF" w:rsidRPr="003C0842">
        <w:t>ę</w:t>
      </w:r>
      <w:r w:rsidR="009E08C3" w:rsidRPr="003C0842">
        <w:t>dnianym</w:t>
      </w:r>
      <w:r w:rsidRPr="003C0842">
        <w:t xml:space="preserve"> doradcą. Siła „frakcji” łacińskiej w Lidze zm</w:t>
      </w:r>
      <w:r w:rsidR="00B102BA" w:rsidRPr="003C0842">
        <w:t>alała</w:t>
      </w:r>
      <w:r w:rsidRPr="003C0842">
        <w:t xml:space="preserve">. Przesunięcie </w:t>
      </w:r>
      <w:r w:rsidR="005617E0" w:rsidRPr="003C0842">
        <w:t>na rzecz Anglosasów</w:t>
      </w:r>
      <w:r w:rsidRPr="003C0842">
        <w:t xml:space="preserve"> było duże. Wśród członków Ligi Niemcy były najlu</w:t>
      </w:r>
      <w:r w:rsidR="005617E0" w:rsidRPr="003C0842">
        <w:t>dniejszym państwem europejskim z</w:t>
      </w:r>
      <w:r w:rsidRPr="003C0842">
        <w:t xml:space="preserve"> 60 mln ludności</w:t>
      </w:r>
      <w:r w:rsidR="005617E0" w:rsidRPr="003C0842">
        <w:t>ą</w:t>
      </w:r>
      <w:r w:rsidRPr="003C0842">
        <w:t>. Wyprzedzały pod tym względem Wielką Brytanię (44 mln), Włochy i Francję (po ok</w:t>
      </w:r>
      <w:r w:rsidR="00F80EB7">
        <w:t>oło</w:t>
      </w:r>
      <w:r w:rsidRPr="003C0842">
        <w:t xml:space="preserve"> 40 mln). Ich pozycję wzmacniało centralne położenie geograficzne oraz znaczne terytorium, dużo większe od Wielkiej Brytanii czy Włoch i porównywalne z Francją. Oba ten państwa wnosiły do wspólnej kasy identyczną składkę, tj. 79 jedn</w:t>
      </w:r>
      <w:r w:rsidR="007F6CFF" w:rsidRPr="003C0842">
        <w:t>ostek, co w 1926 r. wynosiło około</w:t>
      </w:r>
      <w:r w:rsidRPr="003C0842">
        <w:t xml:space="preserve"> 1,9 mln złotych franków szwajcarskich</w:t>
      </w:r>
      <w:r w:rsidRPr="003C0842">
        <w:rPr>
          <w:rStyle w:val="Odwoanieprzypisudolnego"/>
          <w:rFonts w:ascii="Times New Roman" w:hAnsi="Times New Roman"/>
          <w:sz w:val="24"/>
        </w:rPr>
        <w:footnoteReference w:id="297"/>
      </w:r>
      <w:r w:rsidRPr="003C0842">
        <w:t>.</w:t>
      </w:r>
    </w:p>
    <w:p w:rsidR="00A200B5" w:rsidRPr="003C0842" w:rsidRDefault="00A200B5" w:rsidP="00111348">
      <w:pPr>
        <w:spacing w:line="360" w:lineRule="auto"/>
        <w:ind w:firstLine="709"/>
      </w:pPr>
      <w:r w:rsidRPr="003C0842">
        <w:t>Wszystkie te elementy były znane, analizowane i przypominane</w:t>
      </w:r>
      <w:r w:rsidR="007F6CFF" w:rsidRPr="003C0842">
        <w:t>,</w:t>
      </w:r>
      <w:r w:rsidRPr="003C0842">
        <w:t xml:space="preserve"> zanim obradujące już VII Zgromadzenie nie przystąpiło 8 września 1926 r. do rozpatrzenia rezolucji 41</w:t>
      </w:r>
      <w:r w:rsidR="007F6CFF" w:rsidRPr="003C0842">
        <w:t>.</w:t>
      </w:r>
      <w:r w:rsidRPr="003C0842">
        <w:t xml:space="preserve"> sesji Rady. Jej istotą – jak to już wyżej napisano – było przyjęcie Niemiec do Ligi i wyznaczenie ich jako stałego członka Rady oraz zwiększenie do 9 miejsc niestałych i ustalenie regulaminu ich wyboru. Brytyjsko-francuski tandem zdołał wyciszyć niezadowolenie przedstawicieli niemieckich, którym ujęto nieco splendoru poprzez połączenie sprawy przyznania im miejsca stałego w Radzie ze sprawą powiększenia liczby miejsc niestałych. Ekipa min. Stresemanna była przekonana, że najpierw Niemcy zostaną przyjęte do Ligi i wprowadzone do Rady, a dopiero później </w:t>
      </w:r>
      <w:r w:rsidR="007F6CFF" w:rsidRPr="003C0842">
        <w:t>zo</w:t>
      </w:r>
      <w:r w:rsidRPr="003C0842">
        <w:t xml:space="preserve">stanie </w:t>
      </w:r>
      <w:r w:rsidR="007F6CFF" w:rsidRPr="003C0842">
        <w:t xml:space="preserve">postawiony </w:t>
      </w:r>
      <w:r w:rsidRPr="003C0842">
        <w:t>wniosek o powiększenie liczby miejsc niestałych. Adwokatami takich właśnie oczekiwań Berlina, jako żywo wybitnie prestiżowego charakteru byli delegat z Holand</w:t>
      </w:r>
      <w:r w:rsidR="0010193E" w:rsidRPr="003C0842">
        <w:t>ii Jocheer Londen, Norwegii Fri</w:t>
      </w:r>
      <w:r w:rsidRPr="003C0842">
        <w:t xml:space="preserve">dtjofNansen i Szwecji Jonas E. </w:t>
      </w:r>
      <w:r w:rsidRPr="003C0842">
        <w:lastRenderedPageBreak/>
        <w:t>Löfgren</w:t>
      </w:r>
      <w:r w:rsidRPr="003C0842">
        <w:rPr>
          <w:rStyle w:val="Odwoanieprzypisudolnego"/>
          <w:rFonts w:ascii="Times New Roman" w:hAnsi="Times New Roman"/>
          <w:sz w:val="24"/>
        </w:rPr>
        <w:footnoteReference w:id="298"/>
      </w:r>
      <w:r w:rsidRPr="003C0842">
        <w:t>. Zgodnie z propozycją Biura Zgromadzenia jedynie sprawę regulaminu wyboru i mandatów niestałych członków Rady przekazano do rozważenia Komisji Pierwszej. Pozostałe trzy sprawy, a więc przyjęcia Niemiec, przyznania im stałego miejsca w Radzie wraz ze zwiększeniem liczby miejsc niestałych do 9 załatwiono bez odsyłania do komisji. W obu głosowaniach – tajnym i imiennym, uzyskano jednomyślny wynik – 48 głosów tak</w:t>
      </w:r>
      <w:r w:rsidRPr="003C0842">
        <w:rPr>
          <w:rStyle w:val="Odwoanieprzypisudolnego"/>
          <w:rFonts w:ascii="Times New Roman" w:hAnsi="Times New Roman"/>
          <w:sz w:val="24"/>
        </w:rPr>
        <w:footnoteReference w:id="299"/>
      </w:r>
      <w:r w:rsidRPr="003C0842">
        <w:t>.</w:t>
      </w:r>
    </w:p>
    <w:p w:rsidR="00B102BA" w:rsidRPr="003C0842" w:rsidRDefault="00A200B5" w:rsidP="00111348">
      <w:pPr>
        <w:spacing w:line="360" w:lineRule="auto"/>
        <w:ind w:firstLine="709"/>
      </w:pPr>
      <w:r w:rsidRPr="003C0842">
        <w:t>Wyniki te, chociaż na ogół spodziewane</w:t>
      </w:r>
      <w:r w:rsidR="00B102BA" w:rsidRPr="003C0842">
        <w:t>,</w:t>
      </w:r>
      <w:r w:rsidRPr="003C0842">
        <w:t xml:space="preserve"> stały się okazją do licznych wypowiedzi podkreślających znaczenie przyłączenia się Niemiec do organizacji stojącej na straży pokoju, bezpieczeństwa międzynarodowego, współpracy, sprawiedliwości itp. Wokół podobnych kwestii obracały się przemówienia wygłaszane 10 września, kiedy delegacja niemiecka ze Stresemannem, von Schubertem i Fri</w:t>
      </w:r>
      <w:r w:rsidR="007F6CFF" w:rsidRPr="003C0842">
        <w:t>e</w:t>
      </w:r>
      <w:r w:rsidRPr="003C0842">
        <w:t>drichem Gausem zasiadła w ławach Sali Reformacji – tradycyjnego miejsca obrad Zgromadzeń</w:t>
      </w:r>
      <w:r w:rsidRPr="003C0842">
        <w:rPr>
          <w:rStyle w:val="Odwoanieprzypisudolnego"/>
          <w:rFonts w:ascii="Times New Roman" w:hAnsi="Times New Roman"/>
          <w:sz w:val="24"/>
        </w:rPr>
        <w:footnoteReference w:id="300"/>
      </w:r>
      <w:r w:rsidRPr="003C0842">
        <w:t>. Przewodniczący VII Zgromadzenia Momčilo Ninčić, minister spraw zagranicznych Królestwa SHS</w:t>
      </w:r>
      <w:r w:rsidR="005617E0" w:rsidRPr="003C0842">
        <w:t>,</w:t>
      </w:r>
      <w:r w:rsidRPr="003C0842">
        <w:t xml:space="preserve"> wygłosił powitalne przemówienie. Z wielkim zainteresowaniem oczekiwano na wystąpienie min. Stresemanna, które z natury rzeczy musiało zadowalać różnych odbiorców: słuchaczy w Sali Reformacji, międzynarodową opinię publiczną, a równocześnie </w:t>
      </w:r>
      <w:r w:rsidR="00B102BA" w:rsidRPr="003C0842">
        <w:t>rodaków – w kraju i poza nim.</w:t>
      </w:r>
      <w:r w:rsidRPr="003C0842">
        <w:t xml:space="preserve"> Niemiecki minister mówił o wielkich zadaniach Ligi, o potrzebie budowy nowego, pokojowego ładu, współpracy ze wszystkimi członkami Ligi, o ułatwieniach obejmujących produkcję i handel, o równouprawnieniu i przezwyciężeniu istniejących jeszcze podziałów</w:t>
      </w:r>
      <w:r w:rsidR="00B6015F" w:rsidRPr="003C0842">
        <w:t xml:space="preserve"> oraz rozbrojeniu innych jako konsekwencji całkowitego rozbrojonia Niemiec.</w:t>
      </w:r>
      <w:r w:rsidRPr="003C0842">
        <w:t xml:space="preserve"> Przemówienie wygłoszone po niemiecku było przerywane kilkakrotnie oklaskami. </w:t>
      </w:r>
      <w:r w:rsidR="0086773E" w:rsidRPr="003C0842">
        <w:t>D</w:t>
      </w:r>
      <w:r w:rsidRPr="003C0842">
        <w:t xml:space="preserve">elegaci i słuchacze, </w:t>
      </w:r>
      <w:r w:rsidR="0086773E" w:rsidRPr="003C0842">
        <w:t>w</w:t>
      </w:r>
      <w:r w:rsidRPr="003C0842">
        <w:t>śród których było wiele znamienitych gości (m.in. wdowa po prezydencie Wilsonie, Ignacy Paderewski, brat cesarza japońskiego książę Cziczibu,</w:t>
      </w:r>
      <w:r w:rsidR="00B102BA" w:rsidRPr="003C0842">
        <w:t xml:space="preserve">Hindus Tagore Rabindranath </w:t>
      </w:r>
      <w:r w:rsidR="00164234" w:rsidRPr="003C0842">
        <w:t>–</w:t>
      </w:r>
      <w:r w:rsidR="00B102BA" w:rsidRPr="003C0842">
        <w:t xml:space="preserve"> pierwszy z Azji </w:t>
      </w:r>
      <w:r w:rsidR="00364766" w:rsidRPr="003C0842">
        <w:t>Noblista z 1913 r.,</w:t>
      </w:r>
      <w:r w:rsidRPr="003C0842">
        <w:t xml:space="preserve">) </w:t>
      </w:r>
      <w:r w:rsidR="0086773E" w:rsidRPr="003C0842">
        <w:t xml:space="preserve">znacznie żywiej reagowali </w:t>
      </w:r>
      <w:r w:rsidRPr="003C0842">
        <w:t>na wystąpienie Aristid</w:t>
      </w:r>
      <w:r w:rsidR="00D732A3" w:rsidRPr="003C0842">
        <w:t>e’a</w:t>
      </w:r>
      <w:r w:rsidRPr="003C0842">
        <w:t xml:space="preserve"> Brianda. Ten znakomity orator z widocznym podnieceniem mówił o nastaniu nowej ery, zdominowanej wzajemnym zaufaniem narodów i postępowan</w:t>
      </w:r>
      <w:r w:rsidR="005617E0" w:rsidRPr="003C0842">
        <w:t xml:space="preserve">iem koncyliacyjno-arbitrażowym. </w:t>
      </w:r>
      <w:r w:rsidRPr="003C0842">
        <w:t>Nagromadzenie pięknych słów uczyniło Brianda bohaterem tej sesji jak i całego Zgromadzenia.</w:t>
      </w:r>
    </w:p>
    <w:p w:rsidR="00A200B5" w:rsidRPr="003C0842" w:rsidRDefault="00B102BA" w:rsidP="00111348">
      <w:pPr>
        <w:spacing w:line="360" w:lineRule="auto"/>
        <w:ind w:firstLine="709"/>
      </w:pPr>
      <w:r w:rsidRPr="003C0842">
        <w:t>Jednak w</w:t>
      </w:r>
      <w:r w:rsidR="00B6015F" w:rsidRPr="003C0842">
        <w:t xml:space="preserve">ielkie dni przeżywał </w:t>
      </w:r>
      <w:r w:rsidRPr="003C0842">
        <w:t>również</w:t>
      </w:r>
      <w:r w:rsidR="00B6015F" w:rsidRPr="003C0842">
        <w:t xml:space="preserve"> min.Stresemann. Paul Schmidt, tłumacz delegacji niemieckiej zapamiętał </w:t>
      </w:r>
      <w:r w:rsidR="00364766" w:rsidRPr="003C0842">
        <w:t>ten czas</w:t>
      </w:r>
      <w:r w:rsidR="00B6015F" w:rsidRPr="003C0842">
        <w:t xml:space="preserve"> jako </w:t>
      </w:r>
      <w:r w:rsidR="00364766" w:rsidRPr="003C0842">
        <w:t>triumf</w:t>
      </w:r>
      <w:r w:rsidRPr="003C0842">
        <w:t>, rzadko doświadczany</w:t>
      </w:r>
      <w:r w:rsidR="00B6015F" w:rsidRPr="003C0842">
        <w:t xml:space="preserve"> na międzynarodowym bruku genewskim</w:t>
      </w:r>
      <w:r w:rsidR="00BD1DA8" w:rsidRPr="003C0842">
        <w:t xml:space="preserve"> „zwykle zionącym chłodem”.</w:t>
      </w:r>
      <w:r w:rsidR="00364766" w:rsidRPr="003C0842">
        <w:t xml:space="preserve"> A</w:t>
      </w:r>
      <w:r w:rsidR="00BD1DA8" w:rsidRPr="003C0842">
        <w:t xml:space="preserve">tmosferę okalającą wejście Niemiec do Ligi zaliczył do największych przeżyć w jego karierze, niemałej przecież: </w:t>
      </w:r>
      <w:r w:rsidR="00BD1DA8" w:rsidRPr="003C0842">
        <w:lastRenderedPageBreak/>
        <w:t>„nie mogło być najmniejszej wątpliwości, że Niemcy po latach wojny i niepokoju powojennego okresu teraz definitywnie związały się ze światem i zostały przyjęte do społeczności narodów jako pełnoprawny ich członek”</w:t>
      </w:r>
      <w:r w:rsidR="00BD1DA8" w:rsidRPr="003C0842">
        <w:rPr>
          <w:rStyle w:val="Odwoanieprzypisudolnego"/>
          <w:rFonts w:ascii="Times New Roman" w:hAnsi="Times New Roman"/>
          <w:sz w:val="24"/>
        </w:rPr>
        <w:footnoteReference w:id="301"/>
      </w:r>
      <w:r w:rsidR="00BD1DA8" w:rsidRPr="003C0842">
        <w:t>.</w:t>
      </w:r>
    </w:p>
    <w:p w:rsidR="00A200B5" w:rsidRPr="003C0842" w:rsidRDefault="00A200B5" w:rsidP="00111348">
      <w:pPr>
        <w:spacing w:line="360" w:lineRule="auto"/>
        <w:ind w:firstLine="709"/>
      </w:pPr>
      <w:r w:rsidRPr="003C0842">
        <w:t xml:space="preserve">Eksponowana we wszystkich wystąpieniach wyjątkowość VII Zgromadzenia polegała także na </w:t>
      </w:r>
      <w:r w:rsidR="005617E0" w:rsidRPr="003C0842">
        <w:t>zwielokrotnionym zainteresowaniu obradami ze strony publiczności, które</w:t>
      </w:r>
      <w:r w:rsidRPr="003C0842">
        <w:t xml:space="preserve"> na ogół </w:t>
      </w:r>
      <w:r w:rsidR="005617E0" w:rsidRPr="003C0842">
        <w:t xml:space="preserve">i tak było </w:t>
      </w:r>
      <w:r w:rsidRPr="003C0842">
        <w:t xml:space="preserve">spore. Im większa liczba spodziewanych premierów, ministrów, ogólnie </w:t>
      </w:r>
      <w:r w:rsidR="00164234" w:rsidRPr="003C0842">
        <w:t>–</w:t>
      </w:r>
      <w:r w:rsidRPr="003C0842">
        <w:t>znanych osobistości, im ważniejsze miały zapadać decyzje, tym trudniej było zapanować nad tłumem ciekawskich, wykorzystujących różne sposoby dla zdobycia jak najlepszego miejsca, często miejsca w ogóle. Wejście Niemiec do Ligi było szczególną atrakcją, wydarzeniem, przy którym chciało asystować wielu. Naturalny w takich sytuacjach tłok potęgowały rodziny delegatów (i ich współpracowników), reprezentantów rządowych, urzędników Sekretariatu, stałych i nadzwyczajnych dziennikarzy, fotografów. Udaną, acz krytykowaną próbą opanowania sytuacji poprzedzającej VII Zgromadzenie było ustalenie przez Sekretariat 20 sierpnia 1926 r., specjalnego regulaminu dotyczącego udziału publiczności w sesjach Zgromadzenia, Rady, Komisji itd. Różnokolorowe karty i identyfikatory miały charakter ściśle osobisty, zawierały dane personalne i nie mogły być odstępowane</w:t>
      </w:r>
      <w:r w:rsidRPr="003C0842">
        <w:rPr>
          <w:rStyle w:val="Odwoanieprzypisudolnego"/>
          <w:rFonts w:ascii="Times New Roman" w:hAnsi="Times New Roman"/>
          <w:sz w:val="24"/>
        </w:rPr>
        <w:footnoteReference w:id="302"/>
      </w:r>
      <w:r w:rsidRPr="003C0842">
        <w:t>.</w:t>
      </w:r>
    </w:p>
    <w:p w:rsidR="00A200B5" w:rsidRPr="003C0842" w:rsidRDefault="00A200B5" w:rsidP="00111348">
      <w:pPr>
        <w:spacing w:line="360" w:lineRule="auto"/>
        <w:ind w:firstLine="709"/>
      </w:pPr>
      <w:r w:rsidRPr="003C0842">
        <w:t xml:space="preserve">Nadzwyczajność VII Zgromadzenia podkreśliła też Sekcja Informacyjna Sekretariatu, która </w:t>
      </w:r>
      <w:r w:rsidR="00B102BA" w:rsidRPr="003C0842">
        <w:t xml:space="preserve">zleciła wykonanie </w:t>
      </w:r>
      <w:r w:rsidRPr="003C0842">
        <w:t>fi</w:t>
      </w:r>
      <w:r w:rsidR="00B102BA" w:rsidRPr="003C0842">
        <w:t>lmu</w:t>
      </w:r>
      <w:r w:rsidRPr="003C0842">
        <w:t xml:space="preserve"> dokumentaln</w:t>
      </w:r>
      <w:r w:rsidR="00B102BA" w:rsidRPr="003C0842">
        <w:t>ego</w:t>
      </w:r>
      <w:r w:rsidRPr="003C0842">
        <w:t xml:space="preserve">. Poza wszystkim była to forma popularyzacji Ligi, chociaż ograniczona liczbą kinematografów. Na </w:t>
      </w:r>
      <w:smartTag w:uri="urn:schemas-microsoft-com:office:smarttags" w:element="metricconverter">
        <w:smartTagPr>
          <w:attr w:name="ProductID" w:val="300 metrach"/>
        </w:smartTagPr>
        <w:r w:rsidRPr="003C0842">
          <w:t>300 metrach</w:t>
        </w:r>
      </w:smartTag>
      <w:r w:rsidRPr="003C0842">
        <w:t xml:space="preserve"> taśmy pokazano Genewę i miejsca prac Ligi, Benesza otwierającego 6 września 1926 r. Zgromadzenie oraz Ninčića wybranego na przewodniczącego Zgromadzenia, głosowanie 8 września, tekst telegramu rządu niemieckiego do Sekretariatu Generalnego wręczony tuż po głosowaniu, przyjazd do Genewy delegacji niemieckiej i jej wejście 10 września do Sali Reformacji, przemawiających – Stresemanna i Brianda, oklaski delegatów i publiczności, w końcu wyjście po posiedzeniu i wiwatujące tłumy</w:t>
      </w:r>
      <w:r w:rsidRPr="003C0842">
        <w:rPr>
          <w:rStyle w:val="Odwoanieprzypisudolnego"/>
          <w:rFonts w:ascii="Times New Roman" w:hAnsi="Times New Roman"/>
          <w:sz w:val="24"/>
        </w:rPr>
        <w:footnoteReference w:id="303"/>
      </w:r>
      <w:r w:rsidRPr="003C0842">
        <w:t>.</w:t>
      </w:r>
    </w:p>
    <w:p w:rsidR="00A200B5" w:rsidRPr="003C0842" w:rsidRDefault="00533609" w:rsidP="00111348">
      <w:pPr>
        <w:spacing w:line="360" w:lineRule="auto"/>
        <w:ind w:firstLine="709"/>
      </w:pPr>
      <w:r w:rsidRPr="003C0842">
        <w:t>P</w:t>
      </w:r>
      <w:r w:rsidR="00A200B5" w:rsidRPr="003C0842">
        <w:t xml:space="preserve">okój, </w:t>
      </w:r>
      <w:r w:rsidRPr="003C0842">
        <w:t xml:space="preserve">bezpieczeństwo, </w:t>
      </w:r>
      <w:r w:rsidR="00A200B5" w:rsidRPr="003C0842">
        <w:t>budowa</w:t>
      </w:r>
      <w:r w:rsidRPr="003C0842">
        <w:t>nie</w:t>
      </w:r>
      <w:r w:rsidR="00A200B5" w:rsidRPr="003C0842">
        <w:t xml:space="preserve"> mostów</w:t>
      </w:r>
      <w:r w:rsidRPr="003C0842">
        <w:t xml:space="preserve"> miedzy narodami</w:t>
      </w:r>
      <w:r w:rsidR="00A200B5" w:rsidRPr="003C0842">
        <w:t>, zapowiedzi przyjaznej współpracy</w:t>
      </w:r>
      <w:r w:rsidRPr="003C0842">
        <w:t xml:space="preserve"> itp. hasła</w:t>
      </w:r>
      <w:r w:rsidR="00A200B5" w:rsidRPr="003C0842">
        <w:t xml:space="preserve"> nie mogły przysłonić </w:t>
      </w:r>
      <w:r w:rsidRPr="003C0842">
        <w:t>sporów</w:t>
      </w:r>
      <w:r w:rsidR="00A200B5" w:rsidRPr="003C0842">
        <w:t xml:space="preserve"> dotyczących dalszej reorganizacji Rady. Każdy z wielkich, niemal każdy ze średnich i małych miał swoje preferencje, które wynikały z partykularnych interesów. Pełnoprawnym uczestnikiem różnych konferencji, a także półoficjalnych spotkań i narad byli Niemcy. Konsekwentnie, nie wysuwając się na plan pierwszy</w:t>
      </w:r>
      <w:r w:rsidRPr="003C0842">
        <w:t>,</w:t>
      </w:r>
      <w:r w:rsidR="00A200B5" w:rsidRPr="003C0842">
        <w:t xml:space="preserve"> starali się torpedować projekt wyposażenia Polski w prawo do reelekcji lub </w:t>
      </w:r>
      <w:r w:rsidR="00A200B5" w:rsidRPr="003C0842">
        <w:lastRenderedPageBreak/>
        <w:t xml:space="preserve">umniejszyć jego polityczną wymowę. Wspierał ich nawet Chamberlain, który proponował skrócenie mandatów dla Hiszpanii i Polski do dwóch lat, chociaż z prawem do reelekcji. Projekt ten przestał być aktualny już 11 września, kiedy Hiszpania sformalizowała swoje wystąpienie z Ligi. Mimo nalegań Chamberlaina, a także – chociaż </w:t>
      </w:r>
      <w:r w:rsidRPr="003C0842">
        <w:t>oględniejszej</w:t>
      </w:r>
      <w:r w:rsidR="00A200B5" w:rsidRPr="003C0842">
        <w:t xml:space="preserve"> Brianda</w:t>
      </w:r>
      <w:r w:rsidR="00A200B5" w:rsidRPr="003C0842">
        <w:rPr>
          <w:rStyle w:val="Odwoanieprzypisudolnego"/>
          <w:rFonts w:ascii="Times New Roman" w:hAnsi="Times New Roman"/>
          <w:sz w:val="24"/>
        </w:rPr>
        <w:footnoteReference w:id="304"/>
      </w:r>
      <w:r w:rsidR="00A200B5" w:rsidRPr="003C0842">
        <w:t>, min. Zaleski obstawał przy kadencji trzyletniej z prawem do reelekcji za przyzwoleniem 2/3 Zgromadzenia w głosowaniu tajnym. Dyskutowany i udoskonalany projekt regulaminu przyjęty w Pierwszej Komisji Zgromadzenia</w:t>
      </w:r>
      <w:r w:rsidRPr="003C0842">
        <w:t>,</w:t>
      </w:r>
      <w:r w:rsidR="00A200B5" w:rsidRPr="003C0842">
        <w:t xml:space="preserve"> pracującej pod kierunkiem Giuseppe Motty</w:t>
      </w:r>
      <w:r w:rsidRPr="003C0842">
        <w:t>,</w:t>
      </w:r>
      <w:r w:rsidR="00A200B5" w:rsidRPr="003C0842">
        <w:t xml:space="preserve"> został zaakceptowany przez Zgromadzenie jednomyślnie 15 września 1926 r. Określono w nim trzy zasadnicze sprawy:</w:t>
      </w:r>
    </w:p>
    <w:p w:rsidR="00A200B5" w:rsidRPr="003C0842" w:rsidRDefault="00A200B5" w:rsidP="00111348">
      <w:pPr>
        <w:spacing w:line="360" w:lineRule="auto"/>
        <w:ind w:firstLine="709"/>
      </w:pPr>
      <w:r w:rsidRPr="003C0842">
        <w:t>1</w:t>
      </w:r>
      <w:r w:rsidR="00533609" w:rsidRPr="003C0842">
        <w:t>)</w:t>
      </w:r>
      <w:r w:rsidR="00B95D3D" w:rsidRPr="003C0842">
        <w:t>z</w:t>
      </w:r>
      <w:r w:rsidRPr="003C0842">
        <w:t>asady wyboru dziewięciu członków niestałych Rady</w:t>
      </w:r>
      <w:r w:rsidR="00B95D3D" w:rsidRPr="003C0842">
        <w:t>;</w:t>
      </w:r>
    </w:p>
    <w:p w:rsidR="00A200B5" w:rsidRPr="003C0842" w:rsidRDefault="00A200B5" w:rsidP="00111348">
      <w:pPr>
        <w:spacing w:line="360" w:lineRule="auto"/>
        <w:ind w:firstLine="709"/>
      </w:pPr>
      <w:r w:rsidRPr="003C0842">
        <w:t>2</w:t>
      </w:r>
      <w:r w:rsidR="00533609" w:rsidRPr="003C0842">
        <w:t>)</w:t>
      </w:r>
      <w:r w:rsidR="00B95D3D" w:rsidRPr="003C0842">
        <w:t>okres trwania ich mandatu;</w:t>
      </w:r>
    </w:p>
    <w:p w:rsidR="00A200B5" w:rsidRPr="003C0842" w:rsidRDefault="00A200B5" w:rsidP="00111348">
      <w:pPr>
        <w:spacing w:line="360" w:lineRule="auto"/>
        <w:ind w:firstLine="709"/>
      </w:pPr>
      <w:r w:rsidRPr="003C0842">
        <w:t>3</w:t>
      </w:r>
      <w:r w:rsidR="00533609" w:rsidRPr="003C0842">
        <w:t>)</w:t>
      </w:r>
      <w:r w:rsidR="00B95D3D" w:rsidRPr="003C0842">
        <w:t xml:space="preserve"> w</w:t>
      </w:r>
      <w:r w:rsidRPr="003C0842">
        <w:t>arunki ponownej wybieralności.</w:t>
      </w:r>
    </w:p>
    <w:p w:rsidR="00585616" w:rsidRPr="003C0842" w:rsidRDefault="00A200B5" w:rsidP="00111348">
      <w:pPr>
        <w:spacing w:line="360" w:lineRule="auto"/>
        <w:ind w:firstLine="709"/>
      </w:pPr>
      <w:r w:rsidRPr="003C0842">
        <w:t>Wybory odbyły się następnego dnia. Na 49 państw uczestniczących w tajnym głosowaniu powyżej 40 głosów otrzymali: Kolumbia, Polska, Chile, Salwador, Belgia, Rumunia; Holandia – 37 głosów, Chiny – 29 i Czechosłowacja 27 (w dodatkowym głosowaniu, w pierwszym otrzyma</w:t>
      </w:r>
      <w:r w:rsidR="00533609" w:rsidRPr="003C0842">
        <w:t>ła</w:t>
      </w:r>
      <w:r w:rsidRPr="003C0842">
        <w:t xml:space="preserve"> 23, o dwa mniej od wymaganego minimum). Mandaty na trzy lata otrzymały Polska (44 </w:t>
      </w:r>
      <w:r w:rsidR="00D746A3" w:rsidRPr="003C0842">
        <w:t>głosów), Chile (41), Rumunia (30</w:t>
      </w:r>
      <w:r w:rsidRPr="003C0842">
        <w:t>); mandaty dwuletnie Kolumbia (47), Hola</w:t>
      </w:r>
      <w:r w:rsidR="00D746A3" w:rsidRPr="003C0842">
        <w:t>ndia (47), Chiny (</w:t>
      </w:r>
      <w:r w:rsidRPr="003C0842">
        <w:t xml:space="preserve">34); jednoroczne Belgia, Salwador i Czechosłowacja. W kolejnym głosowaniu Zgromadzenie przychyliło się do prośby Polski </w:t>
      </w:r>
      <w:r w:rsidR="00D746A3" w:rsidRPr="003C0842">
        <w:t>o</w:t>
      </w:r>
      <w:r w:rsidRPr="003C0842">
        <w:t xml:space="preserve"> prawo do elekcji, po upływie otrzymanego właśnie mandatu trzyletniego. Wymaganą większość 30 głosów (tj. 2/3 oddanych głosów) przekroczono o 6 głosów</w:t>
      </w:r>
      <w:r w:rsidRPr="003C0842">
        <w:rPr>
          <w:rStyle w:val="Odwoanieprzypisudolnego"/>
          <w:rFonts w:ascii="Times New Roman" w:hAnsi="Times New Roman"/>
          <w:sz w:val="24"/>
        </w:rPr>
        <w:footnoteReference w:id="305"/>
      </w:r>
      <w:r w:rsidRPr="003C0842">
        <w:t xml:space="preserve">. Wśród 8 przeciwnych, bo </w:t>
      </w:r>
      <w:r w:rsidR="00B102BA" w:rsidRPr="003C0842">
        <w:t xml:space="preserve">raczej </w:t>
      </w:r>
      <w:r w:rsidRPr="003C0842">
        <w:t>nie wśród 4 wstrzymujących się od głosu</w:t>
      </w:r>
      <w:r w:rsidR="00533609" w:rsidRPr="003C0842">
        <w:t>,</w:t>
      </w:r>
      <w:r w:rsidRPr="003C0842">
        <w:t xml:space="preserve"> był zapewne głos niemiecki. Motywowany on był coraz mniej skrywaną ewolucją najwc</w:t>
      </w:r>
      <w:r w:rsidR="00B102BA" w:rsidRPr="003C0842">
        <w:t xml:space="preserve">ześniej uwidocznioną w prasie </w:t>
      </w:r>
      <w:r w:rsidRPr="003C0842">
        <w:t>prawicowo-nacjonalistycznej, w której podkreślano ofiary poniesione przez Niemcy i ciszę na temat spodziewanych i oczekiwanych korzyści, choćby likwidacj</w:t>
      </w:r>
      <w:r w:rsidR="00B102BA" w:rsidRPr="003C0842">
        <w:t>i</w:t>
      </w:r>
      <w:r w:rsidRPr="003C0842">
        <w:t xml:space="preserve"> Komisji Kontroli i zniesienie okupacji Nadrenii. Genèvieve Tabouis </w:t>
      </w:r>
      <w:r w:rsidR="00225747" w:rsidRPr="003C0842">
        <w:t>pisała</w:t>
      </w:r>
      <w:r w:rsidRPr="003C0842">
        <w:t>, raczej prześmiewczo, o rozpoczęciu prasowych ataków na Stresemanna, bo „chociaż już minęło 48 godzin od momentu wstąpienia Niemiec do Ligi, Stresemann jeszcze niczego nie otrzymał”</w:t>
      </w:r>
      <w:r w:rsidRPr="003C0842">
        <w:rPr>
          <w:rStyle w:val="Odwoanieprzypisudolnego"/>
          <w:rFonts w:ascii="Times New Roman" w:hAnsi="Times New Roman"/>
          <w:sz w:val="24"/>
        </w:rPr>
        <w:footnoteReference w:id="306"/>
      </w:r>
      <w:r w:rsidRPr="003C0842">
        <w:t>.</w:t>
      </w:r>
    </w:p>
    <w:p w:rsidR="00585616" w:rsidRPr="003C0842" w:rsidRDefault="00A200B5" w:rsidP="00111348">
      <w:pPr>
        <w:spacing w:line="360" w:lineRule="auto"/>
        <w:ind w:firstLine="709"/>
      </w:pPr>
      <w:r w:rsidRPr="003C0842">
        <w:t>Zadowolenie i pewna satysfakcja z jednomyślnego głosowania za przyjęciem Niemiec do Ligi stopniowo ustępowała pola przekonaniu, że Niemcy otrzymały jedynie minimum tego</w:t>
      </w:r>
      <w:r w:rsidR="00B95D3D" w:rsidRPr="003C0842">
        <w:t>,</w:t>
      </w:r>
      <w:r w:rsidRPr="003C0842">
        <w:t xml:space="preserve"> co było im należne. Do oczekiwanej równości i sprawiedliwości droga była jeszcze </w:t>
      </w:r>
      <w:r w:rsidRPr="003C0842">
        <w:lastRenderedPageBreak/>
        <w:t xml:space="preserve">daleka. </w:t>
      </w:r>
      <w:r w:rsidR="00D746A3" w:rsidRPr="003C0842">
        <w:t xml:space="preserve">Ale </w:t>
      </w:r>
      <w:r w:rsidRPr="003C0842">
        <w:t xml:space="preserve">Niemcy </w:t>
      </w:r>
      <w:r w:rsidR="00D746A3" w:rsidRPr="003C0842">
        <w:t xml:space="preserve">weszły na </w:t>
      </w:r>
      <w:r w:rsidRPr="003C0842">
        <w:t>wielką trybunę, na której będą głosiły światu swoje racje i raczej ponadczasowe cele: odbudowę pozycji politycznej (mocarstwowe</w:t>
      </w:r>
      <w:r w:rsidR="00D746A3" w:rsidRPr="003C0842">
        <w:t>j), militarnej i gospodarczej</w:t>
      </w:r>
      <w:r w:rsidR="00D746A3" w:rsidRPr="003C0842">
        <w:rPr>
          <w:rStyle w:val="Odwoanieprzypisudolnego"/>
          <w:rFonts w:ascii="Times New Roman" w:hAnsi="Times New Roman"/>
          <w:sz w:val="24"/>
        </w:rPr>
        <w:footnoteReference w:id="307"/>
      </w:r>
      <w:r w:rsidR="00B95D3D" w:rsidRPr="003C0842">
        <w:t xml:space="preserve"> oraz</w:t>
      </w:r>
      <w:r w:rsidRPr="003C0842">
        <w:t xml:space="preserve"> objęcia opieką i ochroną wszystkich Niemców w innych krajach, zwłaszcza pogranicza. Stała obecność planów rewizyjnych w stosunku do granic wschodnich i południowo-wschodnich</w:t>
      </w:r>
      <w:r w:rsidR="00585616" w:rsidRPr="003C0842">
        <w:t>,</w:t>
      </w:r>
      <w:r w:rsidRPr="003C0842">
        <w:t xml:space="preserve"> nawet interpretowane z „dobrą wolą”</w:t>
      </w:r>
      <w:r w:rsidR="00650EFE" w:rsidRPr="003C0842">
        <w:t>,</w:t>
      </w:r>
      <w:r w:rsidRPr="003C0842">
        <w:t xml:space="preserve"> nie korespondowały z filozofią i fundamentami Ligi.Paul Mantoux w notatce </w:t>
      </w:r>
      <w:r w:rsidR="00B102BA" w:rsidRPr="003C0842">
        <w:t>wewnętrznej</w:t>
      </w:r>
      <w:r w:rsidRPr="003C0842">
        <w:t xml:space="preserve"> napisanej w marcu 1926 r., po niepowodzeniu Nadzwyczajnego Zgromadzenia, zawarł nadzieję, że jeśli każdy wykona to, do czego jest moralnie zobowiązany</w:t>
      </w:r>
      <w:r w:rsidR="00B95D3D" w:rsidRPr="003C0842">
        <w:t>,</w:t>
      </w:r>
      <w:r w:rsidRPr="003C0842">
        <w:t xml:space="preserve"> to „obecny kryzys, zgodnie ze słowami Brianda, będzie kryzysem wzrostu”</w:t>
      </w:r>
      <w:r w:rsidRPr="003C0842">
        <w:rPr>
          <w:rStyle w:val="Odwoanieprzypisudolnego"/>
          <w:rFonts w:ascii="Times New Roman" w:hAnsi="Times New Roman"/>
          <w:sz w:val="24"/>
        </w:rPr>
        <w:footnoteReference w:id="308"/>
      </w:r>
      <w:r w:rsidRPr="003C0842">
        <w:t xml:space="preserve">. </w:t>
      </w:r>
    </w:p>
    <w:p w:rsidR="00A200B5" w:rsidRPr="003C0842" w:rsidRDefault="00A200B5" w:rsidP="00111348">
      <w:pPr>
        <w:spacing w:line="360" w:lineRule="auto"/>
        <w:ind w:firstLine="709"/>
      </w:pPr>
      <w:r w:rsidRPr="003C0842">
        <w:t xml:space="preserve">Kilkumiesięczna perspektywa, będąca zresztą dla Mantoux kresem jego pracy w Sekretariacie, sugerowała wyeksponowanie trudności wynikających ze zderzenia się sprzecznych celów i oczekiwań poszczególnych państw. </w:t>
      </w:r>
      <w:r w:rsidR="00E03F60" w:rsidRPr="003C0842">
        <w:t>Byłoby nieporozumieniem skoncentrowanie uwagi tylko na stosunkach europejskich. Oto bowiem z</w:t>
      </w:r>
      <w:r w:rsidRPr="003C0842">
        <w:t>amieszanie wywołane</w:t>
      </w:r>
      <w:r w:rsidR="00E03F60" w:rsidRPr="003C0842">
        <w:t xml:space="preserve"> przez</w:t>
      </w:r>
      <w:r w:rsidRPr="003C0842">
        <w:t>wystąpienie Brazylii oraz powiększenie do trzech liczby miejsc niestałych</w:t>
      </w:r>
      <w:r w:rsidR="00650EFE" w:rsidRPr="003C0842">
        <w:t>,</w:t>
      </w:r>
      <w:r w:rsidRPr="003C0842">
        <w:t xml:space="preserve"> zarezerwowanych dla Ameryki Łacińskiej</w:t>
      </w:r>
      <w:r w:rsidR="00650EFE" w:rsidRPr="003C0842">
        <w:t>,</w:t>
      </w:r>
      <w:r w:rsidRPr="003C0842">
        <w:t xml:space="preserve"> wzmogły tarcia na tle ustalenia kandydatów do tych miejsc. Osiągnięcie konsensusu w gronie 12 państw</w:t>
      </w:r>
      <w:r w:rsidRPr="003C0842">
        <w:rPr>
          <w:rStyle w:val="Odwoanieprzypisudolnego"/>
          <w:rFonts w:ascii="Times New Roman" w:hAnsi="Times New Roman"/>
          <w:sz w:val="24"/>
        </w:rPr>
        <w:footnoteReference w:id="309"/>
      </w:r>
      <w:r w:rsidRPr="003C0842">
        <w:t xml:space="preserve"> utrudniał spór między Urugwajem (członkiem Rady od 1922 r.) i Salwadorem. Konflikt przeniósł się na forum Zgromadzenia, gdzie </w:t>
      </w:r>
      <w:r w:rsidR="00E03F60" w:rsidRPr="003C0842">
        <w:t>Alberto Guani</w:t>
      </w:r>
      <w:r w:rsidR="00650EFE" w:rsidRPr="003C0842">
        <w:t>,</w:t>
      </w:r>
      <w:r w:rsidRPr="003C0842">
        <w:t>znany w środowisku ligowym</w:t>
      </w:r>
      <w:r w:rsidR="00E03F60" w:rsidRPr="003C0842">
        <w:t xml:space="preserve"> jako</w:t>
      </w:r>
      <w:r w:rsidRPr="003C0842">
        <w:t xml:space="preserve"> porte par</w:t>
      </w:r>
      <w:r w:rsidR="00585616" w:rsidRPr="003C0842">
        <w:t>ol</w:t>
      </w:r>
      <w:r w:rsidRPr="003C0842">
        <w:t>e interesów latynoskich</w:t>
      </w:r>
      <w:r w:rsidR="00585616" w:rsidRPr="003C0842">
        <w:t>,</w:t>
      </w:r>
      <w:r w:rsidRPr="003C0842">
        <w:t xml:space="preserve"> protestował przeciwko „prywatnym spotkaniom” delegacji państw Ameryki Łacińskiej, podczas których zajmowano się procedurą wyborów do Rady sprzeczną z art. 4 Paktu. Protest przyobleczony w szatę obrońcy zasad i troski o losy Ligi wywołał konsternację. Alberto Guani, poseł Urugwaju w Paryżu, Brukseli i Hadze, delegat swego kraju w Radzie od 1923 r.</w:t>
      </w:r>
      <w:r w:rsidR="00650EFE" w:rsidRPr="003C0842">
        <w:t>,</w:t>
      </w:r>
      <w:r w:rsidRPr="003C0842">
        <w:t xml:space="preserve"> dezawuował procedurę, którą aktywnie współtworzył</w:t>
      </w:r>
      <w:r w:rsidR="00585616" w:rsidRPr="003C0842">
        <w:t>, choćby</w:t>
      </w:r>
      <w:r w:rsidRPr="003C0842">
        <w:t xml:space="preserve"> jako mediator i pośrednik w sporze między Ligą i Brazylią. Miało to nawet umocowanie formalne. Guani przewodniczył 40</w:t>
      </w:r>
      <w:r w:rsidR="00B95D3D" w:rsidRPr="003C0842">
        <w:t>.</w:t>
      </w:r>
      <w:r w:rsidRPr="003C0842">
        <w:t xml:space="preserve"> sesji Rady obradującej w gorących dniach od 7 do 10 czerwca 1926 r. i pełnił tę funkcję do 2 września, kiedy rolę jego przejął Edward Benesz. Tym dobitniej protest Urugwaju jawił się jako gest ambicjonalny i personalny, i to z obu stron. Alberto Guani i pośrednio Urugwaj (albo w odwrotnej kolejności) wzbudzali pewną niechęć i zawiść z powodu rosnącej pozycji w świecie ligowym i latynoamerykańskim. Nie spodziewano się jednak przegranej z Salwadorem i to na krótką, jednoroczną obecność w Radzie.</w:t>
      </w:r>
    </w:p>
    <w:p w:rsidR="00A200B5" w:rsidRPr="003C0842" w:rsidRDefault="00A200B5" w:rsidP="00111348">
      <w:pPr>
        <w:spacing w:line="360" w:lineRule="auto"/>
        <w:ind w:firstLine="709"/>
      </w:pPr>
      <w:r w:rsidRPr="003C0842">
        <w:lastRenderedPageBreak/>
        <w:t>Spory wewnątrz państw latynoamerykańskich wywołały irytację niektórych delegacji i Sekretariatu. Sądzono bowiem, że przyznanie trzech miejsc niestałych w Radzie oraz stale rozważana możliwość jakiegoś usatysfakcjonowania Brazylii zamknie ten trudny problem bez dalszych strat dla prestiżu Ligi. Świadomość tego niezadowolenia wpłynęła na to, że zamieszanie wywołane przez Urugwaj było ostatnim tego typu sprzeciwem wobec procedury wyłaniania delegatów do Rady z g</w:t>
      </w:r>
      <w:r w:rsidR="00650EFE" w:rsidRPr="003C0842">
        <w:t>rupy państw latynoamerykańskich</w:t>
      </w:r>
      <w:r w:rsidRPr="003C0842">
        <w:rPr>
          <w:rStyle w:val="Odwoanieprzypisudolnego"/>
          <w:rFonts w:ascii="Times New Roman" w:hAnsi="Times New Roman"/>
          <w:sz w:val="24"/>
        </w:rPr>
        <w:footnoteReference w:id="310"/>
      </w:r>
      <w:r w:rsidRPr="003C0842">
        <w:t xml:space="preserve">. </w:t>
      </w:r>
    </w:p>
    <w:p w:rsidR="00DE0574" w:rsidRPr="003C0842" w:rsidRDefault="00A200B5" w:rsidP="00111348">
      <w:pPr>
        <w:spacing w:line="360" w:lineRule="auto"/>
        <w:ind w:firstLine="709"/>
      </w:pPr>
      <w:r w:rsidRPr="003C0842">
        <w:t>Kontrowersje w grupie latynoamerykańskiej irytowały zwłaszcza licznych pacyfistów</w:t>
      </w:r>
      <w:r w:rsidR="00650EFE" w:rsidRPr="003C0842">
        <w:t>,</w:t>
      </w:r>
      <w:r w:rsidRPr="003C0842">
        <w:t xml:space="preserve"> dla których przyłączenie się Niemiec do Ligi było „wielkim dniem”</w:t>
      </w:r>
      <w:r w:rsidR="00B102BA" w:rsidRPr="003C0842">
        <w:t>,</w:t>
      </w:r>
      <w:r w:rsidRPr="003C0842">
        <w:t xml:space="preserve"> godnym świętowania i celebrowania. Wśród zwolenników takiego traktowania dorobku VII Zgromadzenia znajdowały się państwa, które zdołały przeforsować lub obronić swój punkt widzenia. Spośród państw aspirujących do stałego miejsca w Radzie cel ten osiągnęły tylko Niemcy. Ten, ostro przez Berlin stawiany warunek</w:t>
      </w:r>
      <w:r w:rsidR="00B102BA" w:rsidRPr="003C0842">
        <w:t>,</w:t>
      </w:r>
      <w:r w:rsidRPr="003C0842">
        <w:t xml:space="preserve"> został zmodyfikowany przez przyznanie Polsce tzw. miejsca półstałego</w:t>
      </w:r>
      <w:r w:rsidR="00650EFE" w:rsidRPr="003C0842">
        <w:t>, jako</w:t>
      </w:r>
      <w:r w:rsidRPr="003C0842">
        <w:t xml:space="preserve"> prawa do reelekcji po upływie trzyletniej kadencji. Zgromadzenie podzieliło pogląd o szczególnym znaczeniu dla losów Europy styku germańsko-słowiańskiego</w:t>
      </w:r>
      <w:r w:rsidR="00585616" w:rsidRPr="003C0842">
        <w:t>,</w:t>
      </w:r>
      <w:r w:rsidRPr="003C0842">
        <w:t xml:space="preserve"> skonfliktowanego na wielu obszarach</w:t>
      </w:r>
      <w:r w:rsidR="00650EFE" w:rsidRPr="003C0842">
        <w:t xml:space="preserve">,silnie angażujących </w:t>
      </w:r>
      <w:r w:rsidRPr="003C0842">
        <w:t xml:space="preserve">i często rozpatrywanych w Genewie. </w:t>
      </w:r>
    </w:p>
    <w:p w:rsidR="00A200B5" w:rsidRPr="003C0842" w:rsidRDefault="00A200B5" w:rsidP="00111348">
      <w:pPr>
        <w:spacing w:line="360" w:lineRule="auto"/>
        <w:ind w:firstLine="709"/>
      </w:pPr>
      <w:r w:rsidRPr="003C0842">
        <w:t>Obecność Niemiec i Polski w Radzie to próba stworzenia porównywalnej pozycji dla obu stron, wcześniej „reprezentowanych” przez Wielką Brytanię i Francję. Mówiono i pisano wówczas w „stolicy świata”, że duch genewski będzie katalizatorem</w:t>
      </w:r>
      <w:r w:rsidR="00B95D3D" w:rsidRPr="003C0842">
        <w:t>,</w:t>
      </w:r>
      <w:r w:rsidRPr="003C0842">
        <w:t xml:space="preserve"> jeśli nie pełnego pojednania, to pokojowego </w:t>
      </w:r>
      <w:r w:rsidR="00B823C3" w:rsidRPr="003C0842">
        <w:t>współżycia</w:t>
      </w:r>
      <w:r w:rsidRPr="003C0842">
        <w:t>. Podkreślali to także obecni w Genewie delegaci obu zainteresowanych państw, w pełni świadomych jednak, że de facto nie wiele się we wzajemnych stosunkach zmieniło. Min</w:t>
      </w:r>
      <w:r w:rsidR="00B95D3D" w:rsidRPr="003C0842">
        <w:t>ister</w:t>
      </w:r>
      <w:r w:rsidRPr="003C0842">
        <w:t xml:space="preserve"> Stresemann nie</w:t>
      </w:r>
      <w:r w:rsidR="00650EFE" w:rsidRPr="003C0842">
        <w:t>chcący</w:t>
      </w:r>
      <w:r w:rsidRPr="003C0842">
        <w:t xml:space="preserve"> „wygadał się” podczas spotkania wieczornego z </w:t>
      </w:r>
      <w:r w:rsidR="00761B5C" w:rsidRPr="003C0842">
        <w:t>„</w:t>
      </w:r>
      <w:r w:rsidRPr="003C0842">
        <w:t>kolonią</w:t>
      </w:r>
      <w:r w:rsidR="00761B5C" w:rsidRPr="003C0842">
        <w:t>”</w:t>
      </w:r>
      <w:r w:rsidRPr="003C0842">
        <w:t xml:space="preserve"> niemiecką</w:t>
      </w:r>
      <w:r w:rsidR="00761B5C" w:rsidRPr="003C0842">
        <w:t xml:space="preserve">, </w:t>
      </w:r>
      <w:r w:rsidR="00707CED" w:rsidRPr="003C0842">
        <w:t xml:space="preserve">do której lgnął tym chętniej, że czuł się tam dobrze zajadając boczek z kapustą i popijając piwo w „Bawaria” czy „Gambrinus”, </w:t>
      </w:r>
      <w:r w:rsidR="00DE0574" w:rsidRPr="003C0842">
        <w:t xml:space="preserve">raczej </w:t>
      </w:r>
      <w:r w:rsidR="00707CED" w:rsidRPr="003C0842">
        <w:t>pośledniejszych lokalach znajdujących się w pobliżu</w:t>
      </w:r>
      <w:r w:rsidR="00761B5C" w:rsidRPr="003C0842">
        <w:t xml:space="preserve"> hotelu Metropol</w:t>
      </w:r>
      <w:r w:rsidR="00707CED" w:rsidRPr="003C0842">
        <w:rPr>
          <w:rStyle w:val="Odwoanieprzypisudolnego"/>
          <w:rFonts w:ascii="Times New Roman" w:hAnsi="Times New Roman"/>
          <w:sz w:val="24"/>
        </w:rPr>
        <w:footnoteReference w:id="311"/>
      </w:r>
      <w:r w:rsidR="00B823C3" w:rsidRPr="003C0842">
        <w:t xml:space="preserve">. </w:t>
      </w:r>
      <w:r w:rsidR="003A42DE" w:rsidRPr="003C0842">
        <w:t>Z</w:t>
      </w:r>
      <w:r w:rsidRPr="003C0842">
        <w:t xml:space="preserve">a clou snutych </w:t>
      </w:r>
      <w:r w:rsidR="00707CED" w:rsidRPr="003C0842">
        <w:t xml:space="preserve">21 września </w:t>
      </w:r>
      <w:r w:rsidRPr="003C0842">
        <w:t xml:space="preserve">wynurzeń jeden z obecnych na spotkaniu dziennikarzy z antystresemannowsko usposobionej </w:t>
      </w:r>
      <w:r w:rsidRPr="003C0842">
        <w:rPr>
          <w:i/>
        </w:rPr>
        <w:t>Deutsche Tageszeitung</w:t>
      </w:r>
      <w:r w:rsidRPr="003C0842">
        <w:t xml:space="preserve"> (niejaki Scheierman) uznał pogląd, że przyjęcie Niemiec do Ligi było wyrazem rehabilitacji Niemiec na świecie oraz dowodem przyznania się sprzymierzonych do współodpowiedzialności za wojnę. W tej optyce decyzje traktatu wersalskiego wyglądały inaczej i uzasadniały walkę o zwrot kolonii, prawo do pełnej </w:t>
      </w:r>
      <w:r w:rsidRPr="003C0842">
        <w:lastRenderedPageBreak/>
        <w:t xml:space="preserve">równości w zakresie bezpieczeństwa. Jeśli art. 8 Paktu dotyczący rozbrojenia nie zostanie przez sprzymierzonych wykonany, to Niemcy będą mogły na nowo </w:t>
      </w:r>
      <w:r w:rsidR="00B95D3D" w:rsidRPr="003C0842">
        <w:t xml:space="preserve">się </w:t>
      </w:r>
      <w:r w:rsidRPr="003C0842">
        <w:t>uzbroić</w:t>
      </w:r>
      <w:r w:rsidRPr="003C0842">
        <w:rPr>
          <w:rStyle w:val="Odwoanieprzypisudolnego"/>
          <w:rFonts w:ascii="Times New Roman" w:hAnsi="Times New Roman"/>
          <w:sz w:val="24"/>
        </w:rPr>
        <w:footnoteReference w:id="312"/>
      </w:r>
      <w:r w:rsidRPr="003C0842">
        <w:t>.</w:t>
      </w:r>
    </w:p>
    <w:p w:rsidR="00DE0574" w:rsidRPr="003C0842" w:rsidRDefault="00A200B5" w:rsidP="00111348">
      <w:pPr>
        <w:spacing w:line="360" w:lineRule="auto"/>
        <w:ind w:firstLine="709"/>
      </w:pPr>
      <w:r w:rsidRPr="003C0842">
        <w:t xml:space="preserve">Wiadomość o słowach Stresemanna przekazana za pośrednictwem szwajcarskiej agencji telegraficznej </w:t>
      </w:r>
      <w:r w:rsidR="00040EFD" w:rsidRPr="003C0842">
        <w:t>stała się</w:t>
      </w:r>
      <w:r w:rsidRPr="003C0842">
        <w:t xml:space="preserve"> sensacj</w:t>
      </w:r>
      <w:r w:rsidR="00040EFD" w:rsidRPr="003C0842">
        <w:t>ą</w:t>
      </w:r>
      <w:r w:rsidR="00FB68C4" w:rsidRPr="003C0842">
        <w:t xml:space="preserve"> tym większą, że łączono ją z dopiero co odbytym, potajemnym spotkaniem z min. Briandem w oberży w Thoiry</w:t>
      </w:r>
      <w:r w:rsidRPr="003C0842">
        <w:t xml:space="preserve">. </w:t>
      </w:r>
      <w:r w:rsidR="00FB68C4" w:rsidRPr="003C0842">
        <w:t>Dwaj główni aktorzy ówczesnej sceny politycznej, „urywając” się 17 września z Genewy na kolację</w:t>
      </w:r>
      <w:r w:rsidR="00387453">
        <w:t xml:space="preserve"> </w:t>
      </w:r>
      <w:r w:rsidR="00FB68C4" w:rsidRPr="003C0842">
        <w:t xml:space="preserve">nie mogli nie wywołać plotkarskich komentarzy, nie mówiąc o późniejszych skeczach, dowcipach, karykaturach. </w:t>
      </w:r>
      <w:r w:rsidR="00C416DB" w:rsidRPr="003C0842">
        <w:t xml:space="preserve">Nie mogli też nie wywołać poważnego niepokoju o dalszy bieg spraw ligowych w splocie z zaskakującą kordialnością francusko-niemiecką. </w:t>
      </w:r>
    </w:p>
    <w:p w:rsidR="00B823C3" w:rsidRPr="003C0842" w:rsidRDefault="00DE0574" w:rsidP="00111348">
      <w:pPr>
        <w:spacing w:line="360" w:lineRule="auto"/>
        <w:ind w:firstLine="709"/>
      </w:pPr>
      <w:r w:rsidRPr="003C0842">
        <w:t>Polacy odnotowali zmienioną atmosferę oraz nowe akcenty podnoszone przez francuskich rozmówców. Tadeusz Jackowski</w:t>
      </w:r>
      <w:r w:rsidR="00164234" w:rsidRPr="003C0842">
        <w:t>–</w:t>
      </w:r>
      <w:r w:rsidR="00B95D3D" w:rsidRPr="003C0842">
        <w:t>d</w:t>
      </w:r>
      <w:r w:rsidR="00CD2ED1" w:rsidRPr="003C0842">
        <w:t xml:space="preserve">yrektor Departamentu Polityczno-Ekonomicznego MSZ i były radca w Berlinie </w:t>
      </w:r>
      <w:r w:rsidR="00164234" w:rsidRPr="003C0842">
        <w:t>–</w:t>
      </w:r>
      <w:r w:rsidR="00A200B5" w:rsidRPr="003C0842">
        <w:t>wspominając pobyt min. Zaleskiego w Paryżu latem 1926 r.</w:t>
      </w:r>
      <w:r w:rsidRPr="003C0842">
        <w:t xml:space="preserve">, </w:t>
      </w:r>
      <w:r w:rsidR="00A200B5" w:rsidRPr="003C0842">
        <w:t>różne obiekcje dyplomatów, ekspertów i prawników</w:t>
      </w:r>
      <w:r w:rsidRPr="003C0842">
        <w:t xml:space="preserve"> Quai d’Orsay uznał za</w:t>
      </w:r>
      <w:r w:rsidR="00A200B5" w:rsidRPr="003C0842">
        <w:t xml:space="preserve"> efekt „przepracowania” tego terenu przez polokarneńskich</w:t>
      </w:r>
      <w:r w:rsidR="00CD2ED1" w:rsidRPr="003C0842">
        <w:t xml:space="preserve"> Niemców</w:t>
      </w:r>
      <w:r w:rsidR="00A200B5" w:rsidRPr="003C0842">
        <w:t xml:space="preserve">. </w:t>
      </w:r>
      <w:r w:rsidR="00CD2ED1" w:rsidRPr="003C0842">
        <w:t>Obserwacje o zbliżonym charakterze dotyczyły też Genewy. A</w:t>
      </w:r>
      <w:r w:rsidR="00A200B5" w:rsidRPr="003C0842">
        <w:t>tmosferę okalającą VII Zgromadzenie</w:t>
      </w:r>
      <w:r w:rsidR="00CD2ED1" w:rsidRPr="003C0842">
        <w:t xml:space="preserve"> u</w:t>
      </w:r>
      <w:r w:rsidR="00A200B5" w:rsidRPr="003C0842">
        <w:t>ważał za „nieznośną” zdominowaną „niepoprawną frazeologią</w:t>
      </w:r>
      <w:r w:rsidRPr="003C0842">
        <w:t>.</w:t>
      </w:r>
      <w:r w:rsidR="00B95D3D" w:rsidRPr="003C0842">
        <w:t>[…]</w:t>
      </w:r>
      <w:r w:rsidR="00A200B5" w:rsidRPr="003C0842">
        <w:t xml:space="preserve"> wychowany od najmłodszych lat w niewoli pruskiej znałem Niemców lepiej niż liczne</w:t>
      </w:r>
      <w:r w:rsidR="00040EFD" w:rsidRPr="003C0842">
        <w:t>,</w:t>
      </w:r>
      <w:r w:rsidR="00A200B5" w:rsidRPr="003C0842">
        <w:t xml:space="preserve"> naiwne pięknoduchy zebrane nad Lemanem”</w:t>
      </w:r>
      <w:r w:rsidR="00A200B5" w:rsidRPr="003C0842">
        <w:rPr>
          <w:rStyle w:val="Odwoanieprzypisudolnego"/>
          <w:rFonts w:ascii="Times New Roman" w:hAnsi="Times New Roman"/>
          <w:sz w:val="24"/>
        </w:rPr>
        <w:footnoteReference w:id="313"/>
      </w:r>
      <w:r w:rsidR="00B823C3" w:rsidRPr="003C0842">
        <w:t xml:space="preserve">. </w:t>
      </w:r>
      <w:r w:rsidR="00CD2ED1" w:rsidRPr="003C0842">
        <w:t>Z</w:t>
      </w:r>
      <w:r w:rsidR="00A200B5" w:rsidRPr="003C0842">
        <w:t xml:space="preserve">żymał się </w:t>
      </w:r>
      <w:r w:rsidR="00CD2ED1" w:rsidRPr="003C0842">
        <w:t xml:space="preserve">też </w:t>
      </w:r>
      <w:r w:rsidR="00A200B5" w:rsidRPr="003C0842">
        <w:t xml:space="preserve">na widoczny wówczas w Genewie brak zrozumienia dla konkretnej pracy. </w:t>
      </w:r>
      <w:r w:rsidR="00B823C3" w:rsidRPr="003C0842">
        <w:t>Miał racje w tym sensie, że i</w:t>
      </w:r>
      <w:r w:rsidR="00A200B5" w:rsidRPr="003C0842">
        <w:t>stotne dokonania tego</w:t>
      </w:r>
      <w:r w:rsidR="00C416DB" w:rsidRPr="003C0842">
        <w:t>, jak powszechnie mówiono przełomowego</w:t>
      </w:r>
      <w:r w:rsidR="00A200B5" w:rsidRPr="003C0842">
        <w:t xml:space="preserve"> Zgromadzenia</w:t>
      </w:r>
      <w:r w:rsidRPr="003C0842">
        <w:t>,</w:t>
      </w:r>
      <w:r w:rsidR="00A200B5" w:rsidRPr="003C0842">
        <w:t xml:space="preserve"> były ograniczone do przyjęcia konwencji znoszącej niewolnictwo</w:t>
      </w:r>
      <w:r w:rsidR="00B823C3" w:rsidRPr="003C0842">
        <w:t>, w</w:t>
      </w:r>
      <w:r w:rsidR="00A200B5" w:rsidRPr="003C0842">
        <w:t>sparcia przygotowań do światowej konferencji gospodarczej</w:t>
      </w:r>
      <w:r w:rsidR="00040EFD" w:rsidRPr="003C0842">
        <w:t xml:space="preserve"> oraz</w:t>
      </w:r>
      <w:r w:rsidR="00A200B5" w:rsidRPr="003C0842">
        <w:t xml:space="preserve"> wprowadzenia 21 września 1926 r. do poszczególnych artykułów Paktu podpunktów i przyjęcie jednolitego tekstu z uwzględnieniem poprawek do art. 6 (od 13 sierpnia 1924 r.), 12, 13 i 15 (od 26 września 1924 r.) oraz art. 4 (od 29 lipca 1926 r.)</w:t>
      </w:r>
      <w:r w:rsidR="00A200B5" w:rsidRPr="003C0842">
        <w:rPr>
          <w:rStyle w:val="Odwoanieprzypisudolnego"/>
          <w:rFonts w:ascii="Times New Roman" w:hAnsi="Times New Roman"/>
          <w:sz w:val="24"/>
        </w:rPr>
        <w:footnoteReference w:id="314"/>
      </w:r>
      <w:r w:rsidR="00A200B5" w:rsidRPr="003C0842">
        <w:t>. Dyr</w:t>
      </w:r>
      <w:r w:rsidR="000B5E8D" w:rsidRPr="003C0842">
        <w:t>ektor</w:t>
      </w:r>
      <w:r w:rsidR="00A200B5" w:rsidRPr="003C0842">
        <w:t xml:space="preserve"> Jackowski prosił więc min. Zaleskiego, aby </w:t>
      </w:r>
      <w:r w:rsidR="00CD2ED1" w:rsidRPr="003C0842">
        <w:t xml:space="preserve">go </w:t>
      </w:r>
      <w:r w:rsidR="00A200B5" w:rsidRPr="003C0842">
        <w:t>więcej do Genewy nie posyłał, chociaż spędzał tam czas także przyjemnie</w:t>
      </w:r>
      <w:r w:rsidR="00B823C3" w:rsidRPr="003C0842">
        <w:t>,</w:t>
      </w:r>
      <w:r w:rsidR="00A200B5" w:rsidRPr="003C0842">
        <w:t xml:space="preserve"> konferując z prof. Szymonem Askenazym, mieszkającym incognito w Lozannie</w:t>
      </w:r>
      <w:r w:rsidR="00040EFD" w:rsidRPr="003C0842">
        <w:t>,</w:t>
      </w:r>
      <w:r w:rsidR="00A200B5" w:rsidRPr="003C0842">
        <w:t xml:space="preserve"> czy też z gościnnym Ignacym Paderewskim w Riond-Bossen. Zdania tego nie zmienił nawet wówczas, </w:t>
      </w:r>
      <w:r w:rsidR="000B5E8D" w:rsidRPr="003C0842">
        <w:t>g</w:t>
      </w:r>
      <w:r w:rsidR="00A200B5" w:rsidRPr="003C0842">
        <w:t xml:space="preserve">dy w dowód uznania zasług położonych w Genewie w </w:t>
      </w:r>
      <w:r w:rsidR="00C416DB" w:rsidRPr="003C0842">
        <w:t xml:space="preserve">związku z walką </w:t>
      </w:r>
      <w:r w:rsidR="00A200B5" w:rsidRPr="003C0842">
        <w:t xml:space="preserve">o miejsce Polski w Radzie udekorowany został Krzyżem Komandorskim OP. </w:t>
      </w:r>
    </w:p>
    <w:p w:rsidR="00CD2ED1" w:rsidRPr="003C0842" w:rsidRDefault="00A200B5" w:rsidP="00111348">
      <w:pPr>
        <w:spacing w:line="360" w:lineRule="auto"/>
        <w:ind w:firstLine="709"/>
      </w:pPr>
      <w:r w:rsidRPr="003C0842">
        <w:t xml:space="preserve">Także przy okazji tej dekoracji dokonanej 9 listopada 1926 r. przypominano o wielkim polskim sukcesie odniesionym w dyplomatycznej wojnie z Niemcami i ich sojusznikami. Stan </w:t>
      </w:r>
      <w:r w:rsidRPr="003C0842">
        <w:lastRenderedPageBreak/>
        <w:t>ten był podtrzymywany przez prasę rządową i generalnie popierającą aktywność Polski w Lidze</w:t>
      </w:r>
      <w:r w:rsidR="00040EFD" w:rsidRPr="003C0842">
        <w:t xml:space="preserve">. </w:t>
      </w:r>
      <w:r w:rsidR="00CD2ED1" w:rsidRPr="003C0842">
        <w:t>Eksponowano, że r</w:t>
      </w:r>
      <w:r w:rsidR="00040EFD" w:rsidRPr="003C0842">
        <w:t>ano</w:t>
      </w:r>
      <w:r w:rsidRPr="003C0842">
        <w:t xml:space="preserve"> 16 września Zgromadzenie tylko dla Polski przegłosowało prawo do reelekcji, a po południu, </w:t>
      </w:r>
      <w:r w:rsidR="00A9720D" w:rsidRPr="003C0842">
        <w:t xml:space="preserve">jej </w:t>
      </w:r>
      <w:r w:rsidR="00194653" w:rsidRPr="003C0842">
        <w:t xml:space="preserve">przedstawiciel zasiadł </w:t>
      </w:r>
      <w:r w:rsidRPr="003C0842">
        <w:t>w nowym, powiększonym składzie</w:t>
      </w:r>
      <w:r w:rsidR="00194653" w:rsidRPr="003C0842">
        <w:t xml:space="preserve"> Rady</w:t>
      </w:r>
      <w:r w:rsidRPr="003C0842">
        <w:t>. Zgodnie z obowiązującym w tym wypadku porządkiem wg alfabetu francuskiego przewodnictwo przysługiwało Stresemannowi (Allemagne), który jednak wymówił się stwierdzając, że Rada składa się z tak „wielkiej liczby nowych członków, że zachodzi konieczność wyłonienia przewodniczącego posiadającego duże doświadczenie we wszystkich sprawach interesujących Ligę Narodów i jej Radę”. W porozumieniu z Sekretariatem przewodnictwo objął Edward Benesz, który kierował poprzednią Radą zamkniętą 7 września</w:t>
      </w:r>
      <w:r w:rsidRPr="003C0842">
        <w:rPr>
          <w:rStyle w:val="Odwoanieprzypisudolnego"/>
          <w:rFonts w:ascii="Times New Roman" w:hAnsi="Times New Roman"/>
          <w:sz w:val="24"/>
        </w:rPr>
        <w:footnoteReference w:id="315"/>
      </w:r>
      <w:r w:rsidRPr="003C0842">
        <w:t xml:space="preserve">. </w:t>
      </w:r>
    </w:p>
    <w:p w:rsidR="00A200B5" w:rsidRPr="003C0842" w:rsidRDefault="00A200B5" w:rsidP="00111348">
      <w:pPr>
        <w:spacing w:line="360" w:lineRule="auto"/>
        <w:ind w:firstLine="709"/>
      </w:pPr>
      <w:r w:rsidRPr="003C0842">
        <w:t>Prestiżowo rozpamiętywanym elementem tej sytuacji było to, czy Polska została przyjęta do Rady równocześnie z Niemcami. Henryk Korczyk słusznie krytykuje Jurgena Spenza jakoby między przyjęciem Niemiec a przyznaniem Polsce miejsca w Radzie odbyło się kilka posiedzeń tego organu</w:t>
      </w:r>
      <w:r w:rsidRPr="003C0842">
        <w:rPr>
          <w:rStyle w:val="Odwoanieprzypisudolnego"/>
          <w:rFonts w:ascii="Times New Roman" w:hAnsi="Times New Roman"/>
          <w:sz w:val="24"/>
        </w:rPr>
        <w:footnoteReference w:id="316"/>
      </w:r>
      <w:r w:rsidRPr="003C0842">
        <w:t>. Nie ma wątpliwości, że 41</w:t>
      </w:r>
      <w:r w:rsidR="000B5E8D" w:rsidRPr="003C0842">
        <w:t>.</w:t>
      </w:r>
      <w:r w:rsidRPr="003C0842">
        <w:t xml:space="preserve"> sesja zakończyła się 7 września, a 42</w:t>
      </w:r>
      <w:r w:rsidR="000B5E8D" w:rsidRPr="003C0842">
        <w:t>.</w:t>
      </w:r>
      <w:r w:rsidRPr="003C0842">
        <w:t xml:space="preserve"> rozpoczęła 16 września. W tym sensie trafne jest zdanie i opinia, że przedstawiciele Niemiec i Polski równocześnie zasiedli za stołem Rady.Nie można tego jednak łączyć z działaniem zamierzonym Brianda czy Sekretariatu z podtekstem propolskim lub antyniemieckim. Rada we wrześniu była zdekompletowana nie tylko z powodu wycofania się Brazylii oraz Hiszpanii, ale trwających dyskusji nad regulaminem rekonstrukcji Rady, na którego</w:t>
      </w:r>
      <w:r w:rsidR="000B5E8D" w:rsidRPr="003C0842">
        <w:t xml:space="preserve"> temat</w:t>
      </w:r>
      <w:r w:rsidRPr="003C0842">
        <w:t xml:space="preserve"> musiało z głosem stanowiącym wypowiedzieć się Zgromadzenie. Zwoływanie Rady w kadłubowym składzie nie mogło wchodzić w grę nie tylko ze względu na jej prestiż, ale też Zgromadzenia i całej Ligi. </w:t>
      </w:r>
    </w:p>
    <w:p w:rsidR="000E5849" w:rsidRPr="003C0842" w:rsidRDefault="00A200B5" w:rsidP="00111348">
      <w:pPr>
        <w:spacing w:line="360" w:lineRule="auto"/>
        <w:ind w:firstLine="709"/>
      </w:pPr>
      <w:r w:rsidRPr="003C0842">
        <w:t xml:space="preserve">Wszelkie tego typu dywagacje nie zmieniają istoty sprawy, że Polska 16 września 1926 r. odniosła sukces o międzynarodowej wymowie. Trudno się też dziwić, że nad Wisłą zadęto w triumfalne trąby. Emil Ruecker pisał, </w:t>
      </w:r>
      <w:r w:rsidR="00246D59" w:rsidRPr="003C0842">
        <w:t>n</w:t>
      </w:r>
      <w:r w:rsidR="000B5E8D" w:rsidRPr="003C0842">
        <w:t xml:space="preserve">a </w:t>
      </w:r>
      <w:r w:rsidR="00246D59" w:rsidRPr="003C0842">
        <w:t>p</w:t>
      </w:r>
      <w:r w:rsidR="000B5E8D" w:rsidRPr="003C0842">
        <w:t>rzykład</w:t>
      </w:r>
      <w:r w:rsidR="00246D59" w:rsidRPr="003C0842">
        <w:t>,</w:t>
      </w:r>
      <w:r w:rsidRPr="003C0842">
        <w:t xml:space="preserve"> że wejście Polski do Rady „na zawsze” położyło kres tezie o istnieniu polskiego państwa „sezonow</w:t>
      </w:r>
      <w:r w:rsidR="00A9720D" w:rsidRPr="003C0842">
        <w:t>eg</w:t>
      </w:r>
      <w:r w:rsidRPr="003C0842">
        <w:t>o”; Polska dla wszystkich, także sceptyków i wrogów stała się „prawdziwą”, pełnowartościową”</w:t>
      </w:r>
      <w:r w:rsidRPr="003C0842">
        <w:rPr>
          <w:rStyle w:val="Odwoanieprzypisudolnego"/>
          <w:rFonts w:ascii="Times New Roman" w:hAnsi="Times New Roman"/>
          <w:sz w:val="24"/>
        </w:rPr>
        <w:footnoteReference w:id="317"/>
      </w:r>
      <w:r w:rsidRPr="003C0842">
        <w:t>. Ton sukcesu wzmagała propaganda zwycięskiego obozu, który do planów sanacji mógł wpisać sukces genewski. Trudną do pominięcia rolę odegrała presja związana z obawami, że Polska</w:t>
      </w:r>
      <w:r w:rsidR="00DA65C6" w:rsidRPr="003C0842">
        <w:t>,</w:t>
      </w:r>
      <w:r w:rsidRPr="003C0842">
        <w:t xml:space="preserve"> z raczej mało </w:t>
      </w:r>
      <w:r w:rsidR="00DA65C6" w:rsidRPr="003C0842">
        <w:t xml:space="preserve">dla Zachodu </w:t>
      </w:r>
      <w:r w:rsidRPr="003C0842">
        <w:t>przewidywalnym marszałkiem Piłsudskim na czele</w:t>
      </w:r>
      <w:r w:rsidR="00DA65C6" w:rsidRPr="003C0842">
        <w:t>,</w:t>
      </w:r>
      <w:r w:rsidRPr="003C0842">
        <w:t xml:space="preserve"> może podążyć </w:t>
      </w:r>
      <w:r w:rsidRPr="003C0842">
        <w:lastRenderedPageBreak/>
        <w:t xml:space="preserve">drogą wytyczoną przez Arturo da Silva Bernardesa, dyktatorsko usposobionego prezydenta Brazylii lub gen. </w:t>
      </w:r>
      <w:r w:rsidR="00E26BDF" w:rsidRPr="003C0842">
        <w:t xml:space="preserve">Miguela </w:t>
      </w:r>
      <w:r w:rsidRPr="003C0842">
        <w:t xml:space="preserve">Primo de Rivery z Hiszpanii. </w:t>
      </w:r>
      <w:r w:rsidR="00A67A45" w:rsidRPr="003C0842">
        <w:t>Nie można zapominać, że d</w:t>
      </w:r>
      <w:r w:rsidR="00726B05" w:rsidRPr="003C0842">
        <w:t xml:space="preserve">yktatorskie praktyki obecne w tych państwach nie wzmacniały ich pozycji negocjacyjnej w środowisku genewskim, wręcz pławiącym się we frazeologiiliberalno-demokratycznej. </w:t>
      </w:r>
    </w:p>
    <w:p w:rsidR="00E25880" w:rsidRPr="003C0842" w:rsidRDefault="00E25880" w:rsidP="00726B05">
      <w:pPr>
        <w:spacing w:line="360" w:lineRule="auto"/>
      </w:pPr>
    </w:p>
    <w:p w:rsidR="00930F1A" w:rsidRPr="003C0842" w:rsidRDefault="00930F1A" w:rsidP="00111348">
      <w:pPr>
        <w:spacing w:line="360" w:lineRule="auto"/>
        <w:ind w:firstLine="709"/>
      </w:pPr>
    </w:p>
    <w:p w:rsidR="00406A18" w:rsidRPr="003C0842" w:rsidRDefault="00930F1A" w:rsidP="00111348">
      <w:pPr>
        <w:spacing w:line="360" w:lineRule="auto"/>
        <w:ind w:firstLine="709"/>
        <w:outlineLvl w:val="0"/>
        <w:rPr>
          <w:b/>
        </w:rPr>
      </w:pPr>
      <w:r w:rsidRPr="003C0842">
        <w:rPr>
          <w:b/>
        </w:rPr>
        <w:t>7</w:t>
      </w:r>
      <w:r w:rsidR="00406A18" w:rsidRPr="003C0842">
        <w:rPr>
          <w:b/>
        </w:rPr>
        <w:t>. Walka o wpływy i stanowiska</w:t>
      </w:r>
      <w:r w:rsidR="00D83B8A" w:rsidRPr="003C0842">
        <w:rPr>
          <w:b/>
        </w:rPr>
        <w:t>. Rola Sekretariatu</w:t>
      </w:r>
    </w:p>
    <w:p w:rsidR="00406A18" w:rsidRPr="003C0842" w:rsidRDefault="00406A18" w:rsidP="00111348">
      <w:pPr>
        <w:spacing w:line="360" w:lineRule="auto"/>
        <w:ind w:firstLine="709"/>
      </w:pPr>
    </w:p>
    <w:p w:rsidR="00406A18" w:rsidRPr="003C0842" w:rsidRDefault="00406A18" w:rsidP="00111348">
      <w:pPr>
        <w:spacing w:line="360" w:lineRule="auto"/>
        <w:ind w:firstLine="709"/>
      </w:pPr>
      <w:r w:rsidRPr="003C0842">
        <w:t>Formalny i urzędowy zachwyt towarzyszący VII Zgromadzeniu, bodaj czy nie najpowszechniejszy w dziejach Ligi, nie mógł przysłonić różnych ciemnych chmur zarówno wiszących już nad Genewą, jak i nowych, związanych z konfliktowo wobec większości usytuowaną polityką tzw. państw rewizjonistycznych. Uzyskały one silnego przywódcę, który nie krył swych aspiracji do odgrywania w</w:t>
      </w:r>
      <w:r w:rsidR="001A2A10" w:rsidRPr="003C0842">
        <w:t xml:space="preserve"> Sekretariacie Ligi</w:t>
      </w:r>
      <w:r w:rsidRPr="003C0842">
        <w:t xml:space="preserve"> roli porównywalnej do Francji i Wielkiej Brytanii. Osiągnięcie tego celu okazało się niewykonalne. Skuteczny opór Londynu i Paryża był powodem niekończących się pretensji pozostałych. </w:t>
      </w:r>
      <w:r w:rsidR="001A2A10" w:rsidRPr="003C0842">
        <w:t>O</w:t>
      </w:r>
      <w:r w:rsidRPr="003C0842">
        <w:t>pór</w:t>
      </w:r>
      <w:r w:rsidR="001A2A10" w:rsidRPr="003C0842">
        <w:t xml:space="preserve"> ten</w:t>
      </w:r>
      <w:r w:rsidRPr="003C0842">
        <w:t xml:space="preserve"> był realizowanyw dużej mierze rękoma obecnych w Sekretariacie osób, zwykle rekrutowanych spośród współrodaków. Była to powszechna praktyka skoro objęła nawet przedstawicielstwo Ligi w Wolnym Mieście Gdańsku. Wraz z przyjazdem</w:t>
      </w:r>
      <w:r w:rsidR="001A2A10" w:rsidRPr="003C0842">
        <w:t>do Gdańska</w:t>
      </w:r>
      <w:r w:rsidR="00D732A3" w:rsidRPr="003C0842">
        <w:t xml:space="preserve"> Manfreda</w:t>
      </w:r>
      <w:r w:rsidRPr="003C0842">
        <w:t xml:space="preserve"> Graviny w 1929 r. „z miejsca nabrało ono charakteru włoskiego </w:t>
      </w:r>
      <w:r w:rsidR="000B5E8D" w:rsidRPr="003C0842">
        <w:t>[…]</w:t>
      </w:r>
      <w:r w:rsidRPr="003C0842">
        <w:t xml:space="preserve"> w skład Sekretariatu weszli wyłącznie Włosi”</w:t>
      </w:r>
      <w:r w:rsidRPr="003C0842">
        <w:rPr>
          <w:rStyle w:val="Odwoanieprzypisudolnego"/>
          <w:rFonts w:ascii="Times New Roman" w:hAnsi="Times New Roman"/>
          <w:sz w:val="24"/>
        </w:rPr>
        <w:footnoteReference w:id="318"/>
      </w:r>
      <w:r w:rsidRPr="003C0842">
        <w:t>.</w:t>
      </w:r>
    </w:p>
    <w:p w:rsidR="00C76900" w:rsidRPr="003C0842" w:rsidRDefault="00406A18" w:rsidP="00111348">
      <w:pPr>
        <w:spacing w:line="360" w:lineRule="auto"/>
        <w:ind w:firstLine="709"/>
      </w:pPr>
      <w:r w:rsidRPr="003C0842">
        <w:t xml:space="preserve">W czasie powstawania zrębów kadrowych Ligi główną rolę odgrywało zarówno miejsce (czyli Londyn), jak i wprowadzone do tekstu Paktu nazwisko sekretarza generalnego, którym był </w:t>
      </w:r>
      <w:r w:rsidR="00283B78" w:rsidRPr="003C0842">
        <w:t xml:space="preserve">Szkot,po praktyce w </w:t>
      </w:r>
      <w:r w:rsidRPr="003C0842">
        <w:t>Foreign Office, w latach 1912-1915 prywatny sekretarz premiera, a później ministra spraw zagranicznych. Do współpracy w powstającym Sekreta</w:t>
      </w:r>
      <w:r w:rsidR="00A67A45" w:rsidRPr="003C0842">
        <w:t>riacie zapraszał osoby, które</w:t>
      </w:r>
      <w:r w:rsidRPr="003C0842">
        <w:t>znał z okresu swej służby</w:t>
      </w:r>
      <w:r w:rsidR="00A67A45" w:rsidRPr="003C0842">
        <w:t xml:space="preserve"> i</w:t>
      </w:r>
      <w:r w:rsidRPr="003C0842">
        <w:t xml:space="preserve"> wojskowo-politycznego współdziałania międzyalianckiego oraz jako uczestnik ekipy brytyjskiej na konferencji pokojowej w Paryżu</w:t>
      </w:r>
      <w:r w:rsidR="001A2A10" w:rsidRPr="003C0842">
        <w:rPr>
          <w:rStyle w:val="Odwoanieprzypisudolnego"/>
          <w:rFonts w:ascii="Times New Roman" w:hAnsi="Times New Roman"/>
          <w:sz w:val="24"/>
        </w:rPr>
        <w:footnoteReference w:id="319"/>
      </w:r>
      <w:r w:rsidRPr="003C0842">
        <w:t xml:space="preserve">. </w:t>
      </w:r>
    </w:p>
    <w:p w:rsidR="00406A18" w:rsidRPr="003C0842" w:rsidRDefault="00406A18" w:rsidP="00111348">
      <w:pPr>
        <w:spacing w:line="360" w:lineRule="auto"/>
        <w:ind w:firstLine="709"/>
      </w:pPr>
      <w:r w:rsidRPr="003C0842">
        <w:t>Ukształtowana wówczas kadrowa dominacja brytyjsko-francuska pogłębiła się po niepowodzeniach ekipy Woodrow</w:t>
      </w:r>
      <w:r w:rsidR="00B823F9" w:rsidRPr="003C0842">
        <w:t>a</w:t>
      </w:r>
      <w:r w:rsidRPr="003C0842">
        <w:t xml:space="preserve"> Wilsona w Stanach Zjednoczonych, gdzie do głosu doszli republikanie</w:t>
      </w:r>
      <w:r w:rsidR="00283B78" w:rsidRPr="003C0842">
        <w:t>, zdecydowanie przeciwni wszystkiemu, co wiązało się z poprzednim prezydentem, a więc i Ligą Narodów.</w:t>
      </w:r>
      <w:r w:rsidRPr="003C0842">
        <w:t xml:space="preserve"> Dobrze rokujące kariery Amerykanów w Genewie </w:t>
      </w:r>
      <w:r w:rsidRPr="003C0842">
        <w:lastRenderedPageBreak/>
        <w:t xml:space="preserve">zostały zastopowane. Około 1/3 wysokich stanowisk (aż do członka sekcji włącznie) zostało obsadzone przez Francuzów i Brytyjczyków (oraz dominiów); drugie tyle przez osoby z nimi powiązane. Niewątpliwie część spośród nich respektowała „deklarację lojalności” wobec Ligi, w ramach której nie było miejsca na pobieranie jakichkolwiek instrukcji </w:t>
      </w:r>
      <w:r w:rsidR="00C76900" w:rsidRPr="003C0842">
        <w:t>ze</w:t>
      </w:r>
      <w:r w:rsidRPr="003C0842">
        <w:t xml:space="preserve"> źródeł zewnętrznych, własnych rządów zwłaszcza. Rzeczywistość była bardziej złożona. Marie-Renée Mouton pokazuje</w:t>
      </w:r>
      <w:r w:rsidR="00B823F9" w:rsidRPr="003C0842">
        <w:t>,</w:t>
      </w:r>
      <w:r w:rsidRPr="003C0842">
        <w:t xml:space="preserve"> jak wielki wysiłek wkładał rząd, by Francuzi zatrudnieni w Sekretariacie Ligi lub Międzynarodowym Biurze Pracy, jak również francuscy uczestnicy różnych gremiów ligowych aż po przebywających w Genewie intelektualistów czy dziennikarzy</w:t>
      </w:r>
      <w:r w:rsidR="009626FA" w:rsidRPr="003C0842">
        <w:t>,</w:t>
      </w:r>
      <w:r w:rsidRPr="003C0842">
        <w:t xml:space="preserve"> uwzględniali i respektowali francuski punkt widzenia i jej interesy</w:t>
      </w:r>
      <w:r w:rsidRPr="003C0842">
        <w:rPr>
          <w:rStyle w:val="Odwoanieprzypisudolnego"/>
          <w:rFonts w:ascii="Times New Roman" w:hAnsi="Times New Roman"/>
          <w:sz w:val="24"/>
        </w:rPr>
        <w:footnoteReference w:id="320"/>
      </w:r>
      <w:r w:rsidRPr="003C0842">
        <w:t>.</w:t>
      </w:r>
    </w:p>
    <w:p w:rsidR="00C76900" w:rsidRPr="003C0842" w:rsidRDefault="00406A18" w:rsidP="00111348">
      <w:pPr>
        <w:spacing w:line="360" w:lineRule="auto"/>
        <w:ind w:firstLine="709"/>
      </w:pPr>
      <w:r w:rsidRPr="003C0842">
        <w:t>Dostrzegalna zrazu obecność w Sekretariacie osób dosłownie pojmujących szczytne hasła i cele Ligi, charakteryzowana jako „Liga profesorów”, była stopniowo majoryzowana przez zawodowych dyplomatów. To oni zaczęli nadawać ton Sekretariatowi, który według określenia Wiliama Martina stanowił „klucz do wrót Ligi”</w:t>
      </w:r>
      <w:r w:rsidRPr="003C0842">
        <w:rPr>
          <w:rStyle w:val="Odwoanieprzypisudolnego"/>
          <w:rFonts w:ascii="Times New Roman" w:hAnsi="Times New Roman"/>
          <w:sz w:val="24"/>
        </w:rPr>
        <w:footnoteReference w:id="321"/>
      </w:r>
      <w:r w:rsidRPr="003C0842">
        <w:t>. Istotnym wsparciem dla tej tendencji było ustanowienie przy Sekretariacie LN stałych delegacji o charakterze dyplomatycznym. Z natury rzeczy ich zadania można sprowadzić do obrony narodowych interesów z zastosowaniem środków najbardziej efektywnych</w:t>
      </w:r>
      <w:r w:rsidRPr="003C0842">
        <w:rPr>
          <w:rStyle w:val="Odwoanieprzypisudolnego"/>
          <w:rFonts w:ascii="Times New Roman" w:hAnsi="Times New Roman"/>
          <w:sz w:val="24"/>
        </w:rPr>
        <w:footnoteReference w:id="322"/>
      </w:r>
      <w:r w:rsidRPr="003C0842">
        <w:t xml:space="preserve">. </w:t>
      </w:r>
    </w:p>
    <w:p w:rsidR="00C76900" w:rsidRPr="003C0842" w:rsidRDefault="00406A18" w:rsidP="00111348">
      <w:pPr>
        <w:spacing w:line="360" w:lineRule="auto"/>
        <w:ind w:firstLine="709"/>
      </w:pPr>
      <w:r w:rsidRPr="003C0842">
        <w:t>Nasilona w 1924 r.</w:t>
      </w:r>
      <w:r w:rsidR="009626FA" w:rsidRPr="003C0842">
        <w:t xml:space="preserve"> „inwazja” dyplomatów narodowych</w:t>
      </w:r>
      <w:r w:rsidRPr="003C0842">
        <w:t xml:space="preserve"> łączyła się z włączeniem w prace genewskie większej liczby pierwszych figur politycznych Francji i Wielkiej Brytanii. Pociągało to za sobą wzrost aktywności premierów i ministrów z państw mniejszych, którzy uzyskali możliwość bezpośredniego kontaktu z wieloma osobistościami</w:t>
      </w:r>
      <w:r w:rsidR="00C76900" w:rsidRPr="003C0842">
        <w:t>równocześnie</w:t>
      </w:r>
      <w:r w:rsidRPr="003C0842">
        <w:t xml:space="preserve">, bez </w:t>
      </w:r>
      <w:r w:rsidR="00C8600D" w:rsidRPr="003C0842">
        <w:t>oficjalnego</w:t>
      </w:r>
      <w:r w:rsidRPr="003C0842">
        <w:t xml:space="preserve"> protokołu i ceremoniału. Obejmowało to także polityków z państw skonfliktowanych, którzy na forum genewskim (lub obok niego, a nawet na jego obrzeżach) zabiegali o zrozumienie i wsparcie dla własnych racji. Ta rola </w:t>
      </w:r>
      <w:r w:rsidR="004775BC" w:rsidRPr="003C0842">
        <w:t>LN</w:t>
      </w:r>
      <w:r w:rsidRPr="003C0842">
        <w:t xml:space="preserve"> zasługuje na pamięć, aczkolwiek jej przydatność zależała od </w:t>
      </w:r>
      <w:r w:rsidR="009626FA" w:rsidRPr="003C0842">
        <w:t>obiektywnych możliwości stron</w:t>
      </w:r>
      <w:r w:rsidR="004775BC" w:rsidRPr="003C0842">
        <w:t>, woli</w:t>
      </w:r>
      <w:r w:rsidR="009626FA" w:rsidRPr="003C0842">
        <w:t xml:space="preserve"> i ich gotowości do </w:t>
      </w:r>
      <w:r w:rsidRPr="003C0842">
        <w:t xml:space="preserve">kompromisu. </w:t>
      </w:r>
      <w:r w:rsidR="00C8600D" w:rsidRPr="003C0842">
        <w:t>Talenty indywidualne raczej schodziły na plan dalszy.</w:t>
      </w:r>
    </w:p>
    <w:p w:rsidR="00406A18" w:rsidRPr="003C0842" w:rsidRDefault="00406A18" w:rsidP="00111348">
      <w:pPr>
        <w:spacing w:line="360" w:lineRule="auto"/>
        <w:ind w:firstLine="709"/>
      </w:pPr>
      <w:r w:rsidRPr="003C0842">
        <w:t>Wszystko to, łącznie ze znanymi skłonnościami „Ligi profesorów” do symplicystycznych rozwiązań w tak newralgicznych obszarach</w:t>
      </w:r>
      <w:r w:rsidR="00B823F9" w:rsidRPr="003C0842">
        <w:t>,</w:t>
      </w:r>
      <w:r w:rsidRPr="003C0842">
        <w:t xml:space="preserve"> jak bezpieczeństwo, arbitraż i rozbrojenie, </w:t>
      </w:r>
      <w:r w:rsidR="009626FA" w:rsidRPr="003C0842">
        <w:t xml:space="preserve">wręcz wymuszało większezaangażowanie </w:t>
      </w:r>
      <w:r w:rsidRPr="003C0842">
        <w:t xml:space="preserve">ze strony rządów. </w:t>
      </w:r>
      <w:r w:rsidR="00C76900" w:rsidRPr="003C0842">
        <w:t xml:space="preserve">Miały </w:t>
      </w:r>
      <w:r w:rsidRPr="003C0842">
        <w:t xml:space="preserve">one nie tylko </w:t>
      </w:r>
      <w:r w:rsidRPr="003C0842">
        <w:lastRenderedPageBreak/>
        <w:t xml:space="preserve">decydujący głos w sprawie składu delegacji, które uczestniczyły w Zgromadzeniach i ewentualnie Radzie, ale także </w:t>
      </w:r>
      <w:r w:rsidR="00C76900" w:rsidRPr="003C0842">
        <w:t>zabiegało o „</w:t>
      </w:r>
      <w:r w:rsidRPr="003C0842">
        <w:t>swoją</w:t>
      </w:r>
      <w:r w:rsidR="00C76900" w:rsidRPr="003C0842">
        <w:t>”,</w:t>
      </w:r>
      <w:r w:rsidRPr="003C0842">
        <w:t xml:space="preserve"> narodową reprezentację w Sekretariacie. Nacisk w tej sprawie rósł</w:t>
      </w:r>
      <w:r w:rsidR="00B823F9" w:rsidRPr="003C0842">
        <w:t>,</w:t>
      </w:r>
      <w:r w:rsidR="00C76900" w:rsidRPr="003C0842">
        <w:t xml:space="preserve"> przyczyniając się też do</w:t>
      </w:r>
      <w:r w:rsidRPr="003C0842">
        <w:t xml:space="preserve"> wzrostu liczby pracowników Sekretariatu, których w 1921 r. było 347, w 1926 r. – 494, by w 1931 r. osiągnąć stan maksymalny 707 osób</w:t>
      </w:r>
      <w:r w:rsidRPr="003C0842">
        <w:rPr>
          <w:rStyle w:val="Odwoanieprzypisudolnego"/>
          <w:rFonts w:ascii="Times New Roman" w:hAnsi="Times New Roman"/>
          <w:sz w:val="24"/>
        </w:rPr>
        <w:footnoteReference w:id="323"/>
      </w:r>
      <w:r w:rsidRPr="003C0842">
        <w:t>.</w:t>
      </w:r>
    </w:p>
    <w:p w:rsidR="0035281E" w:rsidRPr="003C0842" w:rsidRDefault="00406A18" w:rsidP="00111348">
      <w:pPr>
        <w:spacing w:line="360" w:lineRule="auto"/>
        <w:ind w:firstLine="709"/>
      </w:pPr>
      <w:r w:rsidRPr="003C0842">
        <w:t>Nieustanny bój toczył się o kilkadziesiąt najważniejszych stanowisk, które zostały obsadzone głównie przez polityków</w:t>
      </w:r>
      <w:r w:rsidR="00B823F9" w:rsidRPr="003C0842">
        <w:t xml:space="preserve">, </w:t>
      </w:r>
      <w:r w:rsidRPr="003C0842">
        <w:t xml:space="preserve">urzędników reprezentujących zwycięskie mocarstwa, współtworzące Radę Ligi z miejscami stałymi. </w:t>
      </w:r>
      <w:r w:rsidR="004775BC" w:rsidRPr="003C0842">
        <w:t>Praktykowane zastępowanie</w:t>
      </w:r>
      <w:r w:rsidRPr="003C0842">
        <w:t xml:space="preserve"> urzędników</w:t>
      </w:r>
      <w:r w:rsidR="004775BC" w:rsidRPr="003C0842">
        <w:t xml:space="preserve"> odchodzących</w:t>
      </w:r>
      <w:r w:rsidRPr="003C0842">
        <w:t xml:space="preserve"> przez osoby z tego samego kraju spowodował</w:t>
      </w:r>
      <w:r w:rsidR="004775BC" w:rsidRPr="003C0842">
        <w:t>o</w:t>
      </w:r>
      <w:r w:rsidRPr="003C0842">
        <w:t xml:space="preserve"> swoisty bezruch kadrowy</w:t>
      </w:r>
      <w:r w:rsidR="004775BC" w:rsidRPr="003C0842">
        <w:t xml:space="preserve"> z narodowego punktu widzenia</w:t>
      </w:r>
      <w:r w:rsidRPr="003C0842">
        <w:t>. Widomym znakiem takiej sytuacji były dwie pierwsze figury Sekretariatu. Kontrakt sir Erica Drummonda był bezterminowy, co raz po raz wzniecało dyskusje o jego ustąpieniu. Jeśli decyzja w tej sprawie była przez wiele lat odkładana, to m.in. dlatego, że wybór kolejnego wymuszał liczne uzgodnienia, zawsze w sprawach personalnych trudno osiągalne</w:t>
      </w:r>
      <w:r w:rsidR="009626FA" w:rsidRPr="003C0842">
        <w:t>,</w:t>
      </w:r>
      <w:r w:rsidRPr="003C0842">
        <w:t xml:space="preserve"> bo determinowane przez interesy i </w:t>
      </w:r>
      <w:r w:rsidR="00C76900" w:rsidRPr="003C0842">
        <w:t xml:space="preserve">odmienne, często </w:t>
      </w:r>
      <w:r w:rsidRPr="003C0842">
        <w:t>sprzeczne oczekiwania</w:t>
      </w:r>
      <w:r w:rsidR="00C76900" w:rsidRPr="003C0842">
        <w:t xml:space="preserve"> co do roli L</w:t>
      </w:r>
      <w:r w:rsidRPr="003C0842">
        <w:t>igi w ogóle</w:t>
      </w:r>
      <w:r w:rsidR="00C8600D" w:rsidRPr="003C0842">
        <w:t>, w tym i Sekretariatu.</w:t>
      </w:r>
      <w:r w:rsidRPr="003C0842">
        <w:t xml:space="preserve"> W 1933 r. następcą Drummonda został więc jego długoletni zastępca Joseph Avenol, francuski polityk o temperamencie buchaltera. Służbę w Sekretariacie zaczął 1 lutego 1923 r. i dotrwał na najbardziej eksponowanym stanowisku w Lidze do upadku swego państwa po agresji hitlerowskiej</w:t>
      </w:r>
      <w:r w:rsidRPr="003C0842">
        <w:rPr>
          <w:rStyle w:val="Odwoanieprzypisudolnego"/>
          <w:rFonts w:ascii="Times New Roman" w:hAnsi="Times New Roman"/>
          <w:sz w:val="24"/>
        </w:rPr>
        <w:footnoteReference w:id="324"/>
      </w:r>
      <w:r w:rsidRPr="003C0842">
        <w:t>. Faktyczny bezruch kadrowy brytyjsko-francuski obrazuje także awans Franca P. Waltersa, który towarzyszył Lidze od jej narodzin jako szef biura sekretarza generaln</w:t>
      </w:r>
      <w:r w:rsidR="0035281E" w:rsidRPr="003C0842">
        <w:t>ego, by od 1 marca 1933 r. zająć</w:t>
      </w:r>
      <w:r w:rsidRPr="003C0842">
        <w:t xml:space="preserve"> stanowisko podsekretarza generalnego. </w:t>
      </w:r>
    </w:p>
    <w:p w:rsidR="00406A18" w:rsidRPr="003C0842" w:rsidRDefault="00406A18" w:rsidP="00111348">
      <w:pPr>
        <w:spacing w:line="360" w:lineRule="auto"/>
        <w:ind w:firstLine="709"/>
      </w:pPr>
      <w:r w:rsidRPr="003C0842">
        <w:t>Zjawisko stagnacji kadrowej z punktu widzenia kraju pochodzenia leżało też po stronie obaw poszczególnych rządów, że „posiadane” stanowisko mogą utracić, jeśli zechcą dokonać zmiany. Taka sytuacja wystąpiła w przypadku dr</w:t>
      </w:r>
      <w:r w:rsidR="00B823F9" w:rsidRPr="003C0842">
        <w:t>.</w:t>
      </w:r>
      <w:r w:rsidRPr="003C0842">
        <w:t xml:space="preserve"> Ludwika Rajchmanna. Jego samodzielność i ogólna </w:t>
      </w:r>
      <w:r w:rsidR="004775BC" w:rsidRPr="003C0842">
        <w:t>odporność</w:t>
      </w:r>
      <w:r w:rsidRPr="003C0842">
        <w:t xml:space="preserve"> na sugestie MSZ-tu bardzo Warszawę irytował</w:t>
      </w:r>
      <w:r w:rsidR="00C8600D" w:rsidRPr="003C0842">
        <w:t>y</w:t>
      </w:r>
      <w:r w:rsidRPr="003C0842">
        <w:t xml:space="preserve">, jednak zajmowane przez niego stanowisko dyrektora sekcji higieny w razie zmiany personalnej </w:t>
      </w:r>
      <w:r w:rsidRPr="003C0842">
        <w:lastRenderedPageBreak/>
        <w:t>mogła</w:t>
      </w:r>
      <w:r w:rsidR="00C8600D" w:rsidRPr="003C0842">
        <w:t>by</w:t>
      </w:r>
      <w:r w:rsidRPr="003C0842">
        <w:t xml:space="preserve"> Polska utracić. Mimo nacisków nacjonalistów polskich wskazujących na żydowskie koneksje dr</w:t>
      </w:r>
      <w:r w:rsidR="00B823F9" w:rsidRPr="003C0842">
        <w:t>.</w:t>
      </w:r>
      <w:r w:rsidRPr="003C0842">
        <w:t xml:space="preserve"> Rajchmanna, plany jego odsunięcia od pracy w Sekretariacie nie powiodły się i to do końca istnienia Ligi. Wzmagało to oskarżenia o dominację w Genewie środowiska filożydowskiego, do którego zaliczano kilku dalszych dyrektorów sekcji (Comerta, Mantoux, R. Hassa – dyr</w:t>
      </w:r>
      <w:r w:rsidR="00B823F9" w:rsidRPr="003C0842">
        <w:t>ektor</w:t>
      </w:r>
      <w:r w:rsidRPr="003C0842">
        <w:t xml:space="preserve"> sekcji transportu) lub też masonów, wśród których wymieniano </w:t>
      </w:r>
      <w:r w:rsidR="00C8600D" w:rsidRPr="003C0842">
        <w:t xml:space="preserve">także </w:t>
      </w:r>
      <w:r w:rsidRPr="003C0842">
        <w:t>Brianda i Stresemanna</w:t>
      </w:r>
      <w:r w:rsidR="001C776D" w:rsidRPr="003C0842">
        <w:t>. Ja</w:t>
      </w:r>
      <w:r w:rsidR="00B823F9" w:rsidRPr="003C0842">
        <w:t>c</w:t>
      </w:r>
      <w:r w:rsidR="001C776D" w:rsidRPr="003C0842">
        <w:t>ques de Launay pisze nawet o ich „ścisłych powiązaniach” z masonami</w:t>
      </w:r>
      <w:r w:rsidRPr="003C0842">
        <w:rPr>
          <w:rStyle w:val="Odwoanieprzypisudolnego"/>
          <w:rFonts w:ascii="Times New Roman" w:hAnsi="Times New Roman"/>
          <w:sz w:val="24"/>
        </w:rPr>
        <w:footnoteReference w:id="325"/>
      </w:r>
      <w:r w:rsidRPr="003C0842">
        <w:t>.</w:t>
      </w:r>
    </w:p>
    <w:p w:rsidR="00406A18" w:rsidRPr="003C0842" w:rsidRDefault="00406A18" w:rsidP="00111348">
      <w:pPr>
        <w:spacing w:line="360" w:lineRule="auto"/>
        <w:ind w:firstLine="709"/>
      </w:pPr>
      <w:r w:rsidRPr="003C0842">
        <w:t>Kadry Sekretariatu</w:t>
      </w:r>
      <w:r w:rsidR="00A65E7A" w:rsidRPr="003C0842">
        <w:t>, z rozmaitych zresztą powodów,</w:t>
      </w:r>
      <w:r w:rsidR="00B10929" w:rsidRPr="003C0842">
        <w:t xml:space="preserve"> znajdowały się </w:t>
      </w:r>
      <w:r w:rsidR="00A65E7A" w:rsidRPr="003C0842">
        <w:t>na cenzurowanym</w:t>
      </w:r>
      <w:r w:rsidR="00B10929" w:rsidRPr="003C0842">
        <w:t>.</w:t>
      </w:r>
      <w:r w:rsidRPr="003C0842">
        <w:t xml:space="preserve"> Na krajowych giełdach kariery wyjazd do pracy w Genewie, bardzo nielicznych przecież osób</w:t>
      </w:r>
      <w:r w:rsidR="003A3C4C" w:rsidRPr="003C0842">
        <w:t>,</w:t>
      </w:r>
      <w:r w:rsidRPr="003C0842">
        <w:t xml:space="preserve"> był traktowany jako sukces otwierający drzwi do rozwoju – tak w wymiarze międzynarodowym</w:t>
      </w:r>
      <w:r w:rsidR="00A65E7A" w:rsidRPr="003C0842">
        <w:t>,</w:t>
      </w:r>
      <w:r w:rsidRPr="003C0842">
        <w:t xml:space="preserve"> jak zwłaszcza krajowym. Wśród upowszechnionych wyobrażeń o pracy w Lidze spotykamy też poglądy dotyczące ciekawej, ale </w:t>
      </w:r>
      <w:r w:rsidR="003A3C4C" w:rsidRPr="003C0842">
        <w:t>raczej</w:t>
      </w:r>
      <w:r w:rsidRPr="003C0842">
        <w:t xml:space="preserve"> spokojnej pracy, dystyngowanym towarzystwie, koktajlach i kolacjach, </w:t>
      </w:r>
      <w:r w:rsidR="006656BA" w:rsidRPr="003C0842">
        <w:t xml:space="preserve">łagodnym </w:t>
      </w:r>
      <w:r w:rsidRPr="003C0842">
        <w:t>klimacie</w:t>
      </w:r>
      <w:r w:rsidR="006656BA" w:rsidRPr="003C0842">
        <w:t>, urokamijeziora Leman</w:t>
      </w:r>
      <w:r w:rsidR="00A65E7A" w:rsidRPr="003C0842">
        <w:t xml:space="preserve"> i </w:t>
      </w:r>
      <w:r w:rsidR="006656BA" w:rsidRPr="003C0842">
        <w:t>dol</w:t>
      </w:r>
      <w:r w:rsidR="00A65E7A" w:rsidRPr="003C0842">
        <w:t>i</w:t>
      </w:r>
      <w:r w:rsidR="006656BA" w:rsidRPr="003C0842">
        <w:t>ny</w:t>
      </w:r>
      <w:r w:rsidRPr="003C0842">
        <w:t xml:space="preserve"> Rodanu. I to wszystko w </w:t>
      </w:r>
      <w:r w:rsidR="006656BA" w:rsidRPr="003C0842">
        <w:t>dobrej</w:t>
      </w:r>
      <w:r w:rsidRPr="003C0842">
        <w:t xml:space="preserve"> sytuacji finansowej</w:t>
      </w:r>
      <w:r w:rsidR="006656BA" w:rsidRPr="003C0842">
        <w:t>,</w:t>
      </w:r>
      <w:r w:rsidRPr="003C0842">
        <w:t xml:space="preserve"> stworzonej przez </w:t>
      </w:r>
      <w:r w:rsidR="006656BA" w:rsidRPr="003C0842">
        <w:t>pensje</w:t>
      </w:r>
      <w:r w:rsidRPr="003C0842">
        <w:t xml:space="preserve"> pochodzące ze składkowych pieniędzy. Jakkolwiek po epizodzie z pierwszych kilkunastu miesięcy pogląd o dużych zarobkach musiał być zweryfikowany</w:t>
      </w:r>
      <w:r w:rsidRPr="003C0842">
        <w:rPr>
          <w:rStyle w:val="Odwoanieprzypisudolnego"/>
          <w:rFonts w:ascii="Times New Roman" w:hAnsi="Times New Roman"/>
          <w:sz w:val="24"/>
        </w:rPr>
        <w:footnoteReference w:id="326"/>
      </w:r>
      <w:r w:rsidRPr="003C0842">
        <w:t>, to jednak wiele rządów podwajało diety swoim wysłannikom udającym się do dość drogiej zresztą Genewy. Pozostaje także faktem, że na obrzeżach Sekretariatu (zwłaszcza jako ramienia wykonawczego Rady) rozwinęła się wpływowa i dochodowa kategoria ludzi występujących w roli ekspertów. Zaistnienie w obrębie tej grupy było nierzadko obiektem zabiegów, a następnie nobilitacji zawodowej i turystyczno-finansowej. O względy owych ekspertów zabiegały państwa w postępowaniu przed Radą Ligi czy Stałym Trybunałem Sprawiedliwości Międzynarodowej. Tenże zaś ekspert „jeździł z jednego końca Europy na drugi, mierzył każdą godzinę pracy na wagę złota i pisał ekspertyzy, w których starał się najczęściej obie strony mniej lub więcej zadowolić”</w:t>
      </w:r>
      <w:r w:rsidRPr="003C0842">
        <w:rPr>
          <w:rStyle w:val="Odwoanieprzypisudolnego"/>
          <w:rFonts w:ascii="Times New Roman" w:hAnsi="Times New Roman"/>
          <w:sz w:val="24"/>
        </w:rPr>
        <w:footnoteReference w:id="327"/>
      </w:r>
      <w:r w:rsidRPr="003C0842">
        <w:t>.</w:t>
      </w:r>
    </w:p>
    <w:p w:rsidR="00406A18" w:rsidRPr="003C0842" w:rsidRDefault="00406A18" w:rsidP="00111348">
      <w:pPr>
        <w:spacing w:line="360" w:lineRule="auto"/>
        <w:ind w:firstLine="709"/>
      </w:pPr>
      <w:r w:rsidRPr="003C0842">
        <w:t xml:space="preserve">Opinia ta wypowiedziana w związku z polsko-gdańskim zatargiem o skrzynki pocztowe w 1925 r. uzasadnia zwrócenie uwagi na spory kadrowe w obszarach </w:t>
      </w:r>
      <w:r w:rsidR="005B3236" w:rsidRPr="003C0842">
        <w:t xml:space="preserve">uznanych </w:t>
      </w:r>
      <w:r w:rsidRPr="003C0842">
        <w:t>za „barometr</w:t>
      </w:r>
      <w:r w:rsidR="005B3236" w:rsidRPr="003C0842">
        <w:t>y</w:t>
      </w:r>
      <w:r w:rsidRPr="003C0842">
        <w:t xml:space="preserve"> napięcia europejskiego”</w:t>
      </w:r>
      <w:r w:rsidR="00E31C22" w:rsidRPr="003C0842">
        <w:t>,</w:t>
      </w:r>
      <w:r w:rsidRPr="003C0842">
        <w:t xml:space="preserve"> czyli Zagłębia Saary i Wolnego Miasta Gdańska. Na obu tych, liczących ok</w:t>
      </w:r>
      <w:r w:rsidR="00E31C22" w:rsidRPr="003C0842">
        <w:t>oło</w:t>
      </w:r>
      <w:r w:rsidRPr="003C0842">
        <w:t xml:space="preserve"> 2 tys. km</w:t>
      </w:r>
      <w:r w:rsidRPr="003C0842">
        <w:rPr>
          <w:vertAlign w:val="superscript"/>
        </w:rPr>
        <w:t>2</w:t>
      </w:r>
      <w:r w:rsidR="00E31C22" w:rsidRPr="003C0842">
        <w:t>,</w:t>
      </w:r>
      <w:r w:rsidRPr="003C0842">
        <w:t xml:space="preserve"> terenach Liga spełniała rolę opiekuna, ale też faktycznej </w:t>
      </w:r>
      <w:r w:rsidRPr="003C0842">
        <w:lastRenderedPageBreak/>
        <w:t xml:space="preserve">władzy. </w:t>
      </w:r>
      <w:r w:rsidR="00B10929" w:rsidRPr="003C0842">
        <w:t>W obu też miejscach s</w:t>
      </w:r>
      <w:r w:rsidRPr="003C0842">
        <w:t xml:space="preserve">tanęła przed trudnym zadaniem pacyfikacji miejscowych stosunków, w których centralne miejsce odgrywały rewindykacyjne dążenia niemieckie zwrócone w jednym wypadku przeciwko </w:t>
      </w:r>
      <w:r w:rsidR="00B10929" w:rsidRPr="003C0842">
        <w:t>de facto</w:t>
      </w:r>
      <w:r w:rsidRPr="003C0842">
        <w:t xml:space="preserve">Francji, w drugim przeciwko Polsce. </w:t>
      </w:r>
      <w:r w:rsidR="00960CAA" w:rsidRPr="003C0842">
        <w:t>Im</w:t>
      </w:r>
      <w:r w:rsidR="003B1EDC" w:rsidRPr="003C0842">
        <w:t xml:space="preserve"> bardziej realne stawało się wstąpienie Niemiec do Ligi, tym intensywniejsze były próby „wytargowania” zmian w administrowaniu tymi obszarami. Szczególnie aktywny był prezydent Senatu WMG Heinrich Sahm, zaprzyja</w:t>
      </w:r>
      <w:r w:rsidR="00D732A3" w:rsidRPr="003C0842">
        <w:t>źniony z kanclerzem Hansem Luthere</w:t>
      </w:r>
      <w:r w:rsidR="003B1EDC" w:rsidRPr="003C0842">
        <w:t>m (styczeń 1925</w:t>
      </w:r>
      <w:r w:rsidR="00164234" w:rsidRPr="003C0842">
        <w:t xml:space="preserve"> – </w:t>
      </w:r>
      <w:r w:rsidR="003B1EDC" w:rsidRPr="003C0842">
        <w:t xml:space="preserve">maj 1926), który wywodził się DNV – partii swego ministra spraw zagranicznych. </w:t>
      </w:r>
      <w:r w:rsidRPr="003C0842">
        <w:t>Sytuację Ligi usytuowanej w obu wypadkach na administracyjnym świeczniku, komplikowała nieformalna (ale znana) umowa między Francją i Wielką Brytanią, że jeśli Brytyjczyk jest Wysokim Komisarzem LN w Gdańsku, to Francuz przewodniczy w Komis</w:t>
      </w:r>
      <w:r w:rsidR="00B10929" w:rsidRPr="003C0842">
        <w:t>ji Zarządzającej</w:t>
      </w:r>
      <w:r w:rsidRPr="003C0842">
        <w:t xml:space="preserve"> w Zagłębiu Saary</w:t>
      </w:r>
      <w:r w:rsidR="001010DB" w:rsidRPr="003C0842">
        <w:t xml:space="preserve"> (Commission de Gouvernement du Territoire de Bassin de la Sarre)</w:t>
      </w:r>
      <w:r w:rsidRPr="003C0842">
        <w:rPr>
          <w:rStyle w:val="Odwoanieprzypisudolnego"/>
          <w:rFonts w:ascii="Times New Roman" w:hAnsi="Times New Roman"/>
          <w:sz w:val="24"/>
        </w:rPr>
        <w:footnoteReference w:id="328"/>
      </w:r>
      <w:r w:rsidRPr="003C0842">
        <w:t>.</w:t>
      </w:r>
    </w:p>
    <w:p w:rsidR="0035281E" w:rsidRPr="003C0842" w:rsidRDefault="00406A18" w:rsidP="00111348">
      <w:pPr>
        <w:spacing w:line="360" w:lineRule="auto"/>
        <w:ind w:firstLine="709"/>
      </w:pPr>
      <w:r w:rsidRPr="003C0842">
        <w:t xml:space="preserve">Realizacja tego układu przebiegała w wysokiej temperaturze, którą w dużej mierze wyznaczał zgodny protest Niemców przeciwko traktatowi wersalskiemu oraz </w:t>
      </w:r>
      <w:r w:rsidR="001C4406" w:rsidRPr="003C0842">
        <w:t>pro</w:t>
      </w:r>
      <w:r w:rsidRPr="003C0842">
        <w:t xml:space="preserve">niemiecka postawa Wielkiej Brytanii. Tendencja ta mogła się ujawnić najpełniej w Gdańsku, gdzie Rada Ligi powoływała na stanowisko Wysokich </w:t>
      </w:r>
      <w:r w:rsidR="00B10929" w:rsidRPr="003C0842">
        <w:t>K</w:t>
      </w:r>
      <w:r w:rsidRPr="003C0842">
        <w:t xml:space="preserve">omisarzy LN nawet generałów brytyjskich. Mimo różnych inicjatyw zmierzających do pozyskania ich sympatii przy rozpatrywaniu sporów polsko-gdańskich jako pierwszej instancji, Rada zmuszona była poświęcać czas na niemal stałą obecność spraw </w:t>
      </w:r>
      <w:r w:rsidR="001C4406" w:rsidRPr="003C0842">
        <w:t>Wolnego Miasta</w:t>
      </w:r>
      <w:r w:rsidRPr="003C0842">
        <w:t xml:space="preserve"> na jej wokandzie. Niemal wszystkie spośród prawie 50 (na 70 w ogóle) decyzji wydanych przez brytyjskich Wysokich Komisarzy w latach 1920</w:t>
      </w:r>
      <w:r w:rsidR="005A5F3B">
        <w:t>-</w:t>
      </w:r>
      <w:r w:rsidRPr="003C0842">
        <w:t>1926 były zaskarżane przez którąś</w:t>
      </w:r>
      <w:r w:rsidR="00E31C22" w:rsidRPr="003C0842">
        <w:t xml:space="preserve"> ze stron</w:t>
      </w:r>
      <w:r w:rsidRPr="003C0842">
        <w:t xml:space="preserve"> lub obie strony</w:t>
      </w:r>
      <w:r w:rsidRPr="003C0842">
        <w:rPr>
          <w:rStyle w:val="Odwoanieprzypisudolnego"/>
          <w:rFonts w:ascii="Times New Roman" w:hAnsi="Times New Roman"/>
          <w:sz w:val="24"/>
        </w:rPr>
        <w:footnoteReference w:id="329"/>
      </w:r>
      <w:r w:rsidRPr="003C0842">
        <w:t xml:space="preserve">. </w:t>
      </w:r>
    </w:p>
    <w:p w:rsidR="00A37B68" w:rsidRPr="003C0842" w:rsidRDefault="00406A18" w:rsidP="00111348">
      <w:pPr>
        <w:spacing w:line="360" w:lineRule="auto"/>
        <w:ind w:firstLine="709"/>
      </w:pPr>
      <w:r w:rsidRPr="003C0842">
        <w:t>Ulokowane w czasie konferencji pokojowej spory brytyjsko-franc</w:t>
      </w:r>
      <w:r w:rsidR="00B10929" w:rsidRPr="003C0842">
        <w:t xml:space="preserve">uskie w sprawie </w:t>
      </w:r>
      <w:r w:rsidRPr="003C0842">
        <w:t xml:space="preserve">granic Niemiec przeciągnęły się na kolejne lata wywołując silne emocje zainteresowanych narodów. Mieszkańcy Zagłębia Saary i w ogóle Niemcy widzieli perspektywę zmiany w wyniku plebiscytu przewidzianego na 1935 r. Była więc szansa na </w:t>
      </w:r>
      <w:r w:rsidR="001C4406" w:rsidRPr="003C0842">
        <w:t>złączenie Zagłębia z resztą kraju.</w:t>
      </w:r>
      <w:r w:rsidRPr="003C0842">
        <w:t xml:space="preserve"> Chodziło zatem o zachowanie</w:t>
      </w:r>
      <w:r w:rsidR="00B10929" w:rsidRPr="003C0842">
        <w:t xml:space="preserve"> niemieckiego stanu posiadania</w:t>
      </w:r>
      <w:r w:rsidRPr="003C0842">
        <w:t xml:space="preserve"> na administrowanym czasowo przez Ligę obszarze, wbrew planom i wysiłkom strony francuskiej. Victor Rault – francuski przewodniczący 5-osobowej Komisji </w:t>
      </w:r>
      <w:r w:rsidR="00B10929" w:rsidRPr="003C0842">
        <w:t>Zar</w:t>
      </w:r>
      <w:r w:rsidRPr="003C0842">
        <w:t>ządz</w:t>
      </w:r>
      <w:r w:rsidR="00B10929" w:rsidRPr="003C0842">
        <w:t>aj</w:t>
      </w:r>
      <w:r w:rsidRPr="003C0842">
        <w:t xml:space="preserve">ącej był uważany przez niemieckich mieszkańców Zagłębia za najbardziej znienawidzonego urzędnika Ligi. Różnie motywowane oburzenie znajdowało zrozumienie </w:t>
      </w:r>
      <w:r w:rsidR="007F5476" w:rsidRPr="003C0842">
        <w:t xml:space="preserve">R.D. Wangha, </w:t>
      </w:r>
      <w:r w:rsidRPr="003C0842">
        <w:t>kanadyjskiego członka Komisji</w:t>
      </w:r>
      <w:r w:rsidR="007F5476" w:rsidRPr="003C0842">
        <w:t>,</w:t>
      </w:r>
      <w:r w:rsidRPr="003C0842">
        <w:t xml:space="preserve"> a zwłaszcza jego sukcesora George</w:t>
      </w:r>
      <w:r w:rsidR="001C4406" w:rsidRPr="003C0842">
        <w:t>’a</w:t>
      </w:r>
      <w:r w:rsidRPr="003C0842">
        <w:t xml:space="preserve"> W. Stephensa. Nastał on w 1923 r., w ogniu masowych </w:t>
      </w:r>
      <w:r w:rsidRPr="003C0842">
        <w:lastRenderedPageBreak/>
        <w:t xml:space="preserve">strajków i biernego oporu związanego z okupacją Nadrenii. Apogeum sporów w latach 1923/24 wiązało się z wezwaniem na pomoc przez Komisję </w:t>
      </w:r>
      <w:r w:rsidR="007F5476" w:rsidRPr="003C0842">
        <w:t>Zarzą</w:t>
      </w:r>
      <w:r w:rsidR="00B10929" w:rsidRPr="003C0842">
        <w:t>dz</w:t>
      </w:r>
      <w:r w:rsidR="007F5476" w:rsidRPr="003C0842">
        <w:t>a</w:t>
      </w:r>
      <w:r w:rsidR="00B10929" w:rsidRPr="003C0842">
        <w:t>jącą</w:t>
      </w:r>
      <w:r w:rsidRPr="003C0842">
        <w:t xml:space="preserve"> francuskiego kontyngentu wojskowego. </w:t>
      </w:r>
    </w:p>
    <w:p w:rsidR="000450C8" w:rsidRPr="003C0842" w:rsidRDefault="00406A18" w:rsidP="00111348">
      <w:pPr>
        <w:spacing w:line="360" w:lineRule="auto"/>
        <w:ind w:firstLine="709"/>
      </w:pPr>
      <w:r w:rsidRPr="003C0842">
        <w:t xml:space="preserve">Towarzyszące temu ograniczenia niektórych swobód obywatelskich wywołały niespodziewanie silne reakcje w wielu państwach, a także w </w:t>
      </w:r>
      <w:r w:rsidR="0035281E" w:rsidRPr="003C0842">
        <w:t>Lidze</w:t>
      </w:r>
      <w:r w:rsidRPr="003C0842">
        <w:t xml:space="preserve">. Delegat Szwecji Hjalmar Branting </w:t>
      </w:r>
      <w:r w:rsidR="000450C8" w:rsidRPr="003C0842">
        <w:t>na</w:t>
      </w:r>
      <w:r w:rsidRPr="003C0842">
        <w:t xml:space="preserve"> sesji Rady 23 kwietnia 1923 r. domagał się całościowej dyskusji nad sposobem administrowania w Zagłębiu, które charakteryzował jako „nadmiernie gorliwe”</w:t>
      </w:r>
      <w:r w:rsidRPr="003C0842">
        <w:rPr>
          <w:rStyle w:val="Odwoanieprzypisudolnego"/>
          <w:rFonts w:ascii="Times New Roman" w:hAnsi="Times New Roman"/>
          <w:sz w:val="24"/>
        </w:rPr>
        <w:footnoteReference w:id="330"/>
      </w:r>
      <w:r w:rsidRPr="003C0842">
        <w:t xml:space="preserve">. </w:t>
      </w:r>
      <w:r w:rsidR="000450C8" w:rsidRPr="003C0842">
        <w:t>P</w:t>
      </w:r>
      <w:r w:rsidRPr="003C0842">
        <w:t xml:space="preserve">odczas </w:t>
      </w:r>
      <w:r w:rsidR="000450C8" w:rsidRPr="003C0842">
        <w:t xml:space="preserve">kolejnej, </w:t>
      </w:r>
      <w:r w:rsidRPr="003C0842">
        <w:t>25</w:t>
      </w:r>
      <w:r w:rsidR="00E31C22" w:rsidRPr="003C0842">
        <w:t>.</w:t>
      </w:r>
      <w:r w:rsidRPr="003C0842">
        <w:t xml:space="preserve"> sesji Rady był wręcz napastliwy w krytyce działalności Victora Raulta jako przewodniczącego Komisji. Podkreślał, że </w:t>
      </w:r>
      <w:r w:rsidR="000450C8" w:rsidRPr="003C0842">
        <w:t>kierowany przez niego organ</w:t>
      </w:r>
      <w:r w:rsidRPr="003C0842">
        <w:t xml:space="preserve"> jest odpowiedzialn</w:t>
      </w:r>
      <w:r w:rsidR="000450C8" w:rsidRPr="003C0842">
        <w:t>y</w:t>
      </w:r>
      <w:r w:rsidRPr="003C0842">
        <w:t xml:space="preserve"> wyłącznie przed Radą L</w:t>
      </w:r>
      <w:r w:rsidR="000450C8" w:rsidRPr="003C0842">
        <w:t>N</w:t>
      </w:r>
      <w:r w:rsidRPr="003C0842">
        <w:t xml:space="preserve"> i tylko od niej mogą pochodzić zalecenia adresowane do – z zasady równoprawnych – członków Komisji. Przyjęta przez Roberta Cecila zasada „krzyżowych pytań”, bardzo przypadła do gustu delegatowi Szwecji, </w:t>
      </w:r>
      <w:r w:rsidR="00E31C22" w:rsidRPr="003C0842">
        <w:t>gdyż</w:t>
      </w:r>
      <w:r w:rsidRPr="003C0842">
        <w:t xml:space="preserve"> pozwoliła w pełni rozpoznać sytuację i przedsięwziąć kroki mające poprawić stosunki między Komisją a miejscową ludnością. </w:t>
      </w:r>
    </w:p>
    <w:p w:rsidR="00A37B68" w:rsidRPr="003C0842" w:rsidRDefault="00406A18" w:rsidP="00111348">
      <w:pPr>
        <w:spacing w:line="360" w:lineRule="auto"/>
        <w:ind w:firstLine="709"/>
      </w:pPr>
      <w:r w:rsidRPr="003C0842">
        <w:t>W sukurs kryty</w:t>
      </w:r>
      <w:r w:rsidR="00A37B68" w:rsidRPr="003C0842">
        <w:t xml:space="preserve">kom pospieszył Antonio Salandra </w:t>
      </w:r>
      <w:r w:rsidR="00164234" w:rsidRPr="003C0842">
        <w:t>–</w:t>
      </w:r>
      <w:r w:rsidR="00A37B68" w:rsidRPr="003C0842">
        <w:t xml:space="preserve"> włoski </w:t>
      </w:r>
      <w:r w:rsidRPr="003C0842">
        <w:t>przewodniczący sesji Rady</w:t>
      </w:r>
      <w:r w:rsidR="00B10929" w:rsidRPr="003C0842">
        <w:t xml:space="preserve">, który stawiał problem </w:t>
      </w:r>
      <w:r w:rsidRPr="003C0842">
        <w:t>zmian w składzie Komisji powoływanej przecież na roczne kadencje. Wrócono do tego pytania na tajnym spotkaniu członków Rady 12 marca 1925 r., kiedy to inny przedstawiciel Włoch prof. Vittorio Scialoja, będący sprawozdawcą Rady w sprawach dotyczących Zagłębia Saary</w:t>
      </w:r>
      <w:r w:rsidR="000450C8" w:rsidRPr="003C0842">
        <w:t>,</w:t>
      </w:r>
      <w:r w:rsidRPr="003C0842">
        <w:t xml:space="preserve"> mówił o „istniejącej tendencji” do zmiany narodowości przewodniczącego Komisji </w:t>
      </w:r>
      <w:r w:rsidR="007F5476" w:rsidRPr="003C0842">
        <w:t>Zarz</w:t>
      </w:r>
      <w:r w:rsidRPr="003C0842">
        <w:t>ądz</w:t>
      </w:r>
      <w:r w:rsidR="007F5476" w:rsidRPr="003C0842">
        <w:t>aj</w:t>
      </w:r>
      <w:r w:rsidRPr="003C0842">
        <w:t>ącej. Uczestniczący w posiedzeniu Aristide Briand chciał zachowa</w:t>
      </w:r>
      <w:r w:rsidR="007F5476" w:rsidRPr="003C0842">
        <w:t xml:space="preserve">ć dotychczasowy skład Komisji, uznając </w:t>
      </w:r>
      <w:r w:rsidR="000450C8" w:rsidRPr="003C0842">
        <w:t>wszakże</w:t>
      </w:r>
      <w:r w:rsidR="007F5476" w:rsidRPr="003C0842">
        <w:t xml:space="preserve"> potrzebę</w:t>
      </w:r>
      <w:r w:rsidRPr="003C0842">
        <w:t xml:space="preserve">przyspieszenia </w:t>
      </w:r>
      <w:r w:rsidR="000450C8" w:rsidRPr="003C0842">
        <w:t>zaleconych</w:t>
      </w:r>
      <w:r w:rsidR="007F5476" w:rsidRPr="003C0842">
        <w:t xml:space="preserve">przez Radę </w:t>
      </w:r>
      <w:r w:rsidRPr="003C0842">
        <w:t>działań.</w:t>
      </w:r>
      <w:r w:rsidR="00043653" w:rsidRPr="003C0842">
        <w:t xml:space="preserve"> Nie godził się z tymdelegat Szwecji </w:t>
      </w:r>
      <w:r w:rsidR="004D7A3E" w:rsidRPr="003C0842">
        <w:t>min</w:t>
      </w:r>
      <w:r w:rsidR="00E31C22" w:rsidRPr="003C0842">
        <w:t>.</w:t>
      </w:r>
      <w:r w:rsidR="00E009F8" w:rsidRPr="003C0842">
        <w:t xml:space="preserve">Bo Osten </w:t>
      </w:r>
      <w:r w:rsidR="00043653" w:rsidRPr="003C0842">
        <w:t>Unden, który</w:t>
      </w:r>
      <w:r w:rsidRPr="003C0842">
        <w:t xml:space="preserve"> przypomniał o zasadzie rotacji w jej łonie, tak aby przedstawiciel kolejnego państwa mógł stanąć na jej czele. W razie odrzucenia przez Radę zasady rotacji zapowiadał zwrócenie się do rządu o dalsze instrukcje. </w:t>
      </w:r>
    </w:p>
    <w:p w:rsidR="00406A18" w:rsidRPr="003C0842" w:rsidRDefault="00406A18" w:rsidP="00111348">
      <w:pPr>
        <w:spacing w:line="360" w:lineRule="auto"/>
        <w:ind w:firstLine="709"/>
      </w:pPr>
      <w:r w:rsidRPr="003C0842">
        <w:t>Trwające przez cały dzień (z przerwą obiadową) dyskusje skłoniły Brianda do ustępstw. Ponaglił go n</w:t>
      </w:r>
      <w:r w:rsidR="000450C8" w:rsidRPr="003C0842">
        <w:t>ajpierw Auste</w:t>
      </w:r>
      <w:r w:rsidRPr="003C0842">
        <w:t>n Chamberlain przypomnieniem deklaracji złożonej na sesji prywatnej Rady o rezygnacji w roku przyszłym z postawienia kandydata brytyjskiego na stanowisku Wysokiego Komisarza w Gdańsku. Delegat Szwecji oczekiwał, że min. Briand złoży analogiczną deklarację w odniesieniu do udziału Francji w Komisji Zagłębia Saary.</w:t>
      </w:r>
      <w:r w:rsidR="000450C8" w:rsidRPr="003C0842">
        <w:t xml:space="preserve">Jakkolwiek </w:t>
      </w:r>
      <w:r w:rsidR="00043653" w:rsidRPr="003C0842">
        <w:t xml:space="preserve">Briand </w:t>
      </w:r>
      <w:r w:rsidRPr="003C0842">
        <w:t>zauważył, że sytuacja obu tych obszarów jest pod wieloma względami różna</w:t>
      </w:r>
      <w:r w:rsidR="000450C8" w:rsidRPr="003C0842">
        <w:t>, to jednak naciskom uległ</w:t>
      </w:r>
      <w:r w:rsidRPr="003C0842">
        <w:rPr>
          <w:rStyle w:val="Odwoanieprzypisudolnego"/>
          <w:rFonts w:ascii="Times New Roman" w:hAnsi="Times New Roman"/>
          <w:sz w:val="24"/>
        </w:rPr>
        <w:footnoteReference w:id="331"/>
      </w:r>
      <w:r w:rsidRPr="003C0842">
        <w:t xml:space="preserve">. </w:t>
      </w:r>
    </w:p>
    <w:p w:rsidR="00406A18" w:rsidRPr="003C0842" w:rsidRDefault="001010DB" w:rsidP="00111348">
      <w:pPr>
        <w:spacing w:line="360" w:lineRule="auto"/>
        <w:ind w:firstLine="709"/>
      </w:pPr>
      <w:r w:rsidRPr="003C0842">
        <w:lastRenderedPageBreak/>
        <w:t>Z</w:t>
      </w:r>
      <w:r w:rsidR="00406A18" w:rsidRPr="003C0842">
        <w:t xml:space="preserve">miany personalne w Komisji </w:t>
      </w:r>
      <w:r w:rsidRPr="003C0842">
        <w:t>Zar</w:t>
      </w:r>
      <w:r w:rsidR="00406A18" w:rsidRPr="003C0842">
        <w:t>ządz</w:t>
      </w:r>
      <w:r w:rsidRPr="003C0842">
        <w:t>aj</w:t>
      </w:r>
      <w:r w:rsidR="00406A18" w:rsidRPr="003C0842">
        <w:t>ącej przypieczętowa</w:t>
      </w:r>
      <w:r w:rsidRPr="003C0842">
        <w:t>ło polokarneńskie odprężenie</w:t>
      </w:r>
      <w:r w:rsidR="00406A18" w:rsidRPr="003C0842">
        <w:t xml:space="preserve">. Od 1926 r. miejsce </w:t>
      </w:r>
      <w:r w:rsidR="003C5D20" w:rsidRPr="003C0842">
        <w:t>Victora Raulta zajął George W. Steph</w:t>
      </w:r>
      <w:r w:rsidR="00406A18" w:rsidRPr="003C0842">
        <w:t>ens</w:t>
      </w:r>
      <w:r w:rsidR="003C5D20" w:rsidRPr="003C0842">
        <w:t>,</w:t>
      </w:r>
      <w:r w:rsidR="00406A18" w:rsidRPr="003C0842">
        <w:t xml:space="preserve"> będący członkiem Komisji już od trzech lat</w:t>
      </w:r>
      <w:r w:rsidR="00043653" w:rsidRPr="003C0842">
        <w:t>;</w:t>
      </w:r>
      <w:r w:rsidR="00406A18" w:rsidRPr="003C0842">
        <w:t xml:space="preserve"> w oficjalnych dokumentach Ligi </w:t>
      </w:r>
      <w:r w:rsidR="00043653" w:rsidRPr="003C0842">
        <w:t xml:space="preserve">występował </w:t>
      </w:r>
      <w:r w:rsidR="00406A18" w:rsidRPr="003C0842">
        <w:t xml:space="preserve">jako członek kanadyjsko-brytyjski. Zamiana ta została przyjęta przez krytyków francuskiej dominacji w Zagłębiu więcej niż dobrze, </w:t>
      </w:r>
      <w:r w:rsidR="00E31C22" w:rsidRPr="003C0842">
        <w:t>gdyż</w:t>
      </w:r>
      <w:r w:rsidR="00406A18" w:rsidRPr="003C0842">
        <w:t xml:space="preserve"> rozpoczęła dekadę „inteligentnego i pozytywnego” zarządu międzynarodowego w Saarze</w:t>
      </w:r>
      <w:r w:rsidR="00406A18" w:rsidRPr="003C0842">
        <w:rPr>
          <w:rStyle w:val="Odwoanieprzypisudolnego"/>
          <w:rFonts w:ascii="Times New Roman" w:hAnsi="Times New Roman"/>
          <w:sz w:val="24"/>
        </w:rPr>
        <w:footnoteReference w:id="332"/>
      </w:r>
      <w:r w:rsidR="00406A18" w:rsidRPr="003C0842">
        <w:t>.</w:t>
      </w:r>
    </w:p>
    <w:p w:rsidR="007F5476" w:rsidRPr="003C0842" w:rsidRDefault="00406A18" w:rsidP="00111348">
      <w:pPr>
        <w:spacing w:line="360" w:lineRule="auto"/>
        <w:ind w:firstLine="709"/>
      </w:pPr>
      <w:r w:rsidRPr="003C0842">
        <w:t xml:space="preserve">Wyeliminowanie Raulta unaoczniło niekorzystną dla Francji ewolucję jej pozycji w ramach systemu wersalskiego. Utracie prymatu w Zagłębiu Saary nie towarzyszyło bowiem zyskanie pozytywnych punktów w Wolnym Mieście Gdańsku. Obserwacji tej powinna towarzyszyć uwaga o różnym, mimo wszystko ciężarze gatunkowym obu obszarów administrowanych przez Ligę. W przypadku Zagłębia Saary dominowały względy gospodarcze, natomiast w Gdańsku polityczne; 15-letni czas obecności Ligi w Saarze kontrastował z nieokreślonym czasowo statusem Wolnego Miasta. </w:t>
      </w:r>
      <w:r w:rsidR="00F052ED" w:rsidRPr="003C0842">
        <w:t>Także te fakty sugerowały i przypominały</w:t>
      </w:r>
      <w:r w:rsidRPr="003C0842">
        <w:t xml:space="preserve"> prowizoryczny charakter wersalskiego porządku pokojowego. Niepraktyczne, wręcz irracjonalne rozwiązanie idei mówiącej o dostępie Polski do morza, bardziej niż osławiony art. 19 Paktu Ligi podpowiadał zmianę układów, których stosowanie stanowi „niebezpieczeństwo dla pokoju świata”</w:t>
      </w:r>
      <w:r w:rsidR="00164234" w:rsidRPr="003C0842">
        <w:t>–</w:t>
      </w:r>
      <w:r w:rsidR="00F052ED" w:rsidRPr="003C0842">
        <w:t xml:space="preserve"> by odwołać się do treści Paktu LN</w:t>
      </w:r>
      <w:r w:rsidRPr="003C0842">
        <w:t xml:space="preserve">. </w:t>
      </w:r>
    </w:p>
    <w:p w:rsidR="00406A18" w:rsidRPr="003C0842" w:rsidRDefault="00406A18" w:rsidP="00111348">
      <w:pPr>
        <w:spacing w:line="360" w:lineRule="auto"/>
        <w:ind w:firstLine="709"/>
      </w:pPr>
      <w:r w:rsidRPr="003C0842">
        <w:t>Wolne Miasto było synonimem niemożliwego do rozwiązania sporu międzynarodowego, który łączył się z silnymi emocjami, zwłaszcza bezpośrednio zainteresowanych. Każdy z licznych sporów polsko-gdańskich utwierdzał strony i aktywnych kibiców w ich stanowisku. Amerykanin Edwin C. Kemp, jeden z 35 konsulów w Wolnym Mieście w 1924 r. pisał do Departamentu Stanu o małej efektywności sporów gdańsko-polskich. Uznał je za „wydawanie pieniędzy, na które ani Gdańska</w:t>
      </w:r>
      <w:r w:rsidR="00E31C22" w:rsidRPr="003C0842">
        <w:t>,</w:t>
      </w:r>
      <w:r w:rsidRPr="003C0842">
        <w:t xml:space="preserve"> ani Polski nie stać. Pieniądze wydawane na podróże i dyskusje w </w:t>
      </w:r>
      <w:r w:rsidR="00E92B7F" w:rsidRPr="003C0842">
        <w:t>Lidze Narodów, k</w:t>
      </w:r>
      <w:r w:rsidRPr="003C0842">
        <w:t>omisje specjalne i propagandę, bez oglądania się na gospodarcze trudności to marnotrawstwo”</w:t>
      </w:r>
      <w:r w:rsidRPr="003C0842">
        <w:rPr>
          <w:rStyle w:val="Odwoanieprzypisudolnego"/>
          <w:rFonts w:ascii="Times New Roman" w:hAnsi="Times New Roman"/>
          <w:sz w:val="24"/>
        </w:rPr>
        <w:footnoteReference w:id="333"/>
      </w:r>
      <w:r w:rsidRPr="003C0842">
        <w:t>.</w:t>
      </w:r>
    </w:p>
    <w:p w:rsidR="00406A18" w:rsidRPr="003C0842" w:rsidRDefault="00406A18" w:rsidP="00111348">
      <w:pPr>
        <w:spacing w:line="360" w:lineRule="auto"/>
        <w:ind w:firstLine="709"/>
      </w:pPr>
      <w:r w:rsidRPr="003C0842">
        <w:t xml:space="preserve">Wolne Miasto było dla wielu stron </w:t>
      </w:r>
      <w:r w:rsidR="007F5476" w:rsidRPr="003C0842">
        <w:t>ważnym</w:t>
      </w:r>
      <w:r w:rsidRPr="003C0842">
        <w:t xml:space="preserve"> obiektem</w:t>
      </w:r>
      <w:r w:rsidR="007F5476" w:rsidRPr="003C0842">
        <w:t xml:space="preserve"> politycznych</w:t>
      </w:r>
      <w:r w:rsidRPr="003C0842">
        <w:t xml:space="preserve"> spekulacji. Jednak dla Londynu miało ono znaczenie jako jeden, relatywnie skromny, ale ważny punkt polityki proniemieckiej i antyfrancuskiej. Brytyjskich Wysokich Komisarzy interesowały głównie sprawy związane z funkcjonowaniem portu oraz walutą. Generalnie przeciwni lub co najmniej niechętni wpływom polskim w Wolnym Mieście wynosili jego znaczenie, aż po traktowanie go jako państwa. Problem ten, przewijający się w różnych elementach polsko-</w:t>
      </w:r>
      <w:r w:rsidRPr="003C0842">
        <w:lastRenderedPageBreak/>
        <w:t>gdańskich zmagań stanął „na ostro” gdy Mac Donnell jako Wysoki Komisarz LN 7 listopada 1924 r. zatwierdzał polsko-gdańską umowę handlową, a Rada przystąpiła do jej ratyfikacji. Problem dyskutowany na tajnej sesji 10 i 11 marca 1925 r. zmierzał w kierunku ograniczania uprawnień polskich w zakresie prowadzenia polityki zagranicznej Gdańska na rzecz Ligi oraz czynnika samorządowego. Mac Donnell zwracał uwagę członkom Rady na niezwykłe wyczulenie miejscowej ludności, łatwej do podburzenia i manipulowania. Ale też „Polska sądzi, że wszystkie zarządzenia są skierowane przeciwko niej”</w:t>
      </w:r>
      <w:r w:rsidRPr="003C0842">
        <w:rPr>
          <w:rStyle w:val="Odwoanieprzypisudolnego"/>
          <w:rFonts w:ascii="Times New Roman" w:hAnsi="Times New Roman"/>
          <w:sz w:val="24"/>
        </w:rPr>
        <w:footnoteReference w:id="334"/>
      </w:r>
      <w:r w:rsidRPr="003C0842">
        <w:t xml:space="preserve">. </w:t>
      </w:r>
    </w:p>
    <w:p w:rsidR="00406A18" w:rsidRPr="003C0842" w:rsidRDefault="00406A18" w:rsidP="00111348">
      <w:pPr>
        <w:spacing w:line="360" w:lineRule="auto"/>
        <w:ind w:firstLine="709"/>
      </w:pPr>
      <w:r w:rsidRPr="003C0842">
        <w:t>Słowa te wiązały się ze zupełnie świeżym</w:t>
      </w:r>
      <w:r w:rsidR="00043653" w:rsidRPr="003C0842">
        <w:t>,</w:t>
      </w:r>
      <w:r w:rsidRPr="003C0842">
        <w:t xml:space="preserve"> bo wydanym 2 lutego 1925 r. zarządzeniem zakazującym Polsce instalowania skrzynek pocztowych poza budynkiem Poczty Polskiej. Po skardze strony polskiej, opinii STSM, Rada 11 czerwca 1925 r. nie uznała decyzji swego przedstawiciela w Wolnym Mieście. W przyjętym jednocześnie regulaminie ograniczono jego rolę jako arbitra w sporach na rzecz organu oferującego usługi pośrednika. Miało to zmniejszyć falę sporów gdańskich wprowadzanych do porządku kolejnych sesji Rady. Byli tym zainteresowani także Brytyjczycy, którzy występując w grudniu 1924 r. o kolejne przedłużenie dla Mac Donnella w Wolnym Mieście</w:t>
      </w:r>
      <w:r w:rsidR="00E31C22" w:rsidRPr="003C0842">
        <w:t>,</w:t>
      </w:r>
      <w:r w:rsidRPr="003C0842">
        <w:t xml:space="preserve"> zapowiedzieli, że w przyszłości rząd brytyjski nie będzie rekomendował na to stanowisko swego obywatela.</w:t>
      </w:r>
    </w:p>
    <w:p w:rsidR="005B6D74" w:rsidRPr="003C0842" w:rsidRDefault="00406A18" w:rsidP="00111348">
      <w:pPr>
        <w:spacing w:line="360" w:lineRule="auto"/>
        <w:ind w:firstLine="709"/>
      </w:pPr>
      <w:r w:rsidRPr="003C0842">
        <w:t>Próby odejścia od tego zobowiązania w kontekście zmian spowodowanych przez porozumienia lokarneńskie, częściowo inspirowane przez samego Mac Donnella oraz środowiska filogermańskie Sekretariatu</w:t>
      </w:r>
      <w:r w:rsidR="00F052ED" w:rsidRPr="003C0842">
        <w:t>,</w:t>
      </w:r>
      <w:r w:rsidRPr="003C0842">
        <w:t xml:space="preserve"> nie przyniosły efektu. „Monopol brytyjski” w Wolnym Mieście został </w:t>
      </w:r>
      <w:r w:rsidR="007F5476" w:rsidRPr="003C0842">
        <w:t xml:space="preserve">utracony </w:t>
      </w:r>
      <w:r w:rsidRPr="003C0842">
        <w:t xml:space="preserve">przez decyzję Rady powziętą 12 grudnia 1925 r. powołującą na Wysokiego Komisarza Joasta van Hamela, holenderskiego prawnika, będącego od zarania Ligi dyrektorem Sekcji Prawnej. Działalność na tym polu przysporzyła mu wrogów w obozach, które opinie prawne Sekretariatu uznawały za krzywdzące. To jeden z głównych powodów, że van Hamel nie miał dobrej prasy w Niemczech. </w:t>
      </w:r>
    </w:p>
    <w:p w:rsidR="00406A18" w:rsidRPr="003C0842" w:rsidRDefault="00406A18" w:rsidP="00111348">
      <w:pPr>
        <w:spacing w:line="360" w:lineRule="auto"/>
        <w:ind w:firstLine="709"/>
      </w:pPr>
      <w:r w:rsidRPr="003C0842">
        <w:t>O tych zastrzeżeniach wobec kandydata na Wysokiego Komisarza w Gdańsku mówił sir Austen Chamberlain podczas tajnego posiedzenia Rady 12 grudnia 1925 r. Skoro Niemcy uważają go za wroga, to misja łączenia stron będzie bardzo trudna.</w:t>
      </w:r>
      <w:r w:rsidR="00413C94" w:rsidRPr="003C0842">
        <w:t>Sekretarz g</w:t>
      </w:r>
      <w:r w:rsidRPr="003C0842">
        <w:t xml:space="preserve">eneralny wyjaśniał, że projekt nominacji van Hamela wywołał wielkie zainteresowanie i „gwałtowne ataki Niemiec” </w:t>
      </w:r>
      <w:r w:rsidR="007F5476" w:rsidRPr="003C0842">
        <w:t>głównie dlatego, że uczestniczył on</w:t>
      </w:r>
      <w:r w:rsidRPr="003C0842">
        <w:t xml:space="preserve"> przy podejmowaniu decyzji dotyczącej</w:t>
      </w:r>
      <w:r w:rsidR="007F5476" w:rsidRPr="003C0842">
        <w:t xml:space="preserve"> podziału</w:t>
      </w:r>
      <w:r w:rsidR="00413C94" w:rsidRPr="003C0842">
        <w:t xml:space="preserve"> Górnego Śląska. Sekretarz g</w:t>
      </w:r>
      <w:r w:rsidRPr="003C0842">
        <w:t xml:space="preserve">eneralny </w:t>
      </w:r>
      <w:r w:rsidR="007F5476" w:rsidRPr="003C0842">
        <w:t xml:space="preserve">przypomniał, że </w:t>
      </w:r>
      <w:r w:rsidRPr="003C0842">
        <w:t xml:space="preserve">van Hamel wykonywał </w:t>
      </w:r>
      <w:r w:rsidR="007F5476" w:rsidRPr="003C0842">
        <w:t xml:space="preserve">wówczas </w:t>
      </w:r>
      <w:r w:rsidRPr="003C0842">
        <w:t xml:space="preserve">powierzone mu przez Radę zadanie o charakterze prawnym. Zarzuty braku obiektywizmu oraz stronniczość formułowane przez „nacjonalistów niemieckich i gdańskich” </w:t>
      </w:r>
      <w:r w:rsidRPr="003C0842">
        <w:lastRenderedPageBreak/>
        <w:t xml:space="preserve">stawiały </w:t>
      </w:r>
      <w:r w:rsidR="007F5476" w:rsidRPr="003C0842">
        <w:t>go</w:t>
      </w:r>
      <w:r w:rsidRPr="003C0842">
        <w:t xml:space="preserve"> w bardzo trudnej sytuacji, sugerującej konieczność dymisji jako pracownika Sekretariatu</w:t>
      </w:r>
      <w:r w:rsidR="007F5476" w:rsidRPr="003C0842">
        <w:t xml:space="preserve">. </w:t>
      </w:r>
      <w:r w:rsidRPr="003C0842">
        <w:t xml:space="preserve">Paula Hymansa zirytowała </w:t>
      </w:r>
      <w:r w:rsidR="007F5476" w:rsidRPr="003C0842">
        <w:t xml:space="preserve">sama </w:t>
      </w:r>
      <w:r w:rsidRPr="003C0842">
        <w:t>interwencja dr</w:t>
      </w:r>
      <w:r w:rsidR="00E31C22" w:rsidRPr="003C0842">
        <w:t>.</w:t>
      </w:r>
      <w:r w:rsidRPr="003C0842">
        <w:t xml:space="preserve"> Sahma u Chamberlaina z intencją wymuszenia na Radzie jakiejś decyzji bardziej dogadzającej Senatowi Gdańskiemu. Kandydaturę van Hamela uważał za bardzo dobrą</w:t>
      </w:r>
      <w:r w:rsidR="00E31C22" w:rsidRPr="003C0842">
        <w:t>,</w:t>
      </w:r>
      <w:r w:rsidRPr="003C0842">
        <w:t xml:space="preserve"> o czym mogli przekonać się członkowie Rady w ciągu sześciu lat jego pracy w Sekretariacie, gdzie szanowano jego kompetencje prawnicze, bezstronność i koncyliacyjność. Skoro Chamberlain</w:t>
      </w:r>
      <w:r w:rsidR="005B6D74" w:rsidRPr="003C0842">
        <w:t>,</w:t>
      </w:r>
      <w:r w:rsidRPr="003C0842">
        <w:t xml:space="preserve"> po ponad dwóch godzinach dyskusji zgodził się, że nie ma wątpliwości co do bezstronności van Hamela</w:t>
      </w:r>
      <w:r w:rsidR="005B6D74" w:rsidRPr="003C0842">
        <w:t>,</w:t>
      </w:r>
      <w:r w:rsidRPr="003C0842">
        <w:t xml:space="preserve"> to problem podania do wiadomości kandydata na przyszłego Wysokiego Komisarza został rozstrzygnięty</w:t>
      </w:r>
      <w:r w:rsidRPr="003C0842">
        <w:rPr>
          <w:rStyle w:val="Odwoanieprzypisudolnego"/>
          <w:rFonts w:ascii="Times New Roman" w:hAnsi="Times New Roman"/>
          <w:sz w:val="24"/>
        </w:rPr>
        <w:footnoteReference w:id="335"/>
      </w:r>
      <w:r w:rsidRPr="003C0842">
        <w:t>.</w:t>
      </w:r>
    </w:p>
    <w:p w:rsidR="00406A18" w:rsidRPr="003C0842" w:rsidRDefault="00406A18" w:rsidP="00111348">
      <w:pPr>
        <w:spacing w:line="360" w:lineRule="auto"/>
        <w:ind w:firstLine="709"/>
      </w:pPr>
      <w:r w:rsidRPr="003C0842">
        <w:t xml:space="preserve">Pokłosie tej debaty, odzwierciedlające naciski gdańsko-niemieckie na Wielką Brytanię, towarzyszyło działalności van Hamela w Gdańsku przez trzy lata. Były to lata inne niż poprzednie. Jednak koniec „monopolu brytyjskiego” w Wolnym Mieście nie oznaczał pełnej rejterady. </w:t>
      </w:r>
      <w:r w:rsidR="00F052ED" w:rsidRPr="003C0842">
        <w:t>Brytyjczycy od 1926 r., w</w:t>
      </w:r>
      <w:r w:rsidR="00D630AE">
        <w:t xml:space="preserve"> </w:t>
      </w:r>
      <w:r w:rsidRPr="003C0842">
        <w:t>ramach podziału zadań wśród członków Rady</w:t>
      </w:r>
      <w:r w:rsidR="00F052ED" w:rsidRPr="003C0842">
        <w:t>, wzięli na swoje barki</w:t>
      </w:r>
      <w:r w:rsidR="00D630AE">
        <w:t xml:space="preserve"> </w:t>
      </w:r>
      <w:r w:rsidR="00F052ED" w:rsidRPr="003C0842">
        <w:t xml:space="preserve">rolę </w:t>
      </w:r>
      <w:r w:rsidRPr="003C0842">
        <w:t>spra</w:t>
      </w:r>
      <w:r w:rsidR="00F052ED" w:rsidRPr="003C0842">
        <w:t>wozdawców</w:t>
      </w:r>
      <w:r w:rsidR="00C35E94" w:rsidRPr="003C0842">
        <w:t xml:space="preserve"> spraw gdańskich</w:t>
      </w:r>
      <w:r w:rsidRPr="003C0842">
        <w:rPr>
          <w:rStyle w:val="Odwoanieprzypisudolnego"/>
          <w:rFonts w:ascii="Times New Roman" w:hAnsi="Times New Roman"/>
          <w:sz w:val="24"/>
        </w:rPr>
        <w:footnoteReference w:id="336"/>
      </w:r>
      <w:r w:rsidR="00C35E94" w:rsidRPr="003C0842">
        <w:t>.</w:t>
      </w:r>
      <w:r w:rsidRPr="003C0842">
        <w:t xml:space="preserve"> W roli tej, z której nie zrezygnowali aż do wybuchu wojny</w:t>
      </w:r>
      <w:r w:rsidR="00D75EDF" w:rsidRPr="003C0842">
        <w:t>,</w:t>
      </w:r>
      <w:r w:rsidRPr="003C0842">
        <w:t xml:space="preserve"> mimo oczywistych uciążliwości polityczno-dyplomatycznych, znajdowali doskonałe uzasadnienie dla trzymania w swych rękach spraw szczególnie newralgicznych. Uwypukla to rolę Wolnego Miasta w całokształcie polityki europejskiej i podpowiada traktowanie Gdańska jako elementu polityki </w:t>
      </w:r>
      <w:r w:rsidR="00D75EDF" w:rsidRPr="003C0842">
        <w:t>appeasementu</w:t>
      </w:r>
      <w:r w:rsidRPr="003C0842">
        <w:t xml:space="preserve"> z wszystkimi tego konsekwencjami.</w:t>
      </w:r>
    </w:p>
    <w:p w:rsidR="002E0027" w:rsidRPr="003C0842" w:rsidRDefault="00406A18" w:rsidP="00111348">
      <w:pPr>
        <w:spacing w:line="360" w:lineRule="auto"/>
        <w:ind w:firstLine="709"/>
      </w:pPr>
      <w:r w:rsidRPr="003C0842">
        <w:t>Zarówno w tej, jak i szeregu innych kwestiach angażujących rząd JKM, rachuby na lojalną współpracę osób zatrudnionych w Sekretariacie były na ogół zasadne. Wprawdzie nie wchodziło w grę, przynajmniej w odniesieniu do urzędników z</w:t>
      </w:r>
      <w:r w:rsidR="005B6D74" w:rsidRPr="003C0842">
        <w:t>e Wspólnoty Narodów(</w:t>
      </w:r>
      <w:r w:rsidR="002E0027" w:rsidRPr="003C0842">
        <w:rPr>
          <w:rStyle w:val="notranslate"/>
          <w:bCs/>
        </w:rPr>
        <w:t>British Commonwealth</w:t>
      </w:r>
      <w:r w:rsidR="005B6D74" w:rsidRPr="003C0842">
        <w:t>)</w:t>
      </w:r>
      <w:r w:rsidRPr="003C0842">
        <w:t xml:space="preserve">, traktowanie ich jako </w:t>
      </w:r>
      <w:r w:rsidR="002E0027" w:rsidRPr="003C0842">
        <w:t xml:space="preserve">bezwolnych </w:t>
      </w:r>
      <w:r w:rsidRPr="003C0842">
        <w:t xml:space="preserve">wykonawców dyrektyw Londynu. </w:t>
      </w:r>
      <w:r w:rsidR="002E0027" w:rsidRPr="003C0842">
        <w:t>Pamiętano wszakże dobrze, że</w:t>
      </w:r>
      <w:r w:rsidRPr="003C0842">
        <w:t xml:space="preserve"> wszystkie posady (poza </w:t>
      </w:r>
      <w:r w:rsidR="00413C94" w:rsidRPr="003C0842">
        <w:t>s</w:t>
      </w:r>
      <w:r w:rsidRPr="003C0842">
        <w:t xml:space="preserve">ekretarzem </w:t>
      </w:r>
      <w:r w:rsidR="00413C94" w:rsidRPr="003C0842">
        <w:t>g</w:t>
      </w:r>
      <w:r w:rsidRPr="003C0842">
        <w:t>eneralnym) miały charakter kontraktów na 3, 5</w:t>
      </w:r>
      <w:r w:rsidR="00E31C22" w:rsidRPr="003C0842">
        <w:t>,</w:t>
      </w:r>
      <w:r w:rsidRPr="003C0842">
        <w:t xml:space="preserve"> ewentualnie 7 lat, po których powrót do służby krajowej mógł być obciążony różnymi </w:t>
      </w:r>
      <w:r w:rsidR="002E0027" w:rsidRPr="003C0842">
        <w:t xml:space="preserve">uwagami i </w:t>
      </w:r>
      <w:r w:rsidRPr="003C0842">
        <w:t xml:space="preserve">doświadczeniami. Z zasady więc angażowanie się urzędników Sekretariatu </w:t>
      </w:r>
      <w:r w:rsidR="00D75EDF" w:rsidRPr="003C0842">
        <w:t xml:space="preserve">w spory </w:t>
      </w:r>
      <w:r w:rsidRPr="003C0842">
        <w:t xml:space="preserve">państwu swego pochodzenia było nie tylko rzadkie, ale i </w:t>
      </w:r>
      <w:r w:rsidR="00D75EDF" w:rsidRPr="003C0842">
        <w:t>źle</w:t>
      </w:r>
      <w:r w:rsidRPr="003C0842">
        <w:t xml:space="preserve"> widziane przez liderów Ligi. Za oczywiste, nawet do pewnego stopnia normalne uznawała opinia międzynarodowa sytuacje odwrotne. </w:t>
      </w:r>
    </w:p>
    <w:p w:rsidR="00E92B7F" w:rsidRPr="003C0842" w:rsidRDefault="002E0027" w:rsidP="00111348">
      <w:pPr>
        <w:spacing w:line="360" w:lineRule="auto"/>
        <w:ind w:firstLine="709"/>
      </w:pPr>
      <w:r w:rsidRPr="003C0842">
        <w:lastRenderedPageBreak/>
        <w:t>W</w:t>
      </w:r>
      <w:r w:rsidR="00406A18" w:rsidRPr="003C0842">
        <w:t xml:space="preserve">szystkie </w:t>
      </w:r>
      <w:r w:rsidRPr="003C0842">
        <w:t xml:space="preserve">przeto </w:t>
      </w:r>
      <w:r w:rsidR="00406A18" w:rsidRPr="003C0842">
        <w:t>państwa zabiegały, aby mieć w Sekretariacie swoich</w:t>
      </w:r>
      <w:r w:rsidR="008E3B83" w:rsidRPr="003C0842">
        <w:t xml:space="preserve"> rodaków</w:t>
      </w:r>
      <w:r w:rsidR="00406A18" w:rsidRPr="003C0842">
        <w:t>. Do tej specyficznej rywalizacji włączały się także różne grupy nacisku wypowiadające się w imieniu narodów pozbawionych państw narodowych – Macedończyków, Ormian, Ukraińców, Żydów</w:t>
      </w:r>
      <w:r w:rsidR="00D75EDF" w:rsidRPr="003C0842">
        <w:t>. Osobną grupę nacisku stanowiły różne,</w:t>
      </w:r>
      <w:r w:rsidR="00406A18" w:rsidRPr="003C0842">
        <w:t xml:space="preserve"> liczn</w:t>
      </w:r>
      <w:r w:rsidR="00D75EDF" w:rsidRPr="003C0842">
        <w:t>e</w:t>
      </w:r>
      <w:r w:rsidR="00406A18" w:rsidRPr="003C0842">
        <w:t xml:space="preserve"> organizacj</w:t>
      </w:r>
      <w:r w:rsidR="00D75EDF" w:rsidRPr="003C0842">
        <w:t>e</w:t>
      </w:r>
      <w:r w:rsidR="00406A18" w:rsidRPr="003C0842">
        <w:t xml:space="preserve"> kobiec</w:t>
      </w:r>
      <w:r w:rsidR="00D75EDF" w:rsidRPr="003C0842">
        <w:t>e</w:t>
      </w:r>
      <w:r w:rsidR="00406A18" w:rsidRPr="003C0842">
        <w:t xml:space="preserve"> i religijn</w:t>
      </w:r>
      <w:r w:rsidR="00D75EDF" w:rsidRPr="003C0842">
        <w:t>e</w:t>
      </w:r>
      <w:r w:rsidR="00406A18" w:rsidRPr="003C0842">
        <w:t>, rzeczni</w:t>
      </w:r>
      <w:r w:rsidR="00D75EDF" w:rsidRPr="003C0842">
        <w:t>cy</w:t>
      </w:r>
      <w:r w:rsidR="00406A18" w:rsidRPr="003C0842">
        <w:t xml:space="preserve"> równości rasowych itp. Drabinę zależności zwiększały preferencje narodowościowe dyrektorów sekcji, którzy zasadniczo sami organizowali sobie najbliższych współpracowników. W miarę rosnącej krytyki podobnych praktyk i </w:t>
      </w:r>
      <w:r w:rsidR="00D75EDF" w:rsidRPr="003C0842">
        <w:t>oskarże</w:t>
      </w:r>
      <w:r w:rsidR="008E3B83" w:rsidRPr="003C0842">
        <w:t>ń</w:t>
      </w:r>
      <w:r w:rsidR="00406A18" w:rsidRPr="003C0842">
        <w:t xml:space="preserve"> o uprawianie</w:t>
      </w:r>
      <w:r w:rsidR="008E3B83" w:rsidRPr="003C0842">
        <w:t xml:space="preserve"> narodowej</w:t>
      </w:r>
      <w:r w:rsidR="00406A18" w:rsidRPr="003C0842">
        <w:t xml:space="preserve"> polityki za składkowe pieniądze</w:t>
      </w:r>
      <w:r w:rsidR="00D75EDF" w:rsidRPr="003C0842">
        <w:t>,</w:t>
      </w:r>
      <w:r w:rsidR="00406A18" w:rsidRPr="003C0842">
        <w:t xml:space="preserve"> względy narodowościowo-państwowe zostały uznane za równie ważne jak</w:t>
      </w:r>
      <w:r w:rsidR="008E3B83" w:rsidRPr="003C0842">
        <w:t xml:space="preserve"> kompetencje, w</w:t>
      </w:r>
      <w:r w:rsidR="00406A18" w:rsidRPr="003C0842">
        <w:t>eryfikowane przez konkurs</w:t>
      </w:r>
      <w:r w:rsidR="008E3B83" w:rsidRPr="003C0842">
        <w:t>y</w:t>
      </w:r>
      <w:r w:rsidR="00406A18" w:rsidRPr="003C0842">
        <w:t>. Zainteresowanie składem narodowościowym Sekretariatu, zawsze duże</w:t>
      </w:r>
      <w:r w:rsidR="00406A18" w:rsidRPr="003C0842">
        <w:rPr>
          <w:rStyle w:val="Odwoanieprzypisudolnego"/>
          <w:rFonts w:ascii="Times New Roman" w:hAnsi="Times New Roman"/>
          <w:sz w:val="24"/>
        </w:rPr>
        <w:footnoteReference w:id="337"/>
      </w:r>
      <w:r w:rsidR="00406A18" w:rsidRPr="003C0842">
        <w:t>, wzmogło się w miarę zbliżania się do Genewy mocarstwa, które oczekiwało na równe traktowanie, zwłaszcza z Francją. Dodatkowym argumentem było ustalenie jednakowej wysokości ich składki</w:t>
      </w:r>
      <w:r w:rsidR="00D75EDF" w:rsidRPr="003C0842">
        <w:t xml:space="preserve"> wnoszonej do wspólnej kasy.</w:t>
      </w:r>
    </w:p>
    <w:p w:rsidR="00406A18" w:rsidRPr="003C0842" w:rsidRDefault="00406A18" w:rsidP="00111348">
      <w:pPr>
        <w:spacing w:line="360" w:lineRule="auto"/>
        <w:ind w:firstLine="709"/>
      </w:pPr>
      <w:r w:rsidRPr="003C0842">
        <w:t xml:space="preserve">Była to jednak broń obosieczna, gdyż kilkanaście państw uczestniczących we wspólnym finansowaniu Ligi nie miało żadnego rodaka wśród pracowników Sekretariatu. Skoro celu tego nie zdołano osiągnąć, to napływ Niemców jeszcze bardziej zmniejszy ich szansę. </w:t>
      </w:r>
      <w:r w:rsidR="004E6434" w:rsidRPr="003C0842">
        <w:t>W</w:t>
      </w:r>
      <w:r w:rsidRPr="003C0842">
        <w:t xml:space="preserve"> 1925 r. </w:t>
      </w:r>
      <w:r w:rsidR="004E6434" w:rsidRPr="003C0842">
        <w:t xml:space="preserve">nasilił </w:t>
      </w:r>
      <w:r w:rsidRPr="003C0842">
        <w:t>się swoisty wyścig zabiegów o obsadzenie „swoimi” ludźmi możliwie jak najwięc</w:t>
      </w:r>
      <w:r w:rsidR="00413C94" w:rsidRPr="003C0842">
        <w:t>ej stanowisk. Reakcją sekretarza g</w:t>
      </w:r>
      <w:r w:rsidRPr="003C0842">
        <w:t>eneralnego na tę presję był poufny okólnik z 4 lipca 1925 r. wzywający dyrektorów sekcji do oferowania pracy w Sekretariacie kandydatom państw, które nie mają swoich obywateli wśród pracowników Ligi. Dyrektorzy mieli „uczynić wszystko co możliwe”</w:t>
      </w:r>
      <w:r w:rsidR="003A0BBD" w:rsidRPr="003C0842">
        <w:t>,</w:t>
      </w:r>
      <w:r w:rsidRPr="003C0842">
        <w:t xml:space="preserve"> aby zmienić istniejący stan rzeczy i „zapewnić jak najpełniejsze przedstawicielstwo możliwie wszystkich państw członkowskich w Sekretariacie”. O powadze sytuacji świadczyła dołączona do apelu lista zawierająca 19 wymienionych z nazwy państw</w:t>
      </w:r>
      <w:r w:rsidRPr="003C0842">
        <w:rPr>
          <w:rStyle w:val="Odwoanieprzypisudolnego"/>
          <w:rFonts w:ascii="Times New Roman" w:hAnsi="Times New Roman"/>
          <w:sz w:val="24"/>
        </w:rPr>
        <w:footnoteReference w:id="338"/>
      </w:r>
      <w:r w:rsidRPr="003C0842">
        <w:t>.</w:t>
      </w:r>
    </w:p>
    <w:p w:rsidR="00406A18" w:rsidRPr="003C0842" w:rsidRDefault="00406A18" w:rsidP="00413C94">
      <w:pPr>
        <w:tabs>
          <w:tab w:val="left" w:pos="6096"/>
        </w:tabs>
        <w:spacing w:line="360" w:lineRule="auto"/>
        <w:ind w:firstLine="709"/>
      </w:pPr>
      <w:r w:rsidRPr="003C0842">
        <w:lastRenderedPageBreak/>
        <w:t>Kwestia ta znalazła się również w „ściśle tajnym” memorandum przedstawionym przez Drummonda członkom Rady. Dyskusja nad nim trwała 14 i 15 grudnia 1925 r.</w:t>
      </w:r>
      <w:r w:rsidR="00C35E94" w:rsidRPr="003C0842">
        <w:t xml:space="preserve">; </w:t>
      </w:r>
      <w:r w:rsidRPr="003C0842">
        <w:t>przewodnic</w:t>
      </w:r>
      <w:r w:rsidR="00C35E94" w:rsidRPr="003C0842">
        <w:t>zył</w:t>
      </w:r>
      <w:r w:rsidRPr="003C0842">
        <w:t xml:space="preserve"> Vittorio Scia</w:t>
      </w:r>
      <w:r w:rsidR="00C35E94" w:rsidRPr="003C0842">
        <w:t>loja. R</w:t>
      </w:r>
      <w:r w:rsidRPr="003C0842">
        <w:t>ozważa</w:t>
      </w:r>
      <w:r w:rsidR="00C35E94" w:rsidRPr="003C0842">
        <w:t>jąc</w:t>
      </w:r>
      <w:r w:rsidRPr="003C0842">
        <w:t xml:space="preserve"> zmiany personalne w Sekretariacie</w:t>
      </w:r>
      <w:r w:rsidR="00C35E94" w:rsidRPr="003C0842">
        <w:t>,</w:t>
      </w:r>
      <w:r w:rsidRPr="003C0842">
        <w:t xml:space="preserve"> ubolewano (Paul-Boncour, Hymans) nad zapowiedzianą już dymisją Paula Mantoux, co wymuszało obsadzenia stanowiska dyrektora newralgicznej sekcji politycznej. </w:t>
      </w:r>
      <w:r w:rsidR="004E6434" w:rsidRPr="003C0842">
        <w:t>Zebranym bardzo odpowiadało sugerowane</w:t>
      </w:r>
      <w:r w:rsidR="00413C94" w:rsidRPr="003C0842">
        <w:t xml:space="preserve"> przez sekretarza g</w:t>
      </w:r>
      <w:r w:rsidRPr="003C0842">
        <w:t>eneralnego obsadzenie zwolnionej funkcji przez przedstawiciela nieeuropejskiego mocarstwa. W tym duchu wypowiedzieli się Paul-Boncour, Benesz i Hymans. Ten ostatni stawiając kropkę na „i” dodał, że rozważane oddanie tego stanowiska w ręce niemieckie wywarłoby bardzo złe wrażenie w „określonych kołach”</w:t>
      </w:r>
      <w:r w:rsidRPr="003C0842">
        <w:rPr>
          <w:rStyle w:val="Odwoanieprzypisudolnego"/>
          <w:rFonts w:ascii="Times New Roman" w:hAnsi="Times New Roman"/>
          <w:sz w:val="24"/>
        </w:rPr>
        <w:footnoteReference w:id="339"/>
      </w:r>
      <w:r w:rsidRPr="003C0842">
        <w:t>.</w:t>
      </w:r>
    </w:p>
    <w:p w:rsidR="00406A18" w:rsidRPr="003C0842" w:rsidRDefault="00406A18" w:rsidP="00111348">
      <w:pPr>
        <w:spacing w:line="360" w:lineRule="auto"/>
        <w:ind w:firstLine="709"/>
      </w:pPr>
      <w:r w:rsidRPr="003C0842">
        <w:t>Okolicznością dodatkową, dobrze znaną</w:t>
      </w:r>
      <w:r w:rsidR="003A0BBD" w:rsidRPr="003C0842">
        <w:t>,</w:t>
      </w:r>
      <w:r w:rsidRPr="003C0842">
        <w:t xml:space="preserve"> chociaż nie eksponowaną</w:t>
      </w:r>
      <w:r w:rsidR="006F260F" w:rsidRPr="003C0842">
        <w:t>,</w:t>
      </w:r>
      <w:r w:rsidRPr="003C0842">
        <w:t xml:space="preserve"> był „profil ideowy” dyplomacji niemieckiej o zakorzenionych wpływach prawicowo-monarchistycznych. Z tych też kręgów</w:t>
      </w:r>
      <w:r w:rsidR="006F260F" w:rsidRPr="003C0842">
        <w:t>,</w:t>
      </w:r>
      <w:r w:rsidRPr="003C0842">
        <w:t xml:space="preserve"> zdominowanych przez korporacje „Borussia” czy </w:t>
      </w:r>
      <w:r w:rsidR="008E3B83" w:rsidRPr="003C0842">
        <w:t>„</w:t>
      </w:r>
      <w:r w:rsidRPr="003C0842">
        <w:t>Teutonia”</w:t>
      </w:r>
      <w:r w:rsidR="006F260F" w:rsidRPr="003C0842">
        <w:t>,</w:t>
      </w:r>
      <w:r w:rsidRPr="003C0842">
        <w:t xml:space="preserve"> rekrutowali się urzędnicy służby zagranicznej Republiki Weimarskiej, w tym też personel Referatu Ligi Narodów. Rozziew między nacjonalistami wszelkiej maści a filozofią Ligi był ogromny, nieprzezwyciężalny. Ważyło to bardzo na wyborze i doborze niemieckiego personelu do pracy w Sekretariacie. Rozterki na Wilhelmstrasse nie były skrywane</w:t>
      </w:r>
      <w:r w:rsidR="003A0BBD" w:rsidRPr="003C0842">
        <w:t>,</w:t>
      </w:r>
      <w:r w:rsidRPr="003C0842">
        <w:t xml:space="preserve"> skoro już w połowie 1924 r. mówiono tam o „braku odpowiedniego męża stanu</w:t>
      </w:r>
      <w:r w:rsidR="006F260F" w:rsidRPr="003C0842">
        <w:t>”</w:t>
      </w:r>
      <w:r w:rsidRPr="003C0842">
        <w:t xml:space="preserve"> na stanowisko pierwszego reprezentanta Niemiec w Genewie. Prestiżem osobistym powinien on pokazywać „tradycje wielkiej przedwojennej Rzeszy niemieckiej”. Powinien wybijać się ponad przedstawicieli innych państw w Genewie</w:t>
      </w:r>
      <w:r w:rsidRPr="003C0842">
        <w:rPr>
          <w:rStyle w:val="Odwoanieprzypisudolnego"/>
          <w:rFonts w:ascii="Times New Roman" w:hAnsi="Times New Roman"/>
          <w:sz w:val="24"/>
        </w:rPr>
        <w:footnoteReference w:id="340"/>
      </w:r>
      <w:r w:rsidRPr="003C0842">
        <w:t>.</w:t>
      </w:r>
    </w:p>
    <w:p w:rsidR="00406A18" w:rsidRPr="003C0842" w:rsidRDefault="00406A18" w:rsidP="00111348">
      <w:pPr>
        <w:spacing w:line="360" w:lineRule="auto"/>
        <w:ind w:firstLine="709"/>
      </w:pPr>
      <w:r w:rsidRPr="003C0842">
        <w:t xml:space="preserve">Jakkolwiek jest to opinia posła polskiego mającego liczne obawy i zastrzeżenia do polityki międzynarodowej realizowanej w Berlinie, to jednak przedstawiony obraz koresponduje z prowadzonymi przez cały czas rokowaniami. </w:t>
      </w:r>
      <w:r w:rsidR="00441ADB" w:rsidRPr="003C0842">
        <w:t xml:space="preserve">Toczyły się one </w:t>
      </w:r>
      <w:r w:rsidRPr="003C0842">
        <w:t>na różnych płaszczyznach – od polityczno-dyplomatycznych po organizacyjną, przy dużym zainteresowaniu organizacji międzynarodowych oraz krajowych grup interesów. Różne konflikty na tym tle znajdowały odbicie w prasie, która podgrzewała temperaturę sporów także za pomocą informacji dezawuujących konkurencję. Znajdujący się w „oku cyklonu” min. Stresemann w końcu 1925 r. sięgnął po intrygę, którą uknuł z konsulem niemieckim w Genewie Gottfriedem Aschmannem. Z jego podpisem dotarła do AA informacja o złym wrażeniu wywołanym zabiegami Niemców o stanowiska w Sekretariacie. Informację o tym</w:t>
      </w:r>
      <w:r w:rsidR="004E6434" w:rsidRPr="003C0842">
        <w:t>,</w:t>
      </w:r>
      <w:r w:rsidRPr="003C0842">
        <w:t xml:space="preserve"> zamieszczoną 24 grudnia 1924 r. w wieczornym wydaniu „Der Tag”</w:t>
      </w:r>
      <w:r w:rsidR="004E6434" w:rsidRPr="003C0842">
        <w:t>,</w:t>
      </w:r>
      <w:r w:rsidRPr="003C0842">
        <w:t xml:space="preserve"> przedrukowały pisma </w:t>
      </w:r>
      <w:r w:rsidRPr="003C0842">
        <w:lastRenderedPageBreak/>
        <w:t>związane z rządem i osobiście min. Stresemannem, ze wskazaniem na centrum i socjalistów jako winnych despektu. Szczególnie ostro ripostował Vorwarts (SPD)poszukując m.in. u Paula Mantoux odpowiedzi, które to „ważne osobistości przynależące do niemieckich partii politycznych” przekazały do Genewy listę kandydatów do stanowisk w Lidze. Oświadczenie Paula Mantoux, że obsada stano</w:t>
      </w:r>
      <w:r w:rsidR="00413C94" w:rsidRPr="003C0842">
        <w:t>wisk w Lidze to kwestia między sekretarzem g</w:t>
      </w:r>
      <w:r w:rsidRPr="003C0842">
        <w:t>eneralnym a niemieckim ministerstwem spraw zagranicznych</w:t>
      </w:r>
      <w:r w:rsidR="004E6434" w:rsidRPr="003C0842">
        <w:t>,</w:t>
      </w:r>
      <w:r w:rsidRPr="003C0842">
        <w:t xml:space="preserve"> współbrz</w:t>
      </w:r>
      <w:r w:rsidR="00D732A3" w:rsidRPr="003C0842">
        <w:t>miała z wypowiedzią min. Strese</w:t>
      </w:r>
      <w:r w:rsidRPr="003C0842">
        <w:t>manna na konferencji prasowej 31 grudnia 1925 r. Odpierał też zarzuty formułowane przez partię socjalistyczną przeciwko konsulowi Aschmannowi, którego oskarżano o intrygi przeciwko SPD</w:t>
      </w:r>
      <w:r w:rsidRPr="003C0842">
        <w:rPr>
          <w:rStyle w:val="Odwoanieprzypisudolnego"/>
          <w:rFonts w:ascii="Times New Roman" w:hAnsi="Times New Roman"/>
          <w:sz w:val="24"/>
        </w:rPr>
        <w:footnoteReference w:id="341"/>
      </w:r>
      <w:r w:rsidRPr="003C0842">
        <w:t>.</w:t>
      </w:r>
    </w:p>
    <w:p w:rsidR="00406A18" w:rsidRPr="003C0842" w:rsidRDefault="00406A18" w:rsidP="00111348">
      <w:pPr>
        <w:spacing w:line="360" w:lineRule="auto"/>
        <w:ind w:firstLine="709"/>
      </w:pPr>
      <w:r w:rsidRPr="003C0842">
        <w:t>Ostra polemika</w:t>
      </w:r>
      <w:r w:rsidR="003A0BBD" w:rsidRPr="003C0842">
        <w:t>,</w:t>
      </w:r>
      <w:r w:rsidRPr="003C0842">
        <w:t xml:space="preserve"> jak również jej podsumowanie przez min. Stresemanna pokazywały zasadniczą zgodę na t</w:t>
      </w:r>
      <w:r w:rsidR="00413C94" w:rsidRPr="003C0842">
        <w:t>o, że to rząd w porozumieniu z sekretarzem g</w:t>
      </w:r>
      <w:r w:rsidRPr="003C0842">
        <w:t xml:space="preserve">eneralnym będzie decydował o obsadzie najwyższych stanowisk w Sekretariacie. Znalezienie osób cieszących się zaufaniem rządu, a jednocześnie spełniających </w:t>
      </w:r>
      <w:r w:rsidR="00ED4FE7" w:rsidRPr="003C0842">
        <w:t xml:space="preserve">(choćby minimalne!) </w:t>
      </w:r>
      <w:r w:rsidRPr="003C0842">
        <w:t>wymogi bezstronnego urzędnika organizacji międzynar</w:t>
      </w:r>
      <w:r w:rsidR="00ED4FE7" w:rsidRPr="003C0842">
        <w:t xml:space="preserve">odowej, nie </w:t>
      </w:r>
      <w:r w:rsidRPr="003C0842">
        <w:t xml:space="preserve">było </w:t>
      </w:r>
      <w:r w:rsidR="00ED4FE7" w:rsidRPr="003C0842">
        <w:t>łatwe</w:t>
      </w:r>
      <w:r w:rsidRPr="003C0842">
        <w:t xml:space="preserve">. Doświadczał tego konsul Aschmann, który zabiegając o jakiekolwiek fawory w Sekretariacie wobec potencjalnych urzędników </w:t>
      </w:r>
      <w:r w:rsidR="008E3B83" w:rsidRPr="003C0842">
        <w:t xml:space="preserve">niemieckich z jego „poręki”, </w:t>
      </w:r>
      <w:r w:rsidRPr="003C0842">
        <w:t>doczekał się niechęci współczesnych i krytycznej oceny historyka piszącego, że konsulat w Genewie to „centrum wywiadu wobec Ligi Narodów”</w:t>
      </w:r>
      <w:r w:rsidRPr="003C0842">
        <w:rPr>
          <w:rStyle w:val="Odwoanieprzypisudolnego"/>
          <w:rFonts w:ascii="Times New Roman" w:hAnsi="Times New Roman"/>
          <w:sz w:val="24"/>
        </w:rPr>
        <w:footnoteReference w:id="342"/>
      </w:r>
      <w:r w:rsidRPr="003C0842">
        <w:t>. W istocie konsulat, na czele którego stał urzędnik AA</w:t>
      </w:r>
      <w:r w:rsidR="008E3B83" w:rsidRPr="003C0842">
        <w:t>,</w:t>
      </w:r>
      <w:r w:rsidRPr="003C0842">
        <w:t xml:space="preserve"> realizował powierzone mu zadania właściwe dla stałego przedstawiciela rządu niemieckiego przy Lidze Narodów. Z natury rzeczy więc dbałość o interesy swego państwa była na pierwszym miejscu. Nie można też robić mu z tego zarzutu. Pozostaje zarazem faktem, że wpływ konsula Aschmanna na kształtowanie się „kolonii niemieckiej” w Genewie był </w:t>
      </w:r>
      <w:r w:rsidR="008E3B83" w:rsidRPr="003C0842">
        <w:t xml:space="preserve">niewielki, może nawet </w:t>
      </w:r>
      <w:r w:rsidRPr="003C0842">
        <w:t>marginalny.</w:t>
      </w:r>
    </w:p>
    <w:p w:rsidR="00406A18" w:rsidRPr="003C0842" w:rsidRDefault="00406A18" w:rsidP="00111348">
      <w:pPr>
        <w:spacing w:line="360" w:lineRule="auto"/>
        <w:ind w:firstLine="709"/>
      </w:pPr>
      <w:r w:rsidRPr="003C0842">
        <w:t xml:space="preserve">Niemcyokreślali wolę obsadzenia 50 miejsc w Sekretariacie. Sekretarz </w:t>
      </w:r>
      <w:r w:rsidR="00413C94" w:rsidRPr="003C0842">
        <w:t>g</w:t>
      </w:r>
      <w:r w:rsidRPr="003C0842">
        <w:t xml:space="preserve">eneralny studził te oczekiwania. Najmniej wątpliwości budziło obsadzenie stanowiska podsekretarza generalnego. </w:t>
      </w:r>
      <w:r w:rsidR="002C2AE8" w:rsidRPr="003C0842">
        <w:t>Był to dezyderat stawiany równie mocno</w:t>
      </w:r>
      <w:r w:rsidR="003A0BBD" w:rsidRPr="003C0842">
        <w:t>,</w:t>
      </w:r>
      <w:r w:rsidR="002C2AE8" w:rsidRPr="003C0842">
        <w:t xml:space="preserve"> jak </w:t>
      </w:r>
      <w:r w:rsidRPr="003C0842">
        <w:t>stał</w:t>
      </w:r>
      <w:r w:rsidR="002C2AE8" w:rsidRPr="003C0842">
        <w:t>e</w:t>
      </w:r>
      <w:r w:rsidRPr="003C0842">
        <w:t xml:space="preserve"> miejsce w Radzie. </w:t>
      </w:r>
      <w:r w:rsidR="002C2AE8" w:rsidRPr="003C0842">
        <w:t xml:space="preserve">Sugestie, </w:t>
      </w:r>
      <w:r w:rsidRPr="003C0842">
        <w:t>że najwyższy niemiecki urzędnik będzie jednocześnie dyrektorem sekcji biur międzynarodowych i współ</w:t>
      </w:r>
      <w:r w:rsidR="002C2AE8" w:rsidRPr="003C0842">
        <w:t>pracy intelektualnej, zapowiadały</w:t>
      </w:r>
      <w:r w:rsidRPr="003C0842">
        <w:t xml:space="preserve"> jego niewielki wpływ na główne sprawy rozpatrywane w </w:t>
      </w:r>
      <w:r w:rsidR="002C2AE8" w:rsidRPr="003C0842">
        <w:t>Sekretariacie</w:t>
      </w:r>
      <w:r w:rsidRPr="003C0842">
        <w:t>. W sferze postulatów pozostały dalsze oczekiwania zgłoszone przez AA podczas wizyty Drummonda w Berlinie w lutym 1926 r. Mówiono o dwóch dyrektorach sekcji, czterech – pięciu członk</w:t>
      </w:r>
      <w:r w:rsidR="008E3B83" w:rsidRPr="003C0842">
        <w:t>ach</w:t>
      </w:r>
      <w:r w:rsidRPr="003C0842">
        <w:t xml:space="preserve"> sekcji oraz kilkudziesięciu </w:t>
      </w:r>
      <w:r w:rsidRPr="003C0842">
        <w:lastRenderedPageBreak/>
        <w:t>odpowiednio wysoko usytuowanych posad w Sek</w:t>
      </w:r>
      <w:r w:rsidR="00413C94" w:rsidRPr="003C0842">
        <w:t>retariacie oraz MBP. Sekretarz g</w:t>
      </w:r>
      <w:r w:rsidRPr="003C0842">
        <w:t>eneralny</w:t>
      </w:r>
      <w:r w:rsidR="003A0BBD" w:rsidRPr="003C0842">
        <w:t>,</w:t>
      </w:r>
      <w:r w:rsidRPr="003C0842">
        <w:t xml:space="preserve"> wskazując na obowiązujące kontrakty</w:t>
      </w:r>
      <w:r w:rsidR="003A0BBD" w:rsidRPr="003C0842">
        <w:t>,</w:t>
      </w:r>
      <w:r w:rsidRPr="003C0842">
        <w:t xml:space="preserve"> zapowiedział, że w miarę ich wygasania dezyderaty niemieckie będą rozpatrywane z należytą uwagą</w:t>
      </w:r>
      <w:r w:rsidRPr="003C0842">
        <w:rPr>
          <w:rStyle w:val="Odwoanieprzypisudolnego"/>
          <w:rFonts w:ascii="Times New Roman" w:hAnsi="Times New Roman"/>
          <w:sz w:val="24"/>
        </w:rPr>
        <w:footnoteReference w:id="343"/>
      </w:r>
      <w:r w:rsidRPr="003C0842">
        <w:t>.</w:t>
      </w:r>
    </w:p>
    <w:p w:rsidR="00BD56B3" w:rsidRDefault="00413C94" w:rsidP="00111348">
      <w:pPr>
        <w:spacing w:line="360" w:lineRule="auto"/>
        <w:ind w:firstLine="709"/>
      </w:pPr>
      <w:r w:rsidRPr="003C0842">
        <w:t>Formułę tę stosował sekretarz g</w:t>
      </w:r>
      <w:r w:rsidR="00406A18" w:rsidRPr="003C0842">
        <w:t>eneralny (a za nim inni pracownicy Sekretariatu) wobec zgłaszających pretensje dotyczące reprezentacji w Sekretariacie. Powszechnie i nagminnie odwoływano się do równościowej filozofii Ligi, realizowanej na wszystkich polach z dużymi trudnościami. Odnosiło się to zwłaszcza do stwierdzonej w art. 7 równości kobiet i mężczyzn w dostępie do wszystkich czynności i stanowisk. Ponawiane uwagi, pretensje, ataki różnych organizacji kobiecych ścierały się z zakorzenioną tradycją, znajdującą w świecie polityki licznych zwolenników.Dokonanie istotnego wyłomu łączono z uzyskaniem przez kobiety prawa głosu, o co kolejny raz apelowano na międzynarodowym kongresie w Paryżu</w:t>
      </w:r>
      <w:r w:rsidR="00E84A6B" w:rsidRPr="003C0842">
        <w:t xml:space="preserve"> w</w:t>
      </w:r>
      <w:r w:rsidR="00406A18" w:rsidRPr="003C0842">
        <w:t xml:space="preserve"> 1926 r.</w:t>
      </w:r>
    </w:p>
    <w:p w:rsidR="00406A18" w:rsidRPr="003C0842" w:rsidRDefault="00406A18" w:rsidP="00111348">
      <w:pPr>
        <w:spacing w:line="360" w:lineRule="auto"/>
        <w:ind w:firstLine="709"/>
      </w:pPr>
      <w:r w:rsidRPr="003C0842">
        <w:t>Stopniowo rozszerzającej się walce, której ton nadawały kobiety z Wielkiej Brytanii i Stanów Zjednoczonych, z dużą regularnością wskazywano na dominację mężczyzn w Lidze – organizacji powołanej m.in. dla upowszechniania równouprawnienia. Tymczasem niezmiennie jedyną kobietą na eksponowanym stanowisku była Rachela Eleonora Crowdy – dyrektorka sekcji społecznej Sekretariatu. Nie satysfakcjonowała ich formalna przewaga zatrudnionych kobiet w Sekretariacie (na 425 ogółem – 255 kobiet na koniec 1926 r.) bo wypełniały tam role usługowe, podrzędne, pomocnicze</w:t>
      </w:r>
      <w:r w:rsidRPr="003C0842">
        <w:rPr>
          <w:rStyle w:val="Odwoanieprzypisudolnego"/>
          <w:rFonts w:ascii="Times New Roman" w:hAnsi="Times New Roman"/>
          <w:sz w:val="24"/>
        </w:rPr>
        <w:footnoteReference w:id="344"/>
      </w:r>
      <w:r w:rsidRPr="003C0842">
        <w:t>.</w:t>
      </w:r>
    </w:p>
    <w:p w:rsidR="008E3B83" w:rsidRPr="003C0842" w:rsidRDefault="00406A18" w:rsidP="00111348">
      <w:pPr>
        <w:spacing w:line="360" w:lineRule="auto"/>
        <w:ind w:firstLine="709"/>
      </w:pPr>
      <w:r w:rsidRPr="003C0842">
        <w:t>Para</w:t>
      </w:r>
      <w:r w:rsidR="00747064" w:rsidRPr="003C0842">
        <w:t>l</w:t>
      </w:r>
      <w:r w:rsidRPr="003C0842">
        <w:t>elnym celem The Council for the Representation of Women in the League of Nations (dalej CRW)</w:t>
      </w:r>
      <w:r w:rsidR="002C2AE8" w:rsidRPr="003C0842">
        <w:t>,</w:t>
      </w:r>
      <w:r w:rsidRPr="003C0842">
        <w:t xml:space="preserve"> grupującego 21 stowarzyszeń narodowych</w:t>
      </w:r>
      <w:r w:rsidR="002C2AE8" w:rsidRPr="003C0842">
        <w:t>,</w:t>
      </w:r>
      <w:r w:rsidRPr="003C0842">
        <w:t xml:space="preserve"> było zwiększenie liczby kobiet w składzie delegacji uczestniczących w różnych organach Ligi </w:t>
      </w:r>
      <w:r w:rsidR="00164234" w:rsidRPr="003C0842">
        <w:t>–</w:t>
      </w:r>
      <w:r w:rsidRPr="003C0842">
        <w:t>od Zgromadzenia poczynając. Wyniki tych zabiegów były pozytywne, chociaż nie zad</w:t>
      </w:r>
      <w:r w:rsidR="008E25CD" w:rsidRPr="003C0842">
        <w:t>o</w:t>
      </w:r>
      <w:r w:rsidRPr="003C0842">
        <w:t>walały liderek</w:t>
      </w:r>
      <w:r w:rsidR="002C2AE8" w:rsidRPr="003C0842">
        <w:t xml:space="preserve"> The Council, której przewodziły</w:t>
      </w:r>
      <w:r w:rsidRPr="003C0842">
        <w:t xml:space="preserve"> Ogilvie Gordon, Eleonora de Alberti, Edith Lyttelton, </w:t>
      </w:r>
      <w:r w:rsidRPr="003C0842">
        <w:rPr>
          <w:highlight w:val="yellow"/>
        </w:rPr>
        <w:t>(</w:t>
      </w:r>
      <w:r w:rsidR="00B21A46">
        <w:rPr>
          <w:highlight w:val="yellow"/>
        </w:rPr>
        <w:t>…</w:t>
      </w:r>
      <w:r w:rsidR="002C2AE8" w:rsidRPr="003C0842">
        <w:rPr>
          <w:highlight w:val="yellow"/>
        </w:rPr>
        <w:t>?</w:t>
      </w:r>
      <w:r w:rsidRPr="003C0842">
        <w:rPr>
          <w:highlight w:val="yellow"/>
        </w:rPr>
        <w:t>) Hoster</w:t>
      </w:r>
      <w:r w:rsidRPr="003C0842">
        <w:t>. W rezolucji przyjętej 29 listopada 1926 r. wyrażono żal, że na 48 delegacji państwowych</w:t>
      </w:r>
      <w:r w:rsidR="008E3B83" w:rsidRPr="003C0842">
        <w:t xml:space="preserve"> uczestniczących w VII Zgromadzeniu</w:t>
      </w:r>
      <w:r w:rsidRPr="003C0842">
        <w:t xml:space="preserve"> tylko 6 włączyło do swoich delegacji kobiety (w randze zastępców delegatów), a jedna została doradcą technicznym. Niezadowolenie z efektów zabiegów CRW na tym polu zawarto w sprawozdaniu z działalności za 1926 r. </w:t>
      </w:r>
    </w:p>
    <w:p w:rsidR="00406A18" w:rsidRPr="003C0842" w:rsidRDefault="00406A18" w:rsidP="00111348">
      <w:pPr>
        <w:spacing w:line="360" w:lineRule="auto"/>
        <w:ind w:firstLine="709"/>
      </w:pPr>
      <w:r w:rsidRPr="003C0842">
        <w:t xml:space="preserve">Odnotowano zarazem pozytywny stosunek Alberta Thomasa, który specjalnym pismem przypominał rządom oraz stowarzyszeniom pracodawców i pracowników o </w:t>
      </w:r>
      <w:r w:rsidRPr="003C0842">
        <w:lastRenderedPageBreak/>
        <w:t>nominowaniu kobiet na delegatów i doradców, niezależnie od kwestii</w:t>
      </w:r>
      <w:r w:rsidR="000D7403" w:rsidRPr="003C0842">
        <w:t>,</w:t>
      </w:r>
      <w:r w:rsidRPr="003C0842">
        <w:t xml:space="preserve"> jakie miały być przedmiotem obrad sesji MOP. Jednak tylko kilka państw uwzględniło prośbę szefa MOP i to wyłącznie na poziomie doradców technicznych. Niewiele lepiej było w Komitecie Współpracy Intelektualnej</w:t>
      </w:r>
      <w:r w:rsidR="000D7403" w:rsidRPr="003C0842">
        <w:t>,</w:t>
      </w:r>
      <w:r w:rsidRPr="003C0842">
        <w:t xml:space="preserve"> gdzie w składzie podkomisji ekspertów mających popularyzować wśród młodzieży ideały Ligi znalazła się </w:t>
      </w:r>
      <w:r w:rsidR="00081AA8" w:rsidRPr="003C0842">
        <w:t>Laura Dreyfus</w:t>
      </w:r>
      <w:r w:rsidRPr="003C0842">
        <w:t>-Ba</w:t>
      </w:r>
      <w:r w:rsidR="00081AA8" w:rsidRPr="003C0842">
        <w:t>r</w:t>
      </w:r>
      <w:r w:rsidRPr="003C0842">
        <w:t>ney</w:t>
      </w:r>
      <w:r w:rsidR="00081AA8" w:rsidRPr="003C0842">
        <w:t>, Amerykanka mieszkającawe</w:t>
      </w:r>
      <w:r w:rsidRPr="003C0842">
        <w:t xml:space="preserve"> Francji. Sytuacja </w:t>
      </w:r>
      <w:r w:rsidR="000D7403" w:rsidRPr="003C0842">
        <w:t>ta</w:t>
      </w:r>
      <w:r w:rsidRPr="003C0842">
        <w:t xml:space="preserve"> zdaniem Komitetu Wykonawczego CRW była tym bardziej niezrozumiała, że kompetencje i znakomite kwalifikacje kobiet w tym zakresie były powszechnie znane</w:t>
      </w:r>
      <w:r w:rsidRPr="003C0842">
        <w:rPr>
          <w:rStyle w:val="Odwoanieprzypisudolnego"/>
          <w:rFonts w:ascii="Times New Roman" w:hAnsi="Times New Roman"/>
          <w:sz w:val="24"/>
        </w:rPr>
        <w:footnoteReference w:id="345"/>
      </w:r>
      <w:r w:rsidRPr="003C0842">
        <w:t>. Po stronie pozytywów wymieniono delegowanie Janet Campbel jako brytyjskiego eksperta do przygotowania raportu dotyczącego opieki nad noworodkami. Skutecznie też wpływano na stały postęp prac nad ustanowieniem międzynarodowego prawodawstwa dotyczącego handlu kobietami i dziećmi oraz przeciwdziałania prostytucji.</w:t>
      </w:r>
    </w:p>
    <w:p w:rsidR="00406A18" w:rsidRPr="003C0842" w:rsidRDefault="00406A18" w:rsidP="00111348">
      <w:pPr>
        <w:spacing w:line="360" w:lineRule="auto"/>
        <w:ind w:firstLine="709"/>
      </w:pPr>
      <w:r w:rsidRPr="003C0842">
        <w:t xml:space="preserve">Nie skrywano również </w:t>
      </w:r>
      <w:r w:rsidR="008E3B83" w:rsidRPr="003C0842">
        <w:t xml:space="preserve">niepowodzenia </w:t>
      </w:r>
      <w:r w:rsidR="00252399" w:rsidRPr="003C0842">
        <w:t xml:space="preserve">w </w:t>
      </w:r>
      <w:r w:rsidR="008E3B83" w:rsidRPr="003C0842">
        <w:t>sprawie</w:t>
      </w:r>
      <w:r w:rsidRPr="003C0842">
        <w:t xml:space="preserve"> udział</w:t>
      </w:r>
      <w:r w:rsidR="008E3B83" w:rsidRPr="003C0842">
        <w:t>u</w:t>
      </w:r>
      <w:r w:rsidRPr="003C0842">
        <w:t xml:space="preserve"> kobiet w podkomisji zajmującej się obywatelstwem kobiet zamężnych. Zwrócono też uwagę na prowadzoną kampanię w interesie Florance Wilson współtwórcy Biblioteki Ligi, której kontrakt kończył się w styczniu 1927 r.</w:t>
      </w:r>
      <w:r w:rsidRPr="003C0842">
        <w:rPr>
          <w:rStyle w:val="Odwoanieprzypisudolnego"/>
          <w:rFonts w:ascii="Times New Roman" w:hAnsi="Times New Roman"/>
          <w:sz w:val="24"/>
        </w:rPr>
        <w:footnoteReference w:id="346"/>
      </w:r>
      <w:r w:rsidRPr="003C0842">
        <w:t xml:space="preserve"> W kampanii, która objęła także inne organizacje i stowarzyszenia kobiece, w tym działającego w ramach USA – Women’s Advisory Council, podkreślano jej wyróżniające kompetencje jako bib</w:t>
      </w:r>
      <w:r w:rsidR="003650D4" w:rsidRPr="003C0842">
        <w:t>liotekarki na Uniwersytecie Colu</w:t>
      </w:r>
      <w:r w:rsidRPr="003C0842">
        <w:t>mbia (1909</w:t>
      </w:r>
      <w:r w:rsidR="005A5F3B">
        <w:t>-</w:t>
      </w:r>
      <w:r w:rsidRPr="003C0842">
        <w:t>1917), a następnie współorganizatora biblioteki konferencji pokojowej w Paryżu, a później biblioteki Ligi. Przewidziany dla obywateli Stanów Zjednoczonych siedmioletni kontrakt był w tym wypadku kartą przetargową wykorzystywaną przez zwolenników rotacji na stanowiskach w Sekretariacie</w:t>
      </w:r>
      <w:r w:rsidRPr="003C0842">
        <w:rPr>
          <w:rStyle w:val="Odwoanieprzypisudolnego"/>
          <w:rFonts w:ascii="Times New Roman" w:hAnsi="Times New Roman"/>
          <w:sz w:val="24"/>
        </w:rPr>
        <w:footnoteReference w:id="347"/>
      </w:r>
      <w:r w:rsidRPr="003C0842">
        <w:t>.</w:t>
      </w:r>
    </w:p>
    <w:p w:rsidR="00BD56B3" w:rsidRDefault="00406A18" w:rsidP="00111348">
      <w:pPr>
        <w:spacing w:line="360" w:lineRule="auto"/>
        <w:ind w:firstLine="709"/>
      </w:pPr>
      <w:r w:rsidRPr="003C0842">
        <w:t>Stosunkowo drobne z ligowej perspektywy zawirowanie wywołane zmianą na stanowisku w bibliotece po</w:t>
      </w:r>
      <w:r w:rsidR="007C500F" w:rsidRPr="003C0842">
        <w:t>zwala</w:t>
      </w:r>
      <w:r w:rsidRPr="003C0842">
        <w:t xml:space="preserve"> zwróc</w:t>
      </w:r>
      <w:r w:rsidR="007C500F" w:rsidRPr="003C0842">
        <w:t>ić uwagę</w:t>
      </w:r>
      <w:r w:rsidRPr="003C0842">
        <w:t xml:space="preserve"> na sprawę konkursów ogłaszanych na stanowiska, które nie były objęte „nomenklaturą” polityczną. Zwycięsko przez konkurs na stanowisko w bibliotece przeszedł </w:t>
      </w:r>
      <w:r w:rsidR="000114D3" w:rsidRPr="003C0842">
        <w:t xml:space="preserve">Jan </w:t>
      </w:r>
      <w:r w:rsidRPr="003C0842">
        <w:t>Muszkowski</w:t>
      </w:r>
      <w:r w:rsidR="000114D3" w:rsidRPr="003C0842">
        <w:rPr>
          <w:rStyle w:val="Odwoanieprzypisudolnego"/>
          <w:rFonts w:ascii="Times New Roman" w:hAnsi="Times New Roman"/>
          <w:sz w:val="24"/>
        </w:rPr>
        <w:footnoteReference w:id="348"/>
      </w:r>
      <w:r w:rsidR="000D7403" w:rsidRPr="003C0842">
        <w:t>,</w:t>
      </w:r>
      <w:r w:rsidRPr="003C0842">
        <w:t xml:space="preserve"> jednak kontrakt podpisał </w:t>
      </w:r>
      <w:r w:rsidR="00F47674" w:rsidRPr="003C0842">
        <w:t>dr Tietse Pieter Sevensma</w:t>
      </w:r>
      <w:r w:rsidRPr="003C0842">
        <w:t xml:space="preserve"> z Holandii. Polacy mieli bowiem w Sekretariacie swojego repr</w:t>
      </w:r>
      <w:r w:rsidR="00441ADB" w:rsidRPr="003C0842">
        <w:t xml:space="preserve">ezentanta na </w:t>
      </w:r>
      <w:r w:rsidR="00441ADB" w:rsidRPr="003C0842">
        <w:lastRenderedPageBreak/>
        <w:t xml:space="preserve">wysokim stanowisku, </w:t>
      </w:r>
      <w:r w:rsidRPr="003C0842">
        <w:t>a Holendrzy nie. Uwypuklone w tym wypadku kryterium narodowo-państwowe jako determinujące zatrudnienie oznaczało pośrednio wyrażaną zgodę na uznanie za ważne więzi łączące pracownika Sekretariatu z jego obywatelstwem. Z drugiej strony rezygnacja z dalszego zatrudniania Florance Wilson oznaczała stratę pracownika niezależnego od własnego rządu. Wrogość administracji amerykańskiej wobec Ligi oraz podkreślane dążenie do jej uniwersalizmu sugerowały</w:t>
      </w:r>
      <w:r w:rsidR="000D7403" w:rsidRPr="003C0842">
        <w:t>,</w:t>
      </w:r>
      <w:r w:rsidRPr="003C0842">
        <w:t xml:space="preserve"> aby nie osłabiać 20-osobowej grupy obywateli Stanów Zjednoczonych zatrudnionych w Sekretariacie. Owych 20 osób wadziło jednak państwom, które</w:t>
      </w:r>
      <w:r w:rsidR="00164234" w:rsidRPr="003C0842">
        <w:t>–</w:t>
      </w:r>
      <w:r w:rsidR="00252399" w:rsidRPr="003C0842">
        <w:t xml:space="preserve"> płaciły przypisaną im składkę do wspólnej kasy, a </w:t>
      </w:r>
      <w:r w:rsidRPr="003C0842">
        <w:t xml:space="preserve">w ogóle nie miały </w:t>
      </w:r>
      <w:r w:rsidR="00252399" w:rsidRPr="003C0842">
        <w:t>„</w:t>
      </w:r>
      <w:r w:rsidRPr="003C0842">
        <w:t>reprezent</w:t>
      </w:r>
      <w:r w:rsidR="00252399" w:rsidRPr="003C0842">
        <w:t>antów” w Sekretariacie lub miały</w:t>
      </w:r>
      <w:r w:rsidRPr="003C0842">
        <w:t xml:space="preserve"> poniżej oczekiwań.</w:t>
      </w:r>
    </w:p>
    <w:p w:rsidR="00406A18" w:rsidRPr="003C0842" w:rsidRDefault="00406A18" w:rsidP="00111348">
      <w:pPr>
        <w:spacing w:line="360" w:lineRule="auto"/>
        <w:ind w:firstLine="709"/>
      </w:pPr>
      <w:r w:rsidRPr="003C0842">
        <w:t>Utyskiwania na ten temat były powszechne i przeróżnie argumentowane. Ciekawego przykładu dostarczył poseł rumuński rezydujący w Bernie, który 17 lutego 192</w:t>
      </w:r>
      <w:r w:rsidR="00252399" w:rsidRPr="003C0842">
        <w:t>6 r. wysłał list skierowany do</w:t>
      </w:r>
      <w:r w:rsidR="000D7403" w:rsidRPr="003C0842">
        <w:t>s</w:t>
      </w:r>
      <w:r w:rsidR="00252399" w:rsidRPr="003C0842">
        <w:t xml:space="preserve">ir Erica </w:t>
      </w:r>
      <w:r w:rsidRPr="003C0842">
        <w:t xml:space="preserve">z żalem wywołanym małą reprezentacją Rumunów w Lidze. Pisał więc, że na 475 urzędników w Sekretariacie było jedynie 4 obywateli rumuńskich oraz tylko jeden w Międzynarodowym Biurze Pracy. </w:t>
      </w:r>
      <w:r w:rsidR="006D0D9B" w:rsidRPr="003C0842">
        <w:t>Wkrótce kończy się jeden kontrakt i Rumunów będzie tylko trzech</w:t>
      </w:r>
      <w:r w:rsidRPr="003C0842">
        <w:t xml:space="preserve"> na 828 </w:t>
      </w:r>
      <w:r w:rsidR="006D0D9B" w:rsidRPr="003C0842">
        <w:t xml:space="preserve">pracowników </w:t>
      </w:r>
      <w:r w:rsidRPr="003C0842">
        <w:t>zatrudnionych w obu tych instytucjach. Uznano to za przejaw dyskryminacji</w:t>
      </w:r>
      <w:r w:rsidR="000D7403" w:rsidRPr="003C0842">
        <w:t>,</w:t>
      </w:r>
      <w:r w:rsidRPr="003C0842">
        <w:t xml:space="preserve"> tym bardziej jaskrawej, że Rumunia regularnie wnosiła składkę do ogólnego budżetu, z którego opłacani są wszyscy urzędnicy. Składka ta jest równa holenderskiej i duńskiej (po 22 jednostek) przy czym Holandia ma 11 pracowników w Sekretariacie i 3 w MBP, a Dania 6 osób w Sekretariacie i 2 w MBP; składka rumuńska jest większa od Belgii (18 jednostek)</w:t>
      </w:r>
      <w:r w:rsidR="00441ADB" w:rsidRPr="003C0842">
        <w:t>,</w:t>
      </w:r>
      <w:r w:rsidRPr="003C0842">
        <w:t xml:space="preserve"> z której </w:t>
      </w:r>
      <w:r w:rsidR="00B14CF6" w:rsidRPr="003C0842">
        <w:t>pochodziło</w:t>
      </w:r>
      <w:r w:rsidRPr="003C0842">
        <w:t xml:space="preserve"> 12 osób</w:t>
      </w:r>
      <w:r w:rsidR="00B14CF6" w:rsidRPr="003C0842">
        <w:t xml:space="preserve"> zatrudnionych w</w:t>
      </w:r>
      <w:r w:rsidRPr="003C0842">
        <w:t xml:space="preserve"> Sekretaria</w:t>
      </w:r>
      <w:r w:rsidR="00B14CF6" w:rsidRPr="003C0842">
        <w:t>cie</w:t>
      </w:r>
      <w:r w:rsidRPr="003C0842">
        <w:t xml:space="preserve"> i 4 </w:t>
      </w:r>
      <w:r w:rsidR="00B14CF6" w:rsidRPr="003C0842">
        <w:t>w</w:t>
      </w:r>
      <w:r w:rsidRPr="003C0842">
        <w:t xml:space="preserve"> MBP; Austrii (8 jednostek) mającej w Sekretariacie 6 osób i 4 w MBP</w:t>
      </w:r>
      <w:r w:rsidRPr="003C0842">
        <w:rPr>
          <w:rStyle w:val="Odwoanieprzypisudolnego"/>
          <w:rFonts w:ascii="Times New Roman" w:hAnsi="Times New Roman"/>
          <w:sz w:val="24"/>
        </w:rPr>
        <w:footnoteReference w:id="349"/>
      </w:r>
      <w:r w:rsidRPr="003C0842">
        <w:t>.</w:t>
      </w:r>
    </w:p>
    <w:p w:rsidR="00406A18" w:rsidRPr="003C0842" w:rsidRDefault="00406A18" w:rsidP="00111348">
      <w:pPr>
        <w:spacing w:line="360" w:lineRule="auto"/>
        <w:ind w:firstLine="709"/>
      </w:pPr>
      <w:r w:rsidRPr="003C0842">
        <w:t xml:space="preserve">Chociaż dane zawarte w liście nieznacznie różnią się od wykazów sporządzonych przez Sekretariat, to jednak pokazują istotę sprawy, o której rozprawiano coraz intensywniej, z obawy, że wygospodarowanie miejsc dla Niemców będzie odbywało się kosztem słabszych i mniejszych. Oczekiwane w Berlinie dorównanie Francji, mającej według stanu na 17 października 1926 r. 87 osób w Sekretariacie (w tym 36 mężczyzn) było na tyle trudne, że Niemców było wówczas tylko dwóch. Półtora roku później, w lutym 1928 r. liczba zatrudnionych Niemców wzrosła do 14, ale nie zmniejszyła, a wzrosła liczba Francuzów z 87 do 101, podobnie jak Brytyjczyków ze 128 do 137 i Włochów z 22 do 26. Niemcy osiągnęły poziom zatrudnienia Belgów (z 12 do 15 osób), Irlandii (z 6 do 13) czy Polski (z 10 do 12 osób). Wzmożony wstąpieniem Niemiec ruch kadrowy spowodował, że w Sekretariacie w ciągu półtora roku wzrosło zatrudnienie z 497 do 581 osób oraz liczba reprezentowanych </w:t>
      </w:r>
      <w:r w:rsidRPr="003C0842">
        <w:lastRenderedPageBreak/>
        <w:t>narodowości z 42 do 50. Odnotować również trzeba znaczny napływ do Sekretariatu Szwajcarów</w:t>
      </w:r>
      <w:r w:rsidR="000D7403" w:rsidRPr="003C0842">
        <w:t>,</w:t>
      </w:r>
      <w:r w:rsidRPr="003C0842">
        <w:t xml:space="preserve"> głównie na stanowiska administracyjne – ze 121 do 154 osób</w:t>
      </w:r>
      <w:r w:rsidRPr="003C0842">
        <w:rPr>
          <w:rStyle w:val="Odwoanieprzypisudolnego"/>
          <w:rFonts w:ascii="Times New Roman" w:hAnsi="Times New Roman"/>
          <w:sz w:val="24"/>
        </w:rPr>
        <w:footnoteReference w:id="350"/>
      </w:r>
      <w:r w:rsidRPr="003C0842">
        <w:t>.</w:t>
      </w:r>
    </w:p>
    <w:p w:rsidR="00236793" w:rsidRPr="003C0842" w:rsidRDefault="00406A18" w:rsidP="00111348">
      <w:pPr>
        <w:spacing w:line="360" w:lineRule="auto"/>
        <w:ind w:firstLine="709"/>
      </w:pPr>
      <w:r w:rsidRPr="003C0842">
        <w:t>Nietrudno zgadnąć, że niechętna Lidze centro-prawicowa opinia niemie</w:t>
      </w:r>
      <w:r w:rsidR="00413C94" w:rsidRPr="003C0842">
        <w:t>cka miała do polityki kadrowej sekretarza g</w:t>
      </w:r>
      <w:r w:rsidRPr="003C0842">
        <w:t xml:space="preserve">eneralnego ogromne, ponawiane pretensje. </w:t>
      </w:r>
      <w:r w:rsidR="00236793" w:rsidRPr="003C0842">
        <w:t>Wiemy już, że k</w:t>
      </w:r>
      <w:r w:rsidR="00236793" w:rsidRPr="003C0842">
        <w:rPr>
          <w:color w:val="000000"/>
        </w:rPr>
        <w:t xml:space="preserve">ontrowersje wokół tej sprawy miały powszechny wymiar: duet brytyjsko-francuski starał się zachować stan posiadania, a niezadowolone ze swej pozycji państwa średnie i mniejsze widziały się bardziej predestynowane do uzyskania stanowisk w Sekretariacie niż wstępujące dopiero Niemcy. Nasilające się spory na ten temat wymagają zwrócenia uwagi na rolę konsulatu niemieckiego w Genewie. Kierujący nim Gottfried Aschmann stał się ośrodkiem transmitującym informacje płynące z Genewy do Berlina i vice versa.Istotna część korespondencji o charakterze oficjalnym, a tym bardziej półoficjalnym, przechodziła przez ręce konsula. Obejmowała ona też kontakty z Niemcami zatrudnionymi w Sekretariacie Ligi, którzy nie tylko informowali AA, ale także przyjmowali stosowne instrukcje. Praktyki te nie ustały po wejściu Niemiec do Ligi,a </w:t>
      </w:r>
      <w:r w:rsidR="0050733A" w:rsidRPr="003C0842">
        <w:rPr>
          <w:color w:val="000000"/>
        </w:rPr>
        <w:t xml:space="preserve">podniesienie godo </w:t>
      </w:r>
      <w:r w:rsidR="00236793" w:rsidRPr="003C0842">
        <w:rPr>
          <w:color w:val="000000"/>
        </w:rPr>
        <w:t>rangi konsulat</w:t>
      </w:r>
      <w:r w:rsidR="0050733A" w:rsidRPr="003C0842">
        <w:rPr>
          <w:color w:val="000000"/>
        </w:rPr>
        <w:t>u</w:t>
      </w:r>
      <w:r w:rsidR="00236793" w:rsidRPr="003C0842">
        <w:rPr>
          <w:color w:val="000000"/>
        </w:rPr>
        <w:t xml:space="preserve"> generaln</w:t>
      </w:r>
      <w:r w:rsidR="0050733A" w:rsidRPr="003C0842">
        <w:rPr>
          <w:color w:val="000000"/>
        </w:rPr>
        <w:t>ego zachowuje swoja wymowę.</w:t>
      </w:r>
    </w:p>
    <w:p w:rsidR="00236793" w:rsidRPr="003C0842" w:rsidRDefault="00236793" w:rsidP="00111348">
      <w:pPr>
        <w:shd w:val="clear" w:color="auto" w:fill="FFFFFF"/>
        <w:suppressAutoHyphens/>
        <w:spacing w:line="360" w:lineRule="auto"/>
        <w:ind w:right="40" w:firstLine="720"/>
      </w:pPr>
      <w:r w:rsidRPr="003C0842">
        <w:rPr>
          <w:color w:val="000000"/>
        </w:rPr>
        <w:t xml:space="preserve">Zawiły proces angażowania pracowników do Sekretariatu uwzględniać musiał dwa podstawowe elementy, mianowicie stanowisko </w:t>
      </w:r>
      <w:r w:rsidR="0050733A" w:rsidRPr="003C0842">
        <w:rPr>
          <w:color w:val="000000"/>
        </w:rPr>
        <w:t>bezpośrednio zainteresowanego</w:t>
      </w:r>
      <w:r w:rsidRPr="003C0842">
        <w:rPr>
          <w:color w:val="000000"/>
        </w:rPr>
        <w:t xml:space="preserve"> rządu oraz opinię </w:t>
      </w:r>
      <w:r w:rsidR="0050733A" w:rsidRPr="003C0842">
        <w:rPr>
          <w:color w:val="000000"/>
        </w:rPr>
        <w:t xml:space="preserve">kierującego danym zespołem w </w:t>
      </w:r>
      <w:r w:rsidRPr="003C0842">
        <w:rPr>
          <w:color w:val="000000"/>
        </w:rPr>
        <w:t>Sekretaria</w:t>
      </w:r>
      <w:r w:rsidR="0050733A" w:rsidRPr="003C0842">
        <w:rPr>
          <w:color w:val="000000"/>
        </w:rPr>
        <w:t>cie</w:t>
      </w:r>
      <w:r w:rsidRPr="003C0842">
        <w:rPr>
          <w:color w:val="000000"/>
        </w:rPr>
        <w:t>. Im wyższe stanowisk</w:t>
      </w:r>
      <w:r w:rsidR="0050733A" w:rsidRPr="003C0842">
        <w:rPr>
          <w:color w:val="000000"/>
        </w:rPr>
        <w:t>a,</w:t>
      </w:r>
      <w:r w:rsidRPr="003C0842">
        <w:rPr>
          <w:color w:val="000000"/>
        </w:rPr>
        <w:t xml:space="preserve"> tym znaczniejsze osobistości </w:t>
      </w:r>
      <w:r w:rsidR="0050733A" w:rsidRPr="003C0842">
        <w:rPr>
          <w:color w:val="000000"/>
        </w:rPr>
        <w:t>były zaangażowane.S</w:t>
      </w:r>
      <w:r w:rsidRPr="003C0842">
        <w:rPr>
          <w:color w:val="000000"/>
        </w:rPr>
        <w:t xml:space="preserve">tosunkowo łatwo </w:t>
      </w:r>
      <w:r w:rsidR="000D7403" w:rsidRPr="003C0842">
        <w:rPr>
          <w:color w:val="000000"/>
        </w:rPr>
        <w:t>przeprowadzono zaangażowanie dr.</w:t>
      </w:r>
      <w:r w:rsidRPr="003C0842">
        <w:rPr>
          <w:color w:val="000000"/>
        </w:rPr>
        <w:t xml:space="preserve"> O. Olsena na stanowisko członka sekcji higieny. Pracę swoją rozpoczął już 1 października 1925 r., a więc w gorącej atmosferze lokarneńskiej. Mający 33 lata O. Olsen, w przeszłości profesor higieny publicznej i bakteriologii uniwersytetów w Berlinie i Freiburgu, cieszył się opinią dobrego specjalisty i sumiennego pracownika</w:t>
      </w:r>
      <w:r w:rsidRPr="003C0842">
        <w:rPr>
          <w:rStyle w:val="Odwoanieprzypisudolnego"/>
          <w:rFonts w:ascii="Times New Roman" w:hAnsi="Times New Roman"/>
          <w:color w:val="000000"/>
          <w:sz w:val="24"/>
        </w:rPr>
        <w:footnoteReference w:id="351"/>
      </w:r>
      <w:r w:rsidRPr="003C0842">
        <w:rPr>
          <w:color w:val="000000"/>
        </w:rPr>
        <w:t>. Dłuższych pertraktacji wymagało ustalenie niemieckiego „reprezentanta” do sekcji rozbrojeniowej. Od 1 października 1926 r. członkie</w:t>
      </w:r>
      <w:r w:rsidR="006D0D9B" w:rsidRPr="003C0842">
        <w:rPr>
          <w:color w:val="000000"/>
        </w:rPr>
        <w:t>m tej sekcji został 36-letni kap</w:t>
      </w:r>
      <w:r w:rsidR="005E3043" w:rsidRPr="003C0842">
        <w:rPr>
          <w:color w:val="000000"/>
        </w:rPr>
        <w:t>itan</w:t>
      </w:r>
      <w:r w:rsidR="000D7403" w:rsidRPr="003C0842">
        <w:rPr>
          <w:color w:val="000000"/>
        </w:rPr>
        <w:t xml:space="preserve"> dr M.</w:t>
      </w:r>
      <w:r w:rsidRPr="003C0842">
        <w:rPr>
          <w:color w:val="000000"/>
        </w:rPr>
        <w:t>A. No</w:t>
      </w:r>
      <w:r w:rsidR="006D0D9B" w:rsidRPr="003C0842">
        <w:rPr>
          <w:color w:val="000000"/>
        </w:rPr>
        <w:t>l</w:t>
      </w:r>
      <w:r w:rsidRPr="003C0842">
        <w:rPr>
          <w:color w:val="000000"/>
        </w:rPr>
        <w:t>da. W grudniu tegoż roku z inicjatywy Stresemanna członkiem sekcji politycznej z</w:t>
      </w:r>
      <w:r w:rsidR="006D0D9B" w:rsidRPr="003C0842">
        <w:rPr>
          <w:color w:val="000000"/>
        </w:rPr>
        <w:t>ostał 51-letni Cecil von Renthe-</w:t>
      </w:r>
      <w:r w:rsidRPr="003C0842">
        <w:rPr>
          <w:color w:val="000000"/>
        </w:rPr>
        <w:t xml:space="preserve">Fink, tajny radca AA. Z początkiem 1927 r. w </w:t>
      </w:r>
      <w:r w:rsidR="005E3043" w:rsidRPr="003C0842">
        <w:rPr>
          <w:color w:val="000000"/>
        </w:rPr>
        <w:t>Sekretariacie, w randze członka sekcji</w:t>
      </w:r>
      <w:r w:rsidRPr="003C0842">
        <w:rPr>
          <w:color w:val="000000"/>
        </w:rPr>
        <w:t xml:space="preserve"> zainstalował się </w:t>
      </w:r>
      <w:r w:rsidR="005E3043" w:rsidRPr="003C0842">
        <w:rPr>
          <w:color w:val="000000"/>
        </w:rPr>
        <w:t xml:space="preserve">osobisty sekretarz niemieckiego </w:t>
      </w:r>
      <w:r w:rsidRPr="003C0842">
        <w:rPr>
          <w:color w:val="000000"/>
        </w:rPr>
        <w:t>podsekretarz</w:t>
      </w:r>
      <w:r w:rsidR="005E3043" w:rsidRPr="003C0842">
        <w:rPr>
          <w:color w:val="000000"/>
        </w:rPr>
        <w:t>a</w:t>
      </w:r>
      <w:r w:rsidRPr="003C0842">
        <w:rPr>
          <w:color w:val="000000"/>
        </w:rPr>
        <w:t xml:space="preserve"> generaln</w:t>
      </w:r>
      <w:r w:rsidR="005E3043" w:rsidRPr="003C0842">
        <w:rPr>
          <w:color w:val="000000"/>
        </w:rPr>
        <w:t>ego,</w:t>
      </w:r>
      <w:r w:rsidRPr="003C0842">
        <w:rPr>
          <w:color w:val="000000"/>
        </w:rPr>
        <w:t xml:space="preserve"> 35-letni dr Werner von Schmieden oraz dr Paul Barandon, </w:t>
      </w:r>
      <w:r w:rsidR="005E3043" w:rsidRPr="003C0842">
        <w:rPr>
          <w:color w:val="000000"/>
        </w:rPr>
        <w:t xml:space="preserve">mający </w:t>
      </w:r>
      <w:r w:rsidRPr="003C0842">
        <w:rPr>
          <w:color w:val="000000"/>
        </w:rPr>
        <w:t>46</w:t>
      </w:r>
      <w:r w:rsidR="005E3043" w:rsidRPr="003C0842">
        <w:rPr>
          <w:color w:val="000000"/>
        </w:rPr>
        <w:t xml:space="preserve"> lat</w:t>
      </w:r>
      <w:r w:rsidRPr="003C0842">
        <w:rPr>
          <w:color w:val="000000"/>
        </w:rPr>
        <w:t xml:space="preserve"> prawnik – jako członek Biura Doradców Prawnych</w:t>
      </w:r>
      <w:r w:rsidRPr="003C0842">
        <w:rPr>
          <w:rStyle w:val="Odwoanieprzypisudolnego"/>
          <w:rFonts w:ascii="Times New Roman" w:hAnsi="Times New Roman"/>
          <w:color w:val="000000"/>
          <w:sz w:val="24"/>
        </w:rPr>
        <w:footnoteReference w:id="352"/>
      </w:r>
      <w:r w:rsidRPr="003C0842">
        <w:rPr>
          <w:color w:val="000000"/>
        </w:rPr>
        <w:t xml:space="preserve">. W kwietniu 1927 r. do Sekretariatu weszli: F. Schnabel – na </w:t>
      </w:r>
      <w:r w:rsidRPr="003C0842">
        <w:rPr>
          <w:color w:val="000000"/>
        </w:rPr>
        <w:lastRenderedPageBreak/>
        <w:t>stanowisko szefa działu publikacji i druku</w:t>
      </w:r>
      <w:r w:rsidR="000D7403" w:rsidRPr="003C0842">
        <w:rPr>
          <w:color w:val="000000"/>
        </w:rPr>
        <w:t xml:space="preserve"> oraz A.</w:t>
      </w:r>
      <w:r w:rsidR="00C81AF2" w:rsidRPr="003C0842">
        <w:rPr>
          <w:color w:val="000000"/>
        </w:rPr>
        <w:t>E. Hü</w:t>
      </w:r>
      <w:r w:rsidRPr="003C0842">
        <w:rPr>
          <w:color w:val="000000"/>
        </w:rPr>
        <w:t>sslein jako członek sekcji ekonomicznej</w:t>
      </w:r>
      <w:r w:rsidR="00C81AF2" w:rsidRPr="003C0842">
        <w:rPr>
          <w:color w:val="000000"/>
        </w:rPr>
        <w:t xml:space="preserve"> i </w:t>
      </w:r>
      <w:r w:rsidRPr="003C0842">
        <w:rPr>
          <w:color w:val="000000"/>
        </w:rPr>
        <w:t>finansowej.</w:t>
      </w:r>
      <w:r w:rsidR="00C81AF2" w:rsidRPr="003C0842">
        <w:rPr>
          <w:color w:val="000000"/>
        </w:rPr>
        <w:t xml:space="preserve"> Pierwszy </w:t>
      </w:r>
      <w:r w:rsidRPr="003C0842">
        <w:rPr>
          <w:color w:val="000000"/>
        </w:rPr>
        <w:t>z nich byłwłaścicielem wydawnictwa Kaupmann-Schnabel i prezesem Buchhandler B</w:t>
      </w:r>
      <w:r w:rsidR="00C81AF2" w:rsidRPr="003C0842">
        <w:rPr>
          <w:color w:val="000000"/>
        </w:rPr>
        <w:t>ö</w:t>
      </w:r>
      <w:r w:rsidRPr="003C0842">
        <w:rPr>
          <w:color w:val="000000"/>
        </w:rPr>
        <w:t>rsenverein, drugi – dyrektorem Berliner Kassenverein oraz radcą w ministerstwie finansów. W tym samym czasie po</w:t>
      </w:r>
      <w:r w:rsidR="000D7403" w:rsidRPr="003C0842">
        <w:rPr>
          <w:color w:val="000000"/>
        </w:rPr>
        <w:t>djął pracę w sekcji tranzytu J.</w:t>
      </w:r>
      <w:r w:rsidRPr="003C0842">
        <w:rPr>
          <w:color w:val="000000"/>
        </w:rPr>
        <w:t>L. Metternich, 32-letni były sekretarz generalny przy prezydencie Hesji. W lipcu 1927 r. sfinalizowano długie negocjacje na tematwprowadzenia Niemca do sekcji informacyjnej. Został nim Max Beer, 41-letni dziennikarz zaliczany do najbardziej kontrowersyjnych przedstawicieli niemieckiej reprezentacji w Sekretariacie</w:t>
      </w:r>
      <w:r w:rsidRPr="003C0842">
        <w:rPr>
          <w:rStyle w:val="Odwoanieprzypisudolnego"/>
          <w:rFonts w:ascii="Times New Roman" w:hAnsi="Times New Roman"/>
          <w:color w:val="000000"/>
          <w:sz w:val="24"/>
        </w:rPr>
        <w:footnoteReference w:id="353"/>
      </w:r>
      <w:r w:rsidRPr="003C0842">
        <w:rPr>
          <w:color w:val="000000"/>
        </w:rPr>
        <w:t>.</w:t>
      </w:r>
    </w:p>
    <w:p w:rsidR="00BD56B3" w:rsidRDefault="005E3043" w:rsidP="00111348">
      <w:pPr>
        <w:shd w:val="clear" w:color="auto" w:fill="FFFFFF"/>
        <w:suppressAutoHyphens/>
        <w:spacing w:line="360" w:lineRule="auto"/>
        <w:ind w:right="40" w:firstLine="720"/>
        <w:rPr>
          <w:color w:val="000000"/>
        </w:rPr>
      </w:pPr>
      <w:r w:rsidRPr="003C0842">
        <w:rPr>
          <w:color w:val="000000"/>
        </w:rPr>
        <w:t>D</w:t>
      </w:r>
      <w:r w:rsidR="00236793" w:rsidRPr="003C0842">
        <w:rPr>
          <w:color w:val="000000"/>
        </w:rPr>
        <w:t>o połowy 1927 r. w Sekretariacie L</w:t>
      </w:r>
      <w:r w:rsidRPr="003C0842">
        <w:rPr>
          <w:color w:val="000000"/>
        </w:rPr>
        <w:t>N</w:t>
      </w:r>
      <w:r w:rsidR="00236793" w:rsidRPr="003C0842">
        <w:rPr>
          <w:color w:val="000000"/>
        </w:rPr>
        <w:t xml:space="preserve"> znalazło się dziewi</w:t>
      </w:r>
      <w:r w:rsidR="00A04B29" w:rsidRPr="003C0842">
        <w:rPr>
          <w:color w:val="000000"/>
        </w:rPr>
        <w:t xml:space="preserve">ęciu Niemców, korzystających ze </w:t>
      </w:r>
      <w:r w:rsidR="00236793" w:rsidRPr="003C0842">
        <w:rPr>
          <w:color w:val="000000"/>
        </w:rPr>
        <w:t>statusu funkcjonariusz</w:t>
      </w:r>
      <w:r w:rsidR="00A04B29" w:rsidRPr="003C0842">
        <w:rPr>
          <w:color w:val="000000"/>
        </w:rPr>
        <w:t>a</w:t>
      </w:r>
      <w:r w:rsidR="00236793" w:rsidRPr="003C0842">
        <w:rPr>
          <w:color w:val="000000"/>
        </w:rPr>
        <w:t xml:space="preserve"> rangi międzynarodowej. Znamiennym rysem tej </w:t>
      </w:r>
      <w:r w:rsidR="00A04B29" w:rsidRPr="003C0842">
        <w:rPr>
          <w:color w:val="000000"/>
        </w:rPr>
        <w:t>zróżnicowanej</w:t>
      </w:r>
      <w:r w:rsidR="00236793" w:rsidRPr="003C0842">
        <w:rPr>
          <w:color w:val="000000"/>
        </w:rPr>
        <w:t xml:space="preserve"> zresztą grupy było </w:t>
      </w:r>
      <w:r w:rsidRPr="003C0842">
        <w:rPr>
          <w:color w:val="000000"/>
        </w:rPr>
        <w:t>nieraz wręcz manifestowane</w:t>
      </w:r>
      <w:r w:rsidR="00236793" w:rsidRPr="003C0842">
        <w:rPr>
          <w:color w:val="000000"/>
        </w:rPr>
        <w:t xml:space="preserve"> niezadowolenie z roli spełnianej w machinie administracyjno-dyplomatycznej Ligi. </w:t>
      </w:r>
      <w:r w:rsidR="00A04B29" w:rsidRPr="003C0842">
        <w:rPr>
          <w:color w:val="000000"/>
        </w:rPr>
        <w:t xml:space="preserve">Wyróżniał się pod tym względem </w:t>
      </w:r>
      <w:r w:rsidR="00236793" w:rsidRPr="003C0842">
        <w:rPr>
          <w:color w:val="000000"/>
        </w:rPr>
        <w:t xml:space="preserve">Cecil von Renthe-Fink, </w:t>
      </w:r>
      <w:r w:rsidR="0061356A" w:rsidRPr="003C0842">
        <w:rPr>
          <w:color w:val="000000"/>
        </w:rPr>
        <w:t>były</w:t>
      </w:r>
      <w:r w:rsidR="00236793" w:rsidRPr="003C0842">
        <w:rPr>
          <w:color w:val="000000"/>
        </w:rPr>
        <w:t xml:space="preserve"> sekretarz generalny International Commission on the Elb</w:t>
      </w:r>
      <w:r w:rsidR="00A04B29" w:rsidRPr="003C0842">
        <w:rPr>
          <w:color w:val="000000"/>
        </w:rPr>
        <w:t>e. Do sekcji politycznej Sekretariatu protegował</w:t>
      </w:r>
      <w:r w:rsidR="0061356A" w:rsidRPr="003C0842">
        <w:rPr>
          <w:color w:val="000000"/>
        </w:rPr>
        <w:t xml:space="preserve"> go</w:t>
      </w:r>
      <w:r w:rsidR="00A04B29" w:rsidRPr="003C0842">
        <w:rPr>
          <w:color w:val="000000"/>
        </w:rPr>
        <w:t xml:space="preserve"> Stresemann, zapewne nie bez udziału </w:t>
      </w:r>
      <w:r w:rsidR="00895BD9" w:rsidRPr="003C0842">
        <w:rPr>
          <w:color w:val="000000"/>
        </w:rPr>
        <w:t>sekretarza stanu Carla von Schuberta, popierającego</w:t>
      </w:r>
      <w:r w:rsidR="0061356A" w:rsidRPr="003C0842">
        <w:rPr>
          <w:color w:val="000000"/>
        </w:rPr>
        <w:t xml:space="preserve"> w tym wypadku</w:t>
      </w:r>
      <w:r w:rsidR="00A04B29" w:rsidRPr="003C0842">
        <w:rPr>
          <w:color w:val="000000"/>
        </w:rPr>
        <w:t xml:space="preserve"> męż</w:t>
      </w:r>
      <w:r w:rsidR="00895BD9" w:rsidRPr="003C0842">
        <w:rPr>
          <w:color w:val="000000"/>
        </w:rPr>
        <w:t>a</w:t>
      </w:r>
      <w:r w:rsidR="00236793" w:rsidRPr="003C0842">
        <w:rPr>
          <w:color w:val="000000"/>
        </w:rPr>
        <w:t xml:space="preserve"> siostrzenicy. Czynione mu w Berlinie nadzieje na zajęcie wyższego stanowiska w Sekretaria</w:t>
      </w:r>
      <w:r w:rsidR="0061356A" w:rsidRPr="003C0842">
        <w:rPr>
          <w:color w:val="000000"/>
        </w:rPr>
        <w:t>cie</w:t>
      </w:r>
      <w:r w:rsidR="00236793" w:rsidRPr="003C0842">
        <w:rPr>
          <w:color w:val="000000"/>
        </w:rPr>
        <w:t xml:space="preserve"> nie spełniały się. </w:t>
      </w:r>
      <w:r w:rsidR="00895BD9" w:rsidRPr="003C0842">
        <w:rPr>
          <w:color w:val="000000"/>
        </w:rPr>
        <w:t xml:space="preserve">Nie liczono wprawdzie na </w:t>
      </w:r>
      <w:r w:rsidR="00236793" w:rsidRPr="003C0842">
        <w:rPr>
          <w:color w:val="000000"/>
        </w:rPr>
        <w:t>stanowisk</w:t>
      </w:r>
      <w:r w:rsidR="00895BD9" w:rsidRPr="003C0842">
        <w:rPr>
          <w:color w:val="000000"/>
        </w:rPr>
        <w:t>o</w:t>
      </w:r>
      <w:r w:rsidR="00236793" w:rsidRPr="003C0842">
        <w:rPr>
          <w:color w:val="000000"/>
        </w:rPr>
        <w:t xml:space="preserve"> dyrektora Sekcji politycznej po Paulu Mantoux</w:t>
      </w:r>
      <w:r w:rsidR="00895BD9" w:rsidRPr="003C0842">
        <w:rPr>
          <w:color w:val="000000"/>
        </w:rPr>
        <w:t>, ale oczekiwania na większy zakres zadań dla przedsta</w:t>
      </w:r>
      <w:r w:rsidR="0061356A" w:rsidRPr="003C0842">
        <w:rPr>
          <w:color w:val="000000"/>
        </w:rPr>
        <w:t xml:space="preserve">wiciela Niemiec </w:t>
      </w:r>
      <w:r w:rsidR="006D0D9B" w:rsidRPr="003C0842">
        <w:rPr>
          <w:color w:val="000000"/>
        </w:rPr>
        <w:t xml:space="preserve">pozostawały w fazie </w:t>
      </w:r>
      <w:r w:rsidR="0061356A" w:rsidRPr="003C0842">
        <w:rPr>
          <w:color w:val="000000"/>
        </w:rPr>
        <w:t>rozważa</w:t>
      </w:r>
      <w:r w:rsidR="006D0D9B" w:rsidRPr="003C0842">
        <w:rPr>
          <w:color w:val="000000"/>
        </w:rPr>
        <w:t>ń</w:t>
      </w:r>
      <w:r w:rsidR="00895BD9" w:rsidRPr="003C0842">
        <w:rPr>
          <w:color w:val="000000"/>
        </w:rPr>
        <w:t>.</w:t>
      </w:r>
    </w:p>
    <w:p w:rsidR="00BD56B3" w:rsidRDefault="00895BD9" w:rsidP="00111348">
      <w:pPr>
        <w:shd w:val="clear" w:color="auto" w:fill="FFFFFF"/>
        <w:suppressAutoHyphens/>
        <w:spacing w:line="360" w:lineRule="auto"/>
        <w:ind w:right="40" w:firstLine="720"/>
        <w:rPr>
          <w:color w:val="000000"/>
        </w:rPr>
      </w:pPr>
      <w:r w:rsidRPr="003C0842">
        <w:rPr>
          <w:color w:val="000000"/>
        </w:rPr>
        <w:t xml:space="preserve">Plany te krzyżowała nominacja </w:t>
      </w:r>
      <w:r w:rsidR="00236793" w:rsidRPr="003C0842">
        <w:rPr>
          <w:color w:val="000000"/>
        </w:rPr>
        <w:t>Yotaro Sugimur</w:t>
      </w:r>
      <w:r w:rsidRPr="003C0842">
        <w:rPr>
          <w:color w:val="000000"/>
        </w:rPr>
        <w:t>y, kierującego</w:t>
      </w:r>
      <w:r w:rsidR="00584E03" w:rsidRPr="003C0842">
        <w:rPr>
          <w:color w:val="000000"/>
        </w:rPr>
        <w:t xml:space="preserve"> mieszczącym się w Paryżu</w:t>
      </w:r>
      <w:r w:rsidR="00236793" w:rsidRPr="003C0842">
        <w:rPr>
          <w:color w:val="000000"/>
        </w:rPr>
        <w:t xml:space="preserve"> japoński</w:t>
      </w:r>
      <w:r w:rsidRPr="003C0842">
        <w:rPr>
          <w:color w:val="000000"/>
        </w:rPr>
        <w:t>m</w:t>
      </w:r>
      <w:r w:rsidR="00236793" w:rsidRPr="003C0842">
        <w:rPr>
          <w:color w:val="000000"/>
        </w:rPr>
        <w:t xml:space="preserve"> biur</w:t>
      </w:r>
      <w:r w:rsidRPr="003C0842">
        <w:rPr>
          <w:color w:val="000000"/>
        </w:rPr>
        <w:t>em</w:t>
      </w:r>
      <w:r w:rsidR="00236793" w:rsidRPr="003C0842">
        <w:rPr>
          <w:color w:val="000000"/>
        </w:rPr>
        <w:t xml:space="preserve"> LN, </w:t>
      </w:r>
      <w:r w:rsidR="00584E03" w:rsidRPr="003C0842">
        <w:rPr>
          <w:color w:val="000000"/>
        </w:rPr>
        <w:t xml:space="preserve">który </w:t>
      </w:r>
      <w:r w:rsidR="00236793" w:rsidRPr="003C0842">
        <w:rPr>
          <w:color w:val="000000"/>
        </w:rPr>
        <w:t xml:space="preserve">nie tylko objął 15 stycznia 1927 r. kierownictwo sekcji politycznej, ale został </w:t>
      </w:r>
      <w:r w:rsidR="00584E03" w:rsidRPr="003C0842">
        <w:rPr>
          <w:color w:val="000000"/>
        </w:rPr>
        <w:t>też</w:t>
      </w:r>
      <w:r w:rsidR="00236793" w:rsidRPr="003C0842">
        <w:rPr>
          <w:color w:val="000000"/>
        </w:rPr>
        <w:t xml:space="preserve"> podsekretarzem generalnym. Tymczasem Renthe-Fink znalazł się i </w:t>
      </w:r>
      <w:r w:rsidR="00236793" w:rsidRPr="003C0842">
        <w:rPr>
          <w:color w:val="000000"/>
        </w:rPr>
        <w:lastRenderedPageBreak/>
        <w:t xml:space="preserve">pozostał w rzędzie dziewięciu członków sekcji, których głównym zadaniem było przygotowywanie materiałów </w:t>
      </w:r>
      <w:r w:rsidR="006152A6" w:rsidRPr="003C0842">
        <w:rPr>
          <w:color w:val="000000"/>
        </w:rPr>
        <w:t>na</w:t>
      </w:r>
      <w:r w:rsidR="00236793" w:rsidRPr="003C0842">
        <w:rPr>
          <w:color w:val="000000"/>
        </w:rPr>
        <w:t xml:space="preserve"> potrzeb</w:t>
      </w:r>
      <w:r w:rsidR="006152A6" w:rsidRPr="003C0842">
        <w:rPr>
          <w:color w:val="000000"/>
        </w:rPr>
        <w:t>y</w:t>
      </w:r>
      <w:r w:rsidR="00236793" w:rsidRPr="003C0842">
        <w:rPr>
          <w:color w:val="000000"/>
        </w:rPr>
        <w:t xml:space="preserve"> Rady Ligi</w:t>
      </w:r>
      <w:r w:rsidR="00236793" w:rsidRPr="003C0842">
        <w:rPr>
          <w:rStyle w:val="Odwoanieprzypisudolnego"/>
          <w:rFonts w:ascii="Times New Roman" w:hAnsi="Times New Roman"/>
          <w:color w:val="000000"/>
          <w:sz w:val="24"/>
        </w:rPr>
        <w:footnoteReference w:id="354"/>
      </w:r>
      <w:r w:rsidR="00236793" w:rsidRPr="003C0842">
        <w:rPr>
          <w:color w:val="000000"/>
        </w:rPr>
        <w:t xml:space="preserve">. Efekty tej pracy były następnie </w:t>
      </w:r>
      <w:r w:rsidR="000E6AB8" w:rsidRPr="003C0842">
        <w:rPr>
          <w:color w:val="000000"/>
        </w:rPr>
        <w:t xml:space="preserve">akceptowane </w:t>
      </w:r>
      <w:r w:rsidR="00236793" w:rsidRPr="003C0842">
        <w:rPr>
          <w:color w:val="000000"/>
        </w:rPr>
        <w:t>przez Yotaro Sugimurę i Drummonda, którzy</w:t>
      </w:r>
      <w:r w:rsidR="000E6AB8" w:rsidRPr="003C0842">
        <w:rPr>
          <w:color w:val="000000"/>
        </w:rPr>
        <w:t>uzgadniali ostateczny tekst z referentem Rady</w:t>
      </w:r>
      <w:r w:rsidR="00236793" w:rsidRPr="003C0842">
        <w:rPr>
          <w:color w:val="000000"/>
        </w:rPr>
        <w:t xml:space="preserve"> Ligi. Tak więc członkowie sekcji mieli </w:t>
      </w:r>
      <w:r w:rsidR="000174F0" w:rsidRPr="003C0842">
        <w:rPr>
          <w:color w:val="000000"/>
        </w:rPr>
        <w:t>niewielkie możliwości</w:t>
      </w:r>
      <w:r w:rsidR="00236793" w:rsidRPr="003C0842">
        <w:rPr>
          <w:color w:val="000000"/>
        </w:rPr>
        <w:t xml:space="preserve"> zaprezentowani</w:t>
      </w:r>
      <w:r w:rsidR="000174F0" w:rsidRPr="003C0842">
        <w:rPr>
          <w:color w:val="000000"/>
        </w:rPr>
        <w:t>a swoich</w:t>
      </w:r>
      <w:r w:rsidR="00236793" w:rsidRPr="003C0842">
        <w:rPr>
          <w:color w:val="000000"/>
        </w:rPr>
        <w:t xml:space="preserve"> walorów</w:t>
      </w:r>
      <w:r w:rsidR="000174F0" w:rsidRPr="003C0842">
        <w:rPr>
          <w:color w:val="000000"/>
        </w:rPr>
        <w:t xml:space="preserve"> w kontaktach z politykami spoza Sekretariatu.</w:t>
      </w:r>
    </w:p>
    <w:p w:rsidR="00236793" w:rsidRPr="003C0842" w:rsidRDefault="000174F0" w:rsidP="00111348">
      <w:pPr>
        <w:shd w:val="clear" w:color="auto" w:fill="FFFFFF"/>
        <w:suppressAutoHyphens/>
        <w:spacing w:line="360" w:lineRule="auto"/>
        <w:ind w:right="40" w:firstLine="720"/>
      </w:pPr>
      <w:r w:rsidRPr="003C0842">
        <w:rPr>
          <w:color w:val="000000"/>
        </w:rPr>
        <w:t xml:space="preserve">Dla osób </w:t>
      </w:r>
      <w:r w:rsidR="00236793" w:rsidRPr="003C0842">
        <w:rPr>
          <w:color w:val="000000"/>
        </w:rPr>
        <w:t>z przeszłością dyplomatyczną i określonymi ambicjami sytuacja ta była źródłem zrozumi</w:t>
      </w:r>
      <w:r w:rsidRPr="003C0842">
        <w:rPr>
          <w:color w:val="000000"/>
        </w:rPr>
        <w:t>ałych</w:t>
      </w:r>
      <w:r w:rsidR="00236793" w:rsidRPr="003C0842">
        <w:rPr>
          <w:color w:val="000000"/>
        </w:rPr>
        <w:t xml:space="preserve"> frustracji. W przypadku Renthe-Finka uzewnętrzniły się one zawistną rywalizacją z Schmiedenem o wpływy w „ligowej” kol</w:t>
      </w:r>
      <w:r w:rsidRPr="003C0842">
        <w:rPr>
          <w:color w:val="000000"/>
        </w:rPr>
        <w:t xml:space="preserve">onii niemieckiej. </w:t>
      </w:r>
      <w:r w:rsidR="0061356A" w:rsidRPr="003C0842">
        <w:rPr>
          <w:color w:val="000000"/>
        </w:rPr>
        <w:t>Będąc</w:t>
      </w:r>
      <w:r w:rsidRPr="003C0842">
        <w:rPr>
          <w:color w:val="000000"/>
        </w:rPr>
        <w:t xml:space="preserve"> w bliskich stosunkach z konsulem Aschmannem,</w:t>
      </w:r>
      <w:r w:rsidR="0061356A" w:rsidRPr="003C0842">
        <w:rPr>
          <w:color w:val="000000"/>
        </w:rPr>
        <w:t>zwracała wagę jego wzmożona</w:t>
      </w:r>
      <w:r w:rsidR="00236793" w:rsidRPr="003C0842">
        <w:rPr>
          <w:color w:val="000000"/>
        </w:rPr>
        <w:t xml:space="preserve"> aktywność w czasie periodycznych przyjazdów do Genewy </w:t>
      </w:r>
      <w:r w:rsidRPr="003C0842">
        <w:rPr>
          <w:color w:val="000000"/>
        </w:rPr>
        <w:t xml:space="preserve">członków </w:t>
      </w:r>
      <w:r w:rsidR="00236793" w:rsidRPr="003C0842">
        <w:rPr>
          <w:color w:val="000000"/>
        </w:rPr>
        <w:t xml:space="preserve">rządu. </w:t>
      </w:r>
      <w:r w:rsidR="0061356A" w:rsidRPr="003C0842">
        <w:rPr>
          <w:color w:val="000000"/>
        </w:rPr>
        <w:t xml:space="preserve">„Opiekę” tę </w:t>
      </w:r>
      <w:r w:rsidR="00236793" w:rsidRPr="003C0842">
        <w:rPr>
          <w:color w:val="000000"/>
        </w:rPr>
        <w:t>ułatwi</w:t>
      </w:r>
      <w:r w:rsidR="0061356A" w:rsidRPr="003C0842">
        <w:rPr>
          <w:color w:val="000000"/>
        </w:rPr>
        <w:t>ało</w:t>
      </w:r>
      <w:r w:rsidR="00236793" w:rsidRPr="003C0842">
        <w:rPr>
          <w:color w:val="000000"/>
        </w:rPr>
        <w:t xml:space="preserve"> zajmowanie się w </w:t>
      </w:r>
      <w:r w:rsidR="0061356A" w:rsidRPr="003C0842">
        <w:rPr>
          <w:color w:val="000000"/>
        </w:rPr>
        <w:t xml:space="preserve">ramach </w:t>
      </w:r>
      <w:r w:rsidR="00236793" w:rsidRPr="003C0842">
        <w:rPr>
          <w:color w:val="000000"/>
        </w:rPr>
        <w:t xml:space="preserve">sekcji politycznej </w:t>
      </w:r>
      <w:r w:rsidR="0061356A" w:rsidRPr="003C0842">
        <w:rPr>
          <w:color w:val="000000"/>
        </w:rPr>
        <w:t xml:space="preserve">m.in. </w:t>
      </w:r>
      <w:r w:rsidR="00236793" w:rsidRPr="003C0842">
        <w:rPr>
          <w:color w:val="000000"/>
        </w:rPr>
        <w:t>sprawami niemieckimi</w:t>
      </w:r>
      <w:r w:rsidR="0061356A" w:rsidRPr="003C0842">
        <w:rPr>
          <w:color w:val="000000"/>
        </w:rPr>
        <w:t xml:space="preserve">. </w:t>
      </w:r>
      <w:r w:rsidR="00304533" w:rsidRPr="003C0842">
        <w:rPr>
          <w:color w:val="000000"/>
        </w:rPr>
        <w:t>U</w:t>
      </w:r>
      <w:r w:rsidR="00236793" w:rsidRPr="003C0842">
        <w:rPr>
          <w:color w:val="000000"/>
        </w:rPr>
        <w:t>tysk</w:t>
      </w:r>
      <w:r w:rsidR="00304533" w:rsidRPr="003C0842">
        <w:rPr>
          <w:color w:val="000000"/>
        </w:rPr>
        <w:t>ując</w:t>
      </w:r>
      <w:r w:rsidR="00236793" w:rsidRPr="003C0842">
        <w:rPr>
          <w:color w:val="000000"/>
        </w:rPr>
        <w:t xml:space="preserve"> na sytuację materialną</w:t>
      </w:r>
      <w:r w:rsidR="00C465AD" w:rsidRPr="003C0842">
        <w:rPr>
          <w:rStyle w:val="Odwoanieprzypisudolnego"/>
          <w:rFonts w:ascii="Times New Roman" w:hAnsi="Times New Roman"/>
          <w:color w:val="000000"/>
          <w:sz w:val="24"/>
        </w:rPr>
        <w:footnoteReference w:id="355"/>
      </w:r>
      <w:r w:rsidR="000D7403" w:rsidRPr="003C0842">
        <w:rPr>
          <w:color w:val="000000"/>
        </w:rPr>
        <w:t>,</w:t>
      </w:r>
      <w:r w:rsidR="00304533" w:rsidRPr="003C0842">
        <w:rPr>
          <w:color w:val="000000"/>
        </w:rPr>
        <w:t xml:space="preserve"> żalił się </w:t>
      </w:r>
      <w:r w:rsidR="00C465AD" w:rsidRPr="003C0842">
        <w:rPr>
          <w:color w:val="000000"/>
        </w:rPr>
        <w:t>głównie na pozycję</w:t>
      </w:r>
      <w:r w:rsidR="00236793" w:rsidRPr="003C0842">
        <w:rPr>
          <w:color w:val="000000"/>
        </w:rPr>
        <w:t xml:space="preserve"> w Sekretariacie, która nie odpowiadała jego możliwościom i zdobytemu doświadczeniu</w:t>
      </w:r>
      <w:r w:rsidR="00C465AD" w:rsidRPr="003C0842">
        <w:rPr>
          <w:color w:val="000000"/>
        </w:rPr>
        <w:t>.</w:t>
      </w:r>
      <w:r w:rsidR="00C465AD" w:rsidRPr="003C0842">
        <w:rPr>
          <w:iCs/>
          <w:color w:val="000000"/>
        </w:rPr>
        <w:t>Dążenie do poprawy swojej pozycji, prezentowane w nacjonalistycznej otulinie,</w:t>
      </w:r>
      <w:r w:rsidR="00C465AD" w:rsidRPr="003C0842">
        <w:rPr>
          <w:color w:val="000000"/>
        </w:rPr>
        <w:t xml:space="preserve">zrażały </w:t>
      </w:r>
      <w:r w:rsidR="00236793" w:rsidRPr="003C0842">
        <w:rPr>
          <w:color w:val="000000"/>
        </w:rPr>
        <w:t>środowisko, w którym funkcjonował. W 1931 r. zgłosił chęć opuszczenia Sekretariatu, na co w Berlinie nie wyrażano zgody. Rozbrat ten nastąpił dopiero jesienią 1933 r. wraz z opuszczeniem Ligi Narodów przez Niemcy.</w:t>
      </w:r>
    </w:p>
    <w:p w:rsidR="00236793" w:rsidRPr="003C0842" w:rsidRDefault="00236793" w:rsidP="00111348">
      <w:pPr>
        <w:shd w:val="clear" w:color="auto" w:fill="FFFFFF"/>
        <w:suppressAutoHyphens/>
        <w:spacing w:line="360" w:lineRule="auto"/>
        <w:ind w:right="40" w:firstLine="720"/>
      </w:pPr>
      <w:r w:rsidRPr="003C0842">
        <w:rPr>
          <w:color w:val="000000"/>
        </w:rPr>
        <w:t>Trwająca przez cały ten czas rywalizacja Renthe-Finka ze Sc</w:t>
      </w:r>
      <w:r w:rsidR="00C465AD" w:rsidRPr="003C0842">
        <w:rPr>
          <w:color w:val="000000"/>
        </w:rPr>
        <w:t>h</w:t>
      </w:r>
      <w:r w:rsidRPr="003C0842">
        <w:rPr>
          <w:color w:val="000000"/>
        </w:rPr>
        <w:t>miedenem o pozycję pierwszego zaufanego AA wśród Niemców zatrudnionych w Sekretariacie</w:t>
      </w:r>
      <w:r w:rsidR="00304533" w:rsidRPr="003C0842">
        <w:rPr>
          <w:color w:val="000000"/>
        </w:rPr>
        <w:t>,</w:t>
      </w:r>
      <w:r w:rsidRPr="003C0842">
        <w:rPr>
          <w:color w:val="000000"/>
        </w:rPr>
        <w:t xml:space="preserve"> silnie ważyła na zwartości i pozycji całej </w:t>
      </w:r>
      <w:r w:rsidR="00C465AD" w:rsidRPr="003C0842">
        <w:rPr>
          <w:color w:val="000000"/>
        </w:rPr>
        <w:t xml:space="preserve">tej </w:t>
      </w:r>
      <w:r w:rsidRPr="003C0842">
        <w:rPr>
          <w:color w:val="000000"/>
        </w:rPr>
        <w:t xml:space="preserve">grupy. Dla polityków niemieckich rezydujących w Berlinie rywalizacja poszczególnych urzędników w Sekretariacie miała być </w:t>
      </w:r>
      <w:r w:rsidR="00C465AD" w:rsidRPr="003C0842">
        <w:rPr>
          <w:color w:val="000000"/>
        </w:rPr>
        <w:t xml:space="preserve">dodatkowym </w:t>
      </w:r>
      <w:r w:rsidRPr="003C0842">
        <w:rPr>
          <w:color w:val="000000"/>
        </w:rPr>
        <w:t xml:space="preserve">instrumentem </w:t>
      </w:r>
      <w:r w:rsidR="00C465AD" w:rsidRPr="003C0842">
        <w:rPr>
          <w:color w:val="000000"/>
        </w:rPr>
        <w:t>zdobywania</w:t>
      </w:r>
      <w:r w:rsidRPr="003C0842">
        <w:rPr>
          <w:color w:val="000000"/>
        </w:rPr>
        <w:t xml:space="preserve"> informacji. Wysyłając Schmiedena, w przeszłości sekretarza ambasady w Rzymie, od 1925 r. radcy legacyjnego AA</w:t>
      </w:r>
      <w:r w:rsidR="00C465AD" w:rsidRPr="003C0842">
        <w:rPr>
          <w:color w:val="000000"/>
        </w:rPr>
        <w:t>,</w:t>
      </w:r>
      <w:r w:rsidRPr="003C0842">
        <w:rPr>
          <w:color w:val="000000"/>
        </w:rPr>
        <w:t xml:space="preserve"> na odpowiedzialne stanowisko asystenta </w:t>
      </w:r>
      <w:r w:rsidR="00C465AD" w:rsidRPr="003C0842">
        <w:rPr>
          <w:color w:val="000000"/>
        </w:rPr>
        <w:t xml:space="preserve">niemieckiego podsekretarza generalnego, </w:t>
      </w:r>
      <w:r w:rsidRPr="003C0842">
        <w:rPr>
          <w:color w:val="000000"/>
        </w:rPr>
        <w:t>liczono na stały dopływ informacji</w:t>
      </w:r>
      <w:r w:rsidR="00C465AD" w:rsidRPr="003C0842">
        <w:rPr>
          <w:color w:val="000000"/>
        </w:rPr>
        <w:t xml:space="preserve"> „z pierwszej ręki”.</w:t>
      </w:r>
      <w:r w:rsidRPr="003C0842">
        <w:rPr>
          <w:color w:val="000000"/>
        </w:rPr>
        <w:t xml:space="preserve"> Do Berlina docierały nie tylko jego własne opinie, ale także „prywatne listy” podpisywane przez </w:t>
      </w:r>
      <w:r w:rsidR="005E3043" w:rsidRPr="003C0842">
        <w:rPr>
          <w:color w:val="000000"/>
        </w:rPr>
        <w:t>jego szefa</w:t>
      </w:r>
      <w:r w:rsidRPr="003C0842">
        <w:rPr>
          <w:color w:val="000000"/>
        </w:rPr>
        <w:t>, które powstawały w wyniku wspólnych obserwacji i przemyśleń. Zarazem Schmieden przekazywał Niemcom pracującym w Sekretariacie instrukcje, które najczęściej „pobierał” od konsula Aschmanna.</w:t>
      </w:r>
      <w:r w:rsidR="005E3043" w:rsidRPr="003C0842">
        <w:rPr>
          <w:color w:val="000000"/>
        </w:rPr>
        <w:t>P</w:t>
      </w:r>
      <w:r w:rsidRPr="003C0842">
        <w:rPr>
          <w:color w:val="000000"/>
        </w:rPr>
        <w:t>raktyk</w:t>
      </w:r>
      <w:r w:rsidR="005E3043" w:rsidRPr="003C0842">
        <w:rPr>
          <w:color w:val="000000"/>
        </w:rPr>
        <w:t>owano to</w:t>
      </w:r>
      <w:r w:rsidRPr="003C0842">
        <w:rPr>
          <w:color w:val="000000"/>
        </w:rPr>
        <w:t xml:space="preserve"> przez cały pobyt Niemiec w Lidze Narodów</w:t>
      </w:r>
      <w:r w:rsidRPr="003C0842">
        <w:rPr>
          <w:rStyle w:val="Odwoanieprzypisudolnego"/>
          <w:rFonts w:ascii="Times New Roman" w:hAnsi="Times New Roman"/>
          <w:color w:val="000000"/>
          <w:sz w:val="24"/>
        </w:rPr>
        <w:footnoteReference w:id="356"/>
      </w:r>
      <w:r w:rsidRPr="003C0842">
        <w:rPr>
          <w:color w:val="000000"/>
        </w:rPr>
        <w:t>.</w:t>
      </w:r>
    </w:p>
    <w:p w:rsidR="00236793" w:rsidRPr="003C0842" w:rsidRDefault="00236793" w:rsidP="00111348">
      <w:pPr>
        <w:shd w:val="clear" w:color="auto" w:fill="FFFFFF"/>
        <w:suppressAutoHyphens/>
        <w:spacing w:line="360" w:lineRule="auto"/>
        <w:ind w:right="40" w:firstLine="720"/>
      </w:pPr>
      <w:r w:rsidRPr="003C0842">
        <w:rPr>
          <w:color w:val="000000"/>
        </w:rPr>
        <w:lastRenderedPageBreak/>
        <w:t xml:space="preserve">W niemieckim eksperymencie ligowym najwyższym rangą urzędnikiem zatrudnionym uprzednio w AA był Albert Dufour-Feronce. </w:t>
      </w:r>
      <w:r w:rsidR="00E95299" w:rsidRPr="003C0842">
        <w:rPr>
          <w:color w:val="000000"/>
        </w:rPr>
        <w:t xml:space="preserve">Wiadomo, że uzyskanie </w:t>
      </w:r>
      <w:r w:rsidRPr="003C0842">
        <w:rPr>
          <w:color w:val="000000"/>
        </w:rPr>
        <w:t>stanowisk</w:t>
      </w:r>
      <w:r w:rsidR="00E95299" w:rsidRPr="003C0842">
        <w:rPr>
          <w:color w:val="000000"/>
        </w:rPr>
        <w:t>a</w:t>
      </w:r>
      <w:r w:rsidRPr="003C0842">
        <w:rPr>
          <w:color w:val="000000"/>
        </w:rPr>
        <w:t xml:space="preserve"> zastępcy sekretarza generalnego było w Berlinie stawiane na równi z żądaniem stałego miejsca w Radzie. Drummond stosunkowo łatwo przystał na tę propozycję, planując obsadzenie stanowiska zastępców przez przedstawicieli państw należących do stałych członków Rady.</w:t>
      </w:r>
    </w:p>
    <w:p w:rsidR="00BD56B3" w:rsidRDefault="00236793" w:rsidP="00111348">
      <w:pPr>
        <w:spacing w:line="360" w:lineRule="auto"/>
        <w:ind w:firstLine="709"/>
        <w:rPr>
          <w:color w:val="000000"/>
        </w:rPr>
      </w:pPr>
      <w:r w:rsidRPr="003C0842">
        <w:rPr>
          <w:color w:val="000000"/>
        </w:rPr>
        <w:t>Złagodzo</w:t>
      </w:r>
      <w:r w:rsidR="00E95299" w:rsidRPr="003C0842">
        <w:rPr>
          <w:color w:val="000000"/>
        </w:rPr>
        <w:t>ne w okresie wiosny i lata 1926 r</w:t>
      </w:r>
      <w:r w:rsidRPr="003C0842">
        <w:rPr>
          <w:color w:val="000000"/>
        </w:rPr>
        <w:t>. dyskusje na temat wprowadzenia do składu Sekretariatu niemieckiego sekretarza generalnego wybuchły z nową siłą po formalnym przyjęciu Niemiec do Ligi. Mnożące się spekulacje na ten temat skonkretyzowała inicjatywa Eric</w:t>
      </w:r>
      <w:r w:rsidR="00304533" w:rsidRPr="003C0842">
        <w:rPr>
          <w:color w:val="000000"/>
        </w:rPr>
        <w:t>a</w:t>
      </w:r>
      <w:r w:rsidRPr="003C0842">
        <w:rPr>
          <w:color w:val="000000"/>
        </w:rPr>
        <w:t xml:space="preserve"> Drummonda, który w rozmowie z Carlem Schubertem okazał zainteresowanie ewentualną współpracą z Dufour-Feroncem. Zainteresowany, wezwany pośpiesznie do Berlina, wyraził zgodę</w:t>
      </w:r>
      <w:r w:rsidR="000D7403" w:rsidRPr="003C0842">
        <w:rPr>
          <w:color w:val="000000"/>
        </w:rPr>
        <w:t>,</w:t>
      </w:r>
      <w:r w:rsidRPr="003C0842">
        <w:rPr>
          <w:color w:val="000000"/>
        </w:rPr>
        <w:t xml:space="preserve"> zastrzegając jej ogłoszenie do czasu nawiązania osobistego kontaktu z </w:t>
      </w:r>
      <w:r w:rsidR="00413C94" w:rsidRPr="003C0842">
        <w:rPr>
          <w:color w:val="000000"/>
        </w:rPr>
        <w:t>sekretarzem g</w:t>
      </w:r>
      <w:r w:rsidR="00304533" w:rsidRPr="003C0842">
        <w:rPr>
          <w:color w:val="000000"/>
        </w:rPr>
        <w:t>eneralnym.</w:t>
      </w:r>
    </w:p>
    <w:p w:rsidR="00AC02E6" w:rsidRPr="003C0842" w:rsidRDefault="00236793" w:rsidP="00111348">
      <w:pPr>
        <w:shd w:val="clear" w:color="auto" w:fill="FFFFFF"/>
        <w:suppressAutoHyphens/>
        <w:spacing w:line="360" w:lineRule="auto"/>
        <w:ind w:right="40" w:firstLine="720"/>
        <w:rPr>
          <w:color w:val="000000"/>
        </w:rPr>
      </w:pPr>
      <w:r w:rsidRPr="003C0842">
        <w:rPr>
          <w:color w:val="000000"/>
        </w:rPr>
        <w:t xml:space="preserve">Niemcy od 1 stycznia 1927 r. miały swego przedstawiciela wśród najwyższych rangą urzędników Sekretariatu. </w:t>
      </w:r>
      <w:r w:rsidR="00304533" w:rsidRPr="003C0842">
        <w:rPr>
          <w:color w:val="000000"/>
        </w:rPr>
        <w:t>S</w:t>
      </w:r>
      <w:r w:rsidRPr="003C0842">
        <w:rPr>
          <w:color w:val="000000"/>
        </w:rPr>
        <w:t>zeroko w Niemczech reklamowana decyzja nie spotkała się z żadnym zastrzeżeniem ze strony innych stolic.</w:t>
      </w:r>
      <w:r w:rsidR="00304533" w:rsidRPr="003C0842">
        <w:rPr>
          <w:color w:val="000000"/>
        </w:rPr>
        <w:t xml:space="preserve"> Na</w:t>
      </w:r>
      <w:r w:rsidR="000D7403" w:rsidRPr="003C0842">
        <w:rPr>
          <w:color w:val="000000"/>
        </w:rPr>
        <w:t>Quai d’</w:t>
      </w:r>
      <w:r w:rsidR="00304533" w:rsidRPr="003C0842">
        <w:rPr>
          <w:color w:val="000000"/>
        </w:rPr>
        <w:t xml:space="preserve">Orsay nowego urzędnika Sekretariatu </w:t>
      </w:r>
      <w:r w:rsidRPr="003C0842">
        <w:rPr>
          <w:color w:val="000000"/>
        </w:rPr>
        <w:t>charakteryzowano jako osobę o „wielkiej niezależności”. Pierre de Margerie, francuski ambasador w Berlinie</w:t>
      </w:r>
      <w:r w:rsidR="00AC02E6" w:rsidRPr="003C0842">
        <w:rPr>
          <w:color w:val="000000"/>
        </w:rPr>
        <w:t>,</w:t>
      </w:r>
      <w:r w:rsidR="000D7403" w:rsidRPr="003C0842">
        <w:rPr>
          <w:color w:val="000000"/>
        </w:rPr>
        <w:t xml:space="preserve"> zaliczał Dufour-Feronce’</w:t>
      </w:r>
      <w:r w:rsidRPr="003C0842">
        <w:rPr>
          <w:color w:val="000000"/>
        </w:rPr>
        <w:t>a do grona najznamienitszych przedstawicieli powojennej dyplomacji. Podkreślał jego walory osobiste oraz wyróżniające kompetencje w zakresie spraw gospodarczych. Ten sam aspekt jego dotychczasowej</w:t>
      </w:r>
      <w:r w:rsidR="009F0B1B" w:rsidRPr="003C0842">
        <w:rPr>
          <w:color w:val="000000"/>
        </w:rPr>
        <w:t xml:space="preserve"> działalności międzynarodowej dostrzegano w Londynie</w:t>
      </w:r>
      <w:r w:rsidR="00882BB7" w:rsidRPr="003C0842">
        <w:rPr>
          <w:color w:val="000000"/>
        </w:rPr>
        <w:t xml:space="preserve">, gdzie funkcjonował jako </w:t>
      </w:r>
      <w:r w:rsidR="009F0B1B" w:rsidRPr="003C0842">
        <w:rPr>
          <w:color w:val="000000"/>
        </w:rPr>
        <w:t xml:space="preserve">anglofil. </w:t>
      </w:r>
      <w:r w:rsidR="00882BB7" w:rsidRPr="003C0842">
        <w:rPr>
          <w:color w:val="000000"/>
        </w:rPr>
        <w:t>W</w:t>
      </w:r>
      <w:r w:rsidR="009F0B1B" w:rsidRPr="003C0842">
        <w:rPr>
          <w:color w:val="000000"/>
        </w:rPr>
        <w:t xml:space="preserve"> Londynie</w:t>
      </w:r>
      <w:r w:rsidR="00882BB7" w:rsidRPr="003C0842">
        <w:rPr>
          <w:color w:val="000000"/>
        </w:rPr>
        <w:t xml:space="preserve">się urodził </w:t>
      </w:r>
      <w:r w:rsidR="009F0B1B" w:rsidRPr="003C0842">
        <w:rPr>
          <w:color w:val="000000"/>
        </w:rPr>
        <w:t>(w 1868 r.)</w:t>
      </w:r>
      <w:r w:rsidR="00882BB7" w:rsidRPr="003C0842">
        <w:rPr>
          <w:color w:val="000000"/>
        </w:rPr>
        <w:t xml:space="preserve"> i zdobył</w:t>
      </w:r>
      <w:r w:rsidR="009F0B1B" w:rsidRPr="003C0842">
        <w:rPr>
          <w:color w:val="000000"/>
        </w:rPr>
        <w:t xml:space="preserve"> wykształcenie, które z powodzeniem wykorzystał </w:t>
      </w:r>
      <w:r w:rsidR="00882BB7" w:rsidRPr="003C0842">
        <w:rPr>
          <w:color w:val="000000"/>
        </w:rPr>
        <w:t xml:space="preserve">następnie </w:t>
      </w:r>
      <w:r w:rsidR="009F0B1B" w:rsidRPr="003C0842">
        <w:rPr>
          <w:color w:val="000000"/>
        </w:rPr>
        <w:t>w działalności gospodarczej na terenie Niemiec. Był członkiem spół</w:t>
      </w:r>
      <w:r w:rsidR="00F07DB5" w:rsidRPr="003C0842">
        <w:rPr>
          <w:color w:val="000000"/>
        </w:rPr>
        <w:t xml:space="preserve">ek działających </w:t>
      </w:r>
      <w:r w:rsidR="009F0B1B" w:rsidRPr="003C0842">
        <w:rPr>
          <w:color w:val="000000"/>
        </w:rPr>
        <w:t>w Lipsku, Berlinie i Hamburgu</w:t>
      </w:r>
      <w:r w:rsidR="00F07DB5" w:rsidRPr="003C0842">
        <w:rPr>
          <w:color w:val="000000"/>
        </w:rPr>
        <w:t>, a</w:t>
      </w:r>
      <w:r w:rsidR="009F0B1B" w:rsidRPr="003C0842">
        <w:rPr>
          <w:color w:val="000000"/>
        </w:rPr>
        <w:t xml:space="preserve"> także na terenie Austrii</w:t>
      </w:r>
      <w:r w:rsidR="00F07DB5" w:rsidRPr="003C0842">
        <w:rPr>
          <w:color w:val="000000"/>
        </w:rPr>
        <w:t xml:space="preserve">; był wśród </w:t>
      </w:r>
      <w:r w:rsidR="009F0B1B" w:rsidRPr="003C0842">
        <w:rPr>
          <w:color w:val="000000"/>
        </w:rPr>
        <w:t>członk</w:t>
      </w:r>
      <w:r w:rsidR="00F07DB5" w:rsidRPr="003C0842">
        <w:rPr>
          <w:color w:val="000000"/>
        </w:rPr>
        <w:t>ów honorowych</w:t>
      </w:r>
      <w:r w:rsidR="009F0B1B" w:rsidRPr="003C0842">
        <w:rPr>
          <w:color w:val="000000"/>
        </w:rPr>
        <w:t xml:space="preserve"> rady miejskiej w Lipsku. W 1916 r. w czasie drugiej bitwy pod Sommą zginął jego jedyny syn. </w:t>
      </w:r>
      <w:r w:rsidR="00F07DB5" w:rsidRPr="003C0842">
        <w:rPr>
          <w:color w:val="000000"/>
        </w:rPr>
        <w:t>Po tym d</w:t>
      </w:r>
      <w:r w:rsidR="009F0B1B" w:rsidRPr="003C0842">
        <w:rPr>
          <w:color w:val="000000"/>
        </w:rPr>
        <w:t>rama</w:t>
      </w:r>
      <w:r w:rsidR="00F07DB5" w:rsidRPr="003C0842">
        <w:rPr>
          <w:color w:val="000000"/>
        </w:rPr>
        <w:t>cie</w:t>
      </w:r>
      <w:r w:rsidR="009F0B1B" w:rsidRPr="003C0842">
        <w:rPr>
          <w:color w:val="000000"/>
        </w:rPr>
        <w:t xml:space="preserve"> wycofa</w:t>
      </w:r>
      <w:r w:rsidR="00F07DB5" w:rsidRPr="003C0842">
        <w:rPr>
          <w:color w:val="000000"/>
        </w:rPr>
        <w:t>ł</w:t>
      </w:r>
      <w:r w:rsidR="009F0B1B" w:rsidRPr="003C0842">
        <w:rPr>
          <w:color w:val="000000"/>
        </w:rPr>
        <w:t xml:space="preserve"> się z interesów i w</w:t>
      </w:r>
      <w:r w:rsidR="00F07DB5" w:rsidRPr="003C0842">
        <w:rPr>
          <w:color w:val="000000"/>
        </w:rPr>
        <w:t>szedł</w:t>
      </w:r>
      <w:r w:rsidR="009F0B1B" w:rsidRPr="003C0842">
        <w:rPr>
          <w:color w:val="000000"/>
        </w:rPr>
        <w:t xml:space="preserve"> do służby dyplomatycznej. </w:t>
      </w:r>
      <w:r w:rsidR="00F07DB5" w:rsidRPr="003C0842">
        <w:rPr>
          <w:color w:val="000000"/>
        </w:rPr>
        <w:t xml:space="preserve">Jako zwolennik </w:t>
      </w:r>
      <w:r w:rsidR="009F0B1B" w:rsidRPr="003C0842">
        <w:rPr>
          <w:color w:val="000000"/>
        </w:rPr>
        <w:t xml:space="preserve">współpracy brytyjsko-niemieckiej w 1919 r. objął posadę radcy w ambasadzie w Londynie. </w:t>
      </w:r>
      <w:r w:rsidR="00F07DB5" w:rsidRPr="003C0842">
        <w:rPr>
          <w:color w:val="000000"/>
        </w:rPr>
        <w:t xml:space="preserve">W rodzinnym mieście </w:t>
      </w:r>
      <w:r w:rsidR="009F0B1B" w:rsidRPr="003C0842">
        <w:rPr>
          <w:color w:val="000000"/>
        </w:rPr>
        <w:t>przekon</w:t>
      </w:r>
      <w:r w:rsidR="00F07DB5" w:rsidRPr="003C0842">
        <w:rPr>
          <w:color w:val="000000"/>
        </w:rPr>
        <w:t>ywał</w:t>
      </w:r>
      <w:r w:rsidR="009F0B1B" w:rsidRPr="003C0842">
        <w:rPr>
          <w:color w:val="000000"/>
        </w:rPr>
        <w:t xml:space="preserve"> do swych idei </w:t>
      </w:r>
      <w:r w:rsidR="00F07DB5" w:rsidRPr="003C0842">
        <w:rPr>
          <w:color w:val="000000"/>
        </w:rPr>
        <w:t>głównie</w:t>
      </w:r>
      <w:r w:rsidR="009F0B1B" w:rsidRPr="003C0842">
        <w:rPr>
          <w:color w:val="000000"/>
        </w:rPr>
        <w:t xml:space="preserve"> ludzi biznesu, a także osobistości ze świata polityki. W 1924 r. powołany został na stanowisko ministra pełnomocnego tej ambasady</w:t>
      </w:r>
      <w:r w:rsidR="009F0B1B" w:rsidRPr="003C0842">
        <w:rPr>
          <w:rStyle w:val="Odwoanieprzypisudolnego"/>
          <w:rFonts w:ascii="Times New Roman" w:hAnsi="Times New Roman"/>
          <w:color w:val="000000"/>
          <w:sz w:val="24"/>
        </w:rPr>
        <w:footnoteReference w:id="357"/>
      </w:r>
      <w:r w:rsidR="009F0B1B" w:rsidRPr="003C0842">
        <w:rPr>
          <w:color w:val="000000"/>
        </w:rPr>
        <w:t xml:space="preserve">. </w:t>
      </w:r>
    </w:p>
    <w:p w:rsidR="009F0B1B" w:rsidRPr="003C0842" w:rsidRDefault="000D7403" w:rsidP="00111348">
      <w:pPr>
        <w:shd w:val="clear" w:color="auto" w:fill="FFFFFF"/>
        <w:suppressAutoHyphens/>
        <w:spacing w:line="360" w:lineRule="auto"/>
        <w:ind w:right="40" w:firstLine="720"/>
      </w:pPr>
      <w:r w:rsidRPr="003C0842">
        <w:rPr>
          <w:color w:val="000000"/>
        </w:rPr>
        <w:t>Defour-Feronce,</w:t>
      </w:r>
      <w:r w:rsidR="009F0B1B" w:rsidRPr="003C0842">
        <w:rPr>
          <w:color w:val="000000"/>
        </w:rPr>
        <w:t xml:space="preserve"> wchodząc do Sekretariatu</w:t>
      </w:r>
      <w:r w:rsidRPr="003C0842">
        <w:rPr>
          <w:color w:val="000000"/>
        </w:rPr>
        <w:t>,</w:t>
      </w:r>
      <w:r w:rsidR="009F0B1B" w:rsidRPr="003C0842">
        <w:rPr>
          <w:color w:val="000000"/>
        </w:rPr>
        <w:t xml:space="preserve"> miał blisko 60 lat. Należał do najstarszych pracowników. Choć miał za sobą najbardziej znaczącą działalność w krajowej </w:t>
      </w:r>
      <w:r w:rsidR="009F0B1B" w:rsidRPr="003C0842">
        <w:rPr>
          <w:color w:val="000000"/>
        </w:rPr>
        <w:lastRenderedPageBreak/>
        <w:t>służbie dyplomatycznej, wśród pięciu najwyższych rangą urzędników Sekretariatu miał w kompetencji sprawy mało ważn</w:t>
      </w:r>
      <w:r w:rsidR="004E1B51" w:rsidRPr="003C0842">
        <w:rPr>
          <w:color w:val="000000"/>
        </w:rPr>
        <w:t>e</w:t>
      </w:r>
      <w:r w:rsidR="009F0B1B" w:rsidRPr="003C0842">
        <w:rPr>
          <w:color w:val="000000"/>
        </w:rPr>
        <w:t xml:space="preserve"> z </w:t>
      </w:r>
      <w:r w:rsidR="004E1B51" w:rsidRPr="003C0842">
        <w:rPr>
          <w:color w:val="000000"/>
        </w:rPr>
        <w:t xml:space="preserve">politycznego </w:t>
      </w:r>
      <w:r w:rsidR="009F0B1B" w:rsidRPr="003C0842">
        <w:rPr>
          <w:color w:val="000000"/>
        </w:rPr>
        <w:t>punktu</w:t>
      </w:r>
      <w:r w:rsidR="004E1B51" w:rsidRPr="003C0842">
        <w:rPr>
          <w:color w:val="000000"/>
        </w:rPr>
        <w:t xml:space="preserve"> widzenia.S</w:t>
      </w:r>
      <w:r w:rsidR="009F0B1B" w:rsidRPr="003C0842">
        <w:rPr>
          <w:color w:val="000000"/>
        </w:rPr>
        <w:t>tatus ten nie ulegał zmianie</w:t>
      </w:r>
      <w:r w:rsidR="004E1B51" w:rsidRPr="003C0842">
        <w:rPr>
          <w:color w:val="000000"/>
        </w:rPr>
        <w:t xml:space="preserve">, chociaż </w:t>
      </w:r>
      <w:r w:rsidR="009F0B1B" w:rsidRPr="003C0842">
        <w:rPr>
          <w:color w:val="000000"/>
        </w:rPr>
        <w:t xml:space="preserve">okazji </w:t>
      </w:r>
      <w:r w:rsidR="004E1B51" w:rsidRPr="003C0842">
        <w:rPr>
          <w:color w:val="000000"/>
        </w:rPr>
        <w:t>nie brakowało.</w:t>
      </w:r>
      <w:r w:rsidR="009F0B1B" w:rsidRPr="003C0842">
        <w:rPr>
          <w:color w:val="000000"/>
        </w:rPr>
        <w:t xml:space="preserve"> Oto już w marcu 1927 r. Bernardo Attolico, najstarszy stażem wśród podsekretarzy generalnych, opuścił Genewę dla pracy w ambasadzie w Rio de Janeiro. Spodziewany awa</w:t>
      </w:r>
      <w:r w:rsidRPr="003C0842">
        <w:rPr>
          <w:color w:val="000000"/>
        </w:rPr>
        <w:t>ns kompetencyjny Dufour-Feronce’</w:t>
      </w:r>
      <w:r w:rsidR="009F0B1B" w:rsidRPr="003C0842">
        <w:rPr>
          <w:color w:val="000000"/>
        </w:rPr>
        <w:t>a nie nastąpił. Miejsce Attolico zajął jego rodak Giacomo Paulucci Di Colboli, dotychczasowy szef gabinetu Mussoliniego. Rozczarowanie było tym większe, że nowy podsekretarz, mający w kompetencji wewnętrzną organizację i administrację Ligi legitymował się niżej notowaną karierą dyplomatyczną, był o 15 lat młodszy</w:t>
      </w:r>
      <w:r w:rsidR="0037279B" w:rsidRPr="003C0842">
        <w:rPr>
          <w:color w:val="000000"/>
        </w:rPr>
        <w:t>, a pon</w:t>
      </w:r>
      <w:r w:rsidR="00413C94" w:rsidRPr="003C0842">
        <w:rPr>
          <w:color w:val="000000"/>
        </w:rPr>
        <w:t>adto nie cieszył się poparciem sekretarza g</w:t>
      </w:r>
      <w:r w:rsidR="0037279B" w:rsidRPr="003C0842">
        <w:rPr>
          <w:color w:val="000000"/>
        </w:rPr>
        <w:t>eneralnego</w:t>
      </w:r>
      <w:r w:rsidR="0037279B" w:rsidRPr="003C0842">
        <w:rPr>
          <w:rStyle w:val="Odwoanieprzypisudolnego"/>
          <w:rFonts w:ascii="Times New Roman" w:hAnsi="Times New Roman"/>
          <w:color w:val="000000"/>
          <w:sz w:val="24"/>
        </w:rPr>
        <w:footnoteReference w:id="358"/>
      </w:r>
      <w:r w:rsidR="009F0B1B" w:rsidRPr="003C0842">
        <w:rPr>
          <w:color w:val="000000"/>
        </w:rPr>
        <w:t>.</w:t>
      </w:r>
    </w:p>
    <w:p w:rsidR="009F0B1B" w:rsidRPr="003C0842" w:rsidRDefault="009F0B1B" w:rsidP="00111348">
      <w:pPr>
        <w:shd w:val="clear" w:color="auto" w:fill="FFFFFF"/>
        <w:suppressAutoHyphens/>
        <w:spacing w:line="360" w:lineRule="auto"/>
        <w:ind w:right="40" w:firstLine="720"/>
      </w:pPr>
      <w:r w:rsidRPr="003C0842">
        <w:rPr>
          <w:color w:val="000000"/>
        </w:rPr>
        <w:t>Kompete</w:t>
      </w:r>
      <w:r w:rsidR="000D7403" w:rsidRPr="003C0842">
        <w:rPr>
          <w:color w:val="000000"/>
        </w:rPr>
        <w:t>ncyjna stagnacja Dufour-Feronce’</w:t>
      </w:r>
      <w:r w:rsidRPr="003C0842">
        <w:rPr>
          <w:color w:val="000000"/>
        </w:rPr>
        <w:t xml:space="preserve">a </w:t>
      </w:r>
      <w:r w:rsidR="004E1B51" w:rsidRPr="003C0842">
        <w:rPr>
          <w:color w:val="000000"/>
        </w:rPr>
        <w:t>wywoływała</w:t>
      </w:r>
      <w:r w:rsidRPr="003C0842">
        <w:rPr>
          <w:color w:val="000000"/>
        </w:rPr>
        <w:t xml:space="preserve"> dyskusje</w:t>
      </w:r>
      <w:r w:rsidR="00BE06EC" w:rsidRPr="003C0842">
        <w:rPr>
          <w:color w:val="000000"/>
        </w:rPr>
        <w:t xml:space="preserve">i plotki </w:t>
      </w:r>
      <w:r w:rsidRPr="003C0842">
        <w:rPr>
          <w:color w:val="000000"/>
        </w:rPr>
        <w:t>na temat rychłej zmiany</w:t>
      </w:r>
      <w:r w:rsidR="004E1B51" w:rsidRPr="003C0842">
        <w:rPr>
          <w:color w:val="000000"/>
        </w:rPr>
        <w:t>, tym bardziej że i Drummond nie był</w:t>
      </w:r>
      <w:r w:rsidRPr="003C0842">
        <w:rPr>
          <w:color w:val="000000"/>
        </w:rPr>
        <w:t xml:space="preserve"> z aktywności Dufour-Feronce</w:t>
      </w:r>
      <w:r w:rsidR="000D7403" w:rsidRPr="003C0842">
        <w:rPr>
          <w:color w:val="000000"/>
        </w:rPr>
        <w:t>’</w:t>
      </w:r>
      <w:r w:rsidRPr="003C0842">
        <w:rPr>
          <w:color w:val="000000"/>
        </w:rPr>
        <w:t>a</w:t>
      </w:r>
      <w:r w:rsidR="004E1B51" w:rsidRPr="003C0842">
        <w:rPr>
          <w:color w:val="000000"/>
        </w:rPr>
        <w:t xml:space="preserve"> zadowolony</w:t>
      </w:r>
      <w:r w:rsidRPr="003C0842">
        <w:rPr>
          <w:color w:val="000000"/>
        </w:rPr>
        <w:t xml:space="preserve">. Jednak niemal przez cały okres pobytu Niemiec w Lidze </w:t>
      </w:r>
      <w:r w:rsidR="004E1B51" w:rsidRPr="003C0842">
        <w:rPr>
          <w:color w:val="000000"/>
        </w:rPr>
        <w:t>do zmiany nie doszło</w:t>
      </w:r>
      <w:r w:rsidRPr="003C0842">
        <w:rPr>
          <w:color w:val="000000"/>
        </w:rPr>
        <w:t xml:space="preserve">. </w:t>
      </w:r>
      <w:r w:rsidR="00BE06EC" w:rsidRPr="003C0842">
        <w:rPr>
          <w:color w:val="000000"/>
        </w:rPr>
        <w:t>Wynikało to z</w:t>
      </w:r>
      <w:r w:rsidRPr="003C0842">
        <w:rPr>
          <w:color w:val="000000"/>
        </w:rPr>
        <w:t xml:space="preserve"> uwikłan</w:t>
      </w:r>
      <w:r w:rsidR="00BE06EC" w:rsidRPr="003C0842">
        <w:rPr>
          <w:color w:val="000000"/>
        </w:rPr>
        <w:t>ia stron</w:t>
      </w:r>
      <w:r w:rsidRPr="003C0842">
        <w:rPr>
          <w:color w:val="000000"/>
        </w:rPr>
        <w:t xml:space="preserve"> w sieć zależności i powiązań</w:t>
      </w:r>
      <w:r w:rsidR="004E1B51" w:rsidRPr="003C0842">
        <w:rPr>
          <w:color w:val="000000"/>
        </w:rPr>
        <w:t>, a</w:t>
      </w:r>
      <w:r w:rsidR="00BE06EC" w:rsidRPr="003C0842">
        <w:rPr>
          <w:color w:val="000000"/>
        </w:rPr>
        <w:t xml:space="preserve"> i obawami, że</w:t>
      </w:r>
      <w:r w:rsidR="004E1B51" w:rsidRPr="003C0842">
        <w:rPr>
          <w:color w:val="000000"/>
        </w:rPr>
        <w:t>p</w:t>
      </w:r>
      <w:r w:rsidRPr="003C0842">
        <w:rPr>
          <w:color w:val="000000"/>
        </w:rPr>
        <w:t xml:space="preserve">rzerwanie jednego ogniwa </w:t>
      </w:r>
      <w:r w:rsidR="00BE06EC" w:rsidRPr="003C0842">
        <w:rPr>
          <w:color w:val="000000"/>
        </w:rPr>
        <w:t>wymusi dalsze, trudne do kontroli zmiany.</w:t>
      </w:r>
      <w:r w:rsidR="00541385" w:rsidRPr="003C0842">
        <w:rPr>
          <w:color w:val="000000"/>
        </w:rPr>
        <w:t>Niewątpliwie ten istniejący stan rzeczy</w:t>
      </w:r>
      <w:r w:rsidRPr="003C0842">
        <w:rPr>
          <w:color w:val="000000"/>
        </w:rPr>
        <w:t xml:space="preserve"> dogadzał także Drummondowi, który miał za współpracownika osobę pod każdym względem </w:t>
      </w:r>
      <w:r w:rsidR="004430D3" w:rsidRPr="003C0842">
        <w:rPr>
          <w:color w:val="000000"/>
        </w:rPr>
        <w:t>poważną</w:t>
      </w:r>
      <w:r w:rsidRPr="003C0842">
        <w:rPr>
          <w:color w:val="000000"/>
        </w:rPr>
        <w:t xml:space="preserve">, stale gotową do eksponowania interesu powszechnego jako nadrzędnego celu działania Sekretariatu i całej instytucji genewskiej. </w:t>
      </w:r>
      <w:r w:rsidR="004430D3" w:rsidRPr="003C0842">
        <w:rPr>
          <w:color w:val="000000"/>
        </w:rPr>
        <w:t>Z</w:t>
      </w:r>
      <w:r w:rsidRPr="003C0842">
        <w:rPr>
          <w:color w:val="000000"/>
        </w:rPr>
        <w:t>adowoleni z</w:t>
      </w:r>
      <w:r w:rsidR="00541385" w:rsidRPr="003C0842">
        <w:rPr>
          <w:color w:val="000000"/>
        </w:rPr>
        <w:t xml:space="preserve"> tej postawy</w:t>
      </w:r>
      <w:r w:rsidRPr="003C0842">
        <w:rPr>
          <w:color w:val="000000"/>
        </w:rPr>
        <w:t xml:space="preserve"> byli </w:t>
      </w:r>
      <w:r w:rsidR="004430D3" w:rsidRPr="003C0842">
        <w:rPr>
          <w:color w:val="000000"/>
        </w:rPr>
        <w:t xml:space="preserve">też </w:t>
      </w:r>
      <w:r w:rsidRPr="003C0842">
        <w:rPr>
          <w:color w:val="000000"/>
        </w:rPr>
        <w:t xml:space="preserve">politycy państw średnich i mniejszych, obawiających się niebezpiecznej dla nich aktywizacji dyplomatyczno-politycznej głównego niemieckiego „rezydenta” w Sekretariacie. Franciszek Sokal, </w:t>
      </w:r>
      <w:r w:rsidR="00541385" w:rsidRPr="003C0842">
        <w:rPr>
          <w:color w:val="000000"/>
        </w:rPr>
        <w:t>in</w:t>
      </w:r>
      <w:r w:rsidRPr="003C0842">
        <w:rPr>
          <w:color w:val="000000"/>
        </w:rPr>
        <w:t>f</w:t>
      </w:r>
      <w:r w:rsidR="00541385" w:rsidRPr="003C0842">
        <w:rPr>
          <w:color w:val="000000"/>
        </w:rPr>
        <w:t>orm</w:t>
      </w:r>
      <w:r w:rsidRPr="003C0842">
        <w:rPr>
          <w:color w:val="000000"/>
        </w:rPr>
        <w:t xml:space="preserve">ując </w:t>
      </w:r>
      <w:r w:rsidR="00541385" w:rsidRPr="003C0842">
        <w:rPr>
          <w:color w:val="000000"/>
        </w:rPr>
        <w:t>o</w:t>
      </w:r>
      <w:r w:rsidR="004430D3" w:rsidRPr="003C0842">
        <w:rPr>
          <w:color w:val="000000"/>
        </w:rPr>
        <w:t xml:space="preserve"> uzgodnion</w:t>
      </w:r>
      <w:r w:rsidR="00541385" w:rsidRPr="003C0842">
        <w:rPr>
          <w:color w:val="000000"/>
        </w:rPr>
        <w:t>ym</w:t>
      </w:r>
      <w:r w:rsidR="004430D3" w:rsidRPr="003C0842">
        <w:rPr>
          <w:color w:val="000000"/>
        </w:rPr>
        <w:t xml:space="preserve"> przedłużeni</w:t>
      </w:r>
      <w:r w:rsidR="00541385" w:rsidRPr="003C0842">
        <w:rPr>
          <w:color w:val="000000"/>
        </w:rPr>
        <w:t>u</w:t>
      </w:r>
      <w:r w:rsidR="000D7403" w:rsidRPr="003C0842">
        <w:rPr>
          <w:color w:val="000000"/>
        </w:rPr>
        <w:t>kontraktu dla Dufour-Feronce’</w:t>
      </w:r>
      <w:r w:rsidRPr="003C0842">
        <w:rPr>
          <w:color w:val="000000"/>
        </w:rPr>
        <w:t>a</w:t>
      </w:r>
      <w:r w:rsidR="000D7403" w:rsidRPr="003C0842">
        <w:rPr>
          <w:color w:val="000000"/>
        </w:rPr>
        <w:t>,</w:t>
      </w:r>
      <w:r w:rsidRPr="003C0842">
        <w:rPr>
          <w:color w:val="000000"/>
        </w:rPr>
        <w:t xml:space="preserve"> pisał: ,,Z punktu widzenia naszych interesów pozostanie p. D. F. jest korzystne, żałować należy tylko, że nie zostanie on dłużej. Trudno bowiem spodziewać się, aby następca p. D. F. mógł być tak dalece pozbawiony wpływów w Sekretariacie, jak p. D. F.”</w:t>
      </w:r>
      <w:r w:rsidRPr="003C0842">
        <w:rPr>
          <w:rStyle w:val="Odwoanieprzypisudolnego"/>
          <w:rFonts w:ascii="Times New Roman" w:hAnsi="Times New Roman"/>
          <w:color w:val="000000"/>
          <w:sz w:val="24"/>
        </w:rPr>
        <w:footnoteReference w:id="359"/>
      </w:r>
      <w:r w:rsidRPr="003C0842">
        <w:rPr>
          <w:color w:val="000000"/>
        </w:rPr>
        <w:t>.</w:t>
      </w:r>
    </w:p>
    <w:p w:rsidR="009F0B1B" w:rsidRPr="003C0842" w:rsidRDefault="00541385" w:rsidP="00111348">
      <w:pPr>
        <w:shd w:val="clear" w:color="auto" w:fill="FFFFFF"/>
        <w:suppressAutoHyphens/>
        <w:spacing w:line="360" w:lineRule="auto"/>
        <w:ind w:right="40" w:firstLine="720"/>
        <w:rPr>
          <w:color w:val="000000"/>
        </w:rPr>
      </w:pPr>
      <w:r w:rsidRPr="003C0842">
        <w:rPr>
          <w:color w:val="000000"/>
        </w:rPr>
        <w:t>Skromna p</w:t>
      </w:r>
      <w:r w:rsidR="000D7403" w:rsidRPr="003C0842">
        <w:rPr>
          <w:color w:val="000000"/>
        </w:rPr>
        <w:t>ozycja Dufour-Feronce’</w:t>
      </w:r>
      <w:r w:rsidR="009F0B1B" w:rsidRPr="003C0842">
        <w:rPr>
          <w:color w:val="000000"/>
        </w:rPr>
        <w:t xml:space="preserve">a w Sekretariacie miała </w:t>
      </w:r>
      <w:r w:rsidRPr="003C0842">
        <w:rPr>
          <w:color w:val="000000"/>
        </w:rPr>
        <w:t>istotny</w:t>
      </w:r>
      <w:r w:rsidR="009F0B1B" w:rsidRPr="003C0842">
        <w:rPr>
          <w:color w:val="000000"/>
        </w:rPr>
        <w:t xml:space="preserve"> wpływ na trudności z obsadą przez innych Niemców znaczniejszych stanowisk w urzędniczej hierarchii ligowej. Żaden z Niemców nie został dyrektorem sekcji, choć zrazu wydawało się to wysoce prawdopodobne. Zgoda Drummonda na uprzywilejowaną pozycję Niemiec w Komisji Ekonomicznej, której problemy poruczono jej przedstawicielowi do referowania na forum Rady</w:t>
      </w:r>
      <w:r w:rsidR="00F657AD" w:rsidRPr="003C0842">
        <w:rPr>
          <w:color w:val="000000"/>
        </w:rPr>
        <w:t>,</w:t>
      </w:r>
      <w:r w:rsidR="009F0B1B" w:rsidRPr="003C0842">
        <w:rPr>
          <w:color w:val="000000"/>
        </w:rPr>
        <w:t xml:space="preserve"> zapowiadały włączenie Niemca także do sekcji ekonomicznej i finansowej. Istotnie, jak to już sygnalizowano, w kwietniu 1927 r. w </w:t>
      </w:r>
      <w:r w:rsidR="004430D3" w:rsidRPr="003C0842">
        <w:rPr>
          <w:color w:val="000000"/>
        </w:rPr>
        <w:t>sekcji tej znalazł się A. E. H</w:t>
      </w:r>
      <w:r w:rsidR="00F154B8" w:rsidRPr="003C0842">
        <w:rPr>
          <w:color w:val="000000"/>
        </w:rPr>
        <w:t>ü</w:t>
      </w:r>
      <w:r w:rsidR="009F0B1B" w:rsidRPr="003C0842">
        <w:rPr>
          <w:color w:val="000000"/>
        </w:rPr>
        <w:t xml:space="preserve">sslein, jako </w:t>
      </w:r>
      <w:r w:rsidR="009F0B1B" w:rsidRPr="003C0842">
        <w:rPr>
          <w:color w:val="000000"/>
        </w:rPr>
        <w:lastRenderedPageBreak/>
        <w:t>jeden z jej 22 pracowników. Planowana reorganizacja tej sekcji</w:t>
      </w:r>
      <w:r w:rsidR="00F154B8" w:rsidRPr="003C0842">
        <w:rPr>
          <w:color w:val="000000"/>
        </w:rPr>
        <w:t xml:space="preserve">, </w:t>
      </w:r>
      <w:r w:rsidR="009F0B1B" w:rsidRPr="003C0842">
        <w:rPr>
          <w:color w:val="000000"/>
        </w:rPr>
        <w:t xml:space="preserve">przez </w:t>
      </w:r>
      <w:r w:rsidR="00F154B8" w:rsidRPr="003C0842">
        <w:rPr>
          <w:color w:val="000000"/>
        </w:rPr>
        <w:t>stworzenie dwóch stanowisk szefów</w:t>
      </w:r>
      <w:r w:rsidR="009F0B1B" w:rsidRPr="003C0842">
        <w:rPr>
          <w:color w:val="000000"/>
        </w:rPr>
        <w:t xml:space="preserve"> sekcji</w:t>
      </w:r>
      <w:r w:rsidR="00F154B8" w:rsidRPr="003C0842">
        <w:rPr>
          <w:color w:val="000000"/>
        </w:rPr>
        <w:t>,</w:t>
      </w:r>
      <w:r w:rsidR="009F0B1B" w:rsidRPr="003C0842">
        <w:rPr>
          <w:color w:val="000000"/>
        </w:rPr>
        <w:t xml:space="preserve"> otwierała nadzieje na awans, tym bardziej że dyrektorem był sir Arthur J. Salter, Brytyjczyk, znany z życzliwego trak</w:t>
      </w:r>
      <w:r w:rsidRPr="003C0842">
        <w:rPr>
          <w:color w:val="000000"/>
        </w:rPr>
        <w:t xml:space="preserve">towania niemieckich postulatów. </w:t>
      </w:r>
      <w:r w:rsidR="00F657AD" w:rsidRPr="003C0842">
        <w:rPr>
          <w:color w:val="000000"/>
        </w:rPr>
        <w:t>Jednak n</w:t>
      </w:r>
      <w:r w:rsidR="00F154B8" w:rsidRPr="003C0842">
        <w:rPr>
          <w:color w:val="000000"/>
        </w:rPr>
        <w:t>owe stanowiska otrzyma</w:t>
      </w:r>
      <w:r w:rsidR="00F657AD" w:rsidRPr="003C0842">
        <w:rPr>
          <w:color w:val="000000"/>
        </w:rPr>
        <w:t>ły osoby</w:t>
      </w:r>
      <w:r w:rsidR="00FF7AAF" w:rsidRPr="003C0842">
        <w:rPr>
          <w:color w:val="000000"/>
        </w:rPr>
        <w:t>zasiedzia</w:t>
      </w:r>
      <w:r w:rsidR="00F657AD" w:rsidRPr="003C0842">
        <w:rPr>
          <w:color w:val="000000"/>
        </w:rPr>
        <w:t>łe</w:t>
      </w:r>
      <w:r w:rsidR="00FF7AAF" w:rsidRPr="003C0842">
        <w:rPr>
          <w:color w:val="000000"/>
        </w:rPr>
        <w:t xml:space="preserve"> w Genewie</w:t>
      </w:r>
      <w:r w:rsidR="00F657AD" w:rsidRPr="003C0842">
        <w:rPr>
          <w:color w:val="000000"/>
        </w:rPr>
        <w:t>:</w:t>
      </w:r>
      <w:r w:rsidR="009F0B1B" w:rsidRPr="003C0842">
        <w:rPr>
          <w:color w:val="000000"/>
        </w:rPr>
        <w:t>Brytyj</w:t>
      </w:r>
      <w:r w:rsidR="00FF7AAF" w:rsidRPr="003C0842">
        <w:rPr>
          <w:color w:val="000000"/>
        </w:rPr>
        <w:t>czyk</w:t>
      </w:r>
      <w:r w:rsidR="009F0B1B" w:rsidRPr="003C0842">
        <w:rPr>
          <w:color w:val="000000"/>
        </w:rPr>
        <w:t xml:space="preserve"> A</w:t>
      </w:r>
      <w:r w:rsidR="00FF7AAF" w:rsidRPr="003C0842">
        <w:rPr>
          <w:color w:val="000000"/>
        </w:rPr>
        <w:t>lexandr</w:t>
      </w:r>
      <w:r w:rsidR="009F0B1B" w:rsidRPr="003C0842">
        <w:rPr>
          <w:color w:val="000000"/>
        </w:rPr>
        <w:t xml:space="preserve"> Loveday i Włoch P</w:t>
      </w:r>
      <w:r w:rsidR="00FF7AAF" w:rsidRPr="003C0842">
        <w:rPr>
          <w:color w:val="000000"/>
        </w:rPr>
        <w:t>ietro</w:t>
      </w:r>
      <w:r w:rsidR="009F0B1B" w:rsidRPr="003C0842">
        <w:rPr>
          <w:color w:val="000000"/>
        </w:rPr>
        <w:t xml:space="preserve"> Stoppani. Klęskę poniosła także dyplomacja niemiecka</w:t>
      </w:r>
      <w:r w:rsidR="00F56EE3" w:rsidRPr="003C0842">
        <w:rPr>
          <w:color w:val="000000"/>
        </w:rPr>
        <w:t>, która</w:t>
      </w:r>
      <w:r w:rsidR="009F0B1B" w:rsidRPr="003C0842">
        <w:rPr>
          <w:color w:val="000000"/>
        </w:rPr>
        <w:t xml:space="preserve"> dąż</w:t>
      </w:r>
      <w:r w:rsidR="00F56EE3" w:rsidRPr="003C0842">
        <w:rPr>
          <w:color w:val="000000"/>
        </w:rPr>
        <w:t>yła</w:t>
      </w:r>
      <w:r w:rsidR="009F0B1B" w:rsidRPr="003C0842">
        <w:rPr>
          <w:color w:val="000000"/>
        </w:rPr>
        <w:t xml:space="preserve"> do stworzenia dla „swego człowieka” stanowiska zastępcy dyrektora w sekcji informacyjnej. </w:t>
      </w:r>
      <w:r w:rsidRPr="003C0842">
        <w:rPr>
          <w:color w:val="000000"/>
        </w:rPr>
        <w:t>Funkcję tę miał objąć</w:t>
      </w:r>
      <w:r w:rsidR="009F0B1B" w:rsidRPr="003C0842">
        <w:rPr>
          <w:color w:val="000000"/>
        </w:rPr>
        <w:t xml:space="preserve"> dr Max Beer, korespondent pism niemieckich pisujący także w niemieckojęzycznych gazetach szwajcarskich. </w:t>
      </w:r>
      <w:r w:rsidRPr="003C0842">
        <w:rPr>
          <w:color w:val="000000"/>
        </w:rPr>
        <w:t>B</w:t>
      </w:r>
      <w:r w:rsidR="009F0B1B" w:rsidRPr="003C0842">
        <w:rPr>
          <w:color w:val="000000"/>
        </w:rPr>
        <w:t>ył</w:t>
      </w:r>
      <w:r w:rsidR="00F56EE3" w:rsidRPr="003C0842">
        <w:rPr>
          <w:color w:val="000000"/>
        </w:rPr>
        <w:t xml:space="preserve"> on</w:t>
      </w:r>
      <w:r w:rsidRPr="003C0842">
        <w:rPr>
          <w:color w:val="000000"/>
        </w:rPr>
        <w:t xml:space="preserve">też </w:t>
      </w:r>
      <w:r w:rsidR="003650D4" w:rsidRPr="003C0842">
        <w:rPr>
          <w:color w:val="000000"/>
        </w:rPr>
        <w:t>poufnym informatorem Auswä</w:t>
      </w:r>
      <w:r w:rsidR="009F0B1B" w:rsidRPr="003C0842">
        <w:rPr>
          <w:color w:val="000000"/>
        </w:rPr>
        <w:t>rtiges Amtu. O pisanych przez Beera raportach dobrze mówiono także w Kancelarii Rzeszy</w:t>
      </w:r>
      <w:r w:rsidR="009F0B1B" w:rsidRPr="003C0842">
        <w:rPr>
          <w:rStyle w:val="Odwoanieprzypisudolnego"/>
          <w:rFonts w:ascii="Times New Roman" w:hAnsi="Times New Roman"/>
          <w:color w:val="000000"/>
          <w:sz w:val="24"/>
        </w:rPr>
        <w:footnoteReference w:id="360"/>
      </w:r>
      <w:r w:rsidR="009F0B1B" w:rsidRPr="003C0842">
        <w:rPr>
          <w:i/>
          <w:iCs/>
          <w:color w:val="000000"/>
        </w:rPr>
        <w:t xml:space="preserve">. </w:t>
      </w:r>
      <w:r w:rsidR="009F0B1B" w:rsidRPr="003C0842">
        <w:rPr>
          <w:color w:val="000000"/>
        </w:rPr>
        <w:t>Działalność ta pociągała jednak spore wydatki. W kwietniu 1927 r. podczas wizyty Beera w Berlinie kierujący referatem</w:t>
      </w:r>
      <w:r w:rsidR="000D7403" w:rsidRPr="003C0842">
        <w:rPr>
          <w:color w:val="000000"/>
        </w:rPr>
        <w:t xml:space="preserve">Völkerbundu </w:t>
      </w:r>
      <w:r w:rsidR="009F0B1B" w:rsidRPr="003C0842">
        <w:rPr>
          <w:color w:val="000000"/>
        </w:rPr>
        <w:t>oburzał się na rozrzutność swego współpracownika, który w ciągu roku „kosztował” 30 tys. marek. Przetargi wokół tej delikatnej sprawy zakończyły się sukcesem Beera, który na kolejny rok otrzymał zgodę wydatkowania z funduszu reprezentacyjnego 20 tys. marek</w:t>
      </w:r>
      <w:r w:rsidR="009F0B1B" w:rsidRPr="003C0842">
        <w:rPr>
          <w:rStyle w:val="Odwoanieprzypisudolnego"/>
          <w:rFonts w:ascii="Times New Roman" w:hAnsi="Times New Roman"/>
          <w:color w:val="000000"/>
          <w:sz w:val="24"/>
        </w:rPr>
        <w:footnoteReference w:id="361"/>
      </w:r>
      <w:r w:rsidR="009F0B1B" w:rsidRPr="003C0842">
        <w:rPr>
          <w:color w:val="000000"/>
        </w:rPr>
        <w:t>. Tak więc Max Beer</w:t>
      </w:r>
      <w:r w:rsidR="000D7403" w:rsidRPr="003C0842">
        <w:rPr>
          <w:color w:val="000000"/>
        </w:rPr>
        <w:t>,</w:t>
      </w:r>
      <w:r w:rsidR="009F0B1B" w:rsidRPr="003C0842">
        <w:rPr>
          <w:color w:val="000000"/>
        </w:rPr>
        <w:t xml:space="preserve"> podejmując 15 lipca 1927 r. pracę w Sekretariacie</w:t>
      </w:r>
      <w:r w:rsidR="000D7403" w:rsidRPr="003C0842">
        <w:rPr>
          <w:color w:val="000000"/>
        </w:rPr>
        <w:t>,</w:t>
      </w:r>
      <w:r w:rsidR="009F0B1B" w:rsidRPr="003C0842">
        <w:rPr>
          <w:color w:val="000000"/>
        </w:rPr>
        <w:t xml:space="preserve"> Ligi korzystał zarazem ze specjalnych subwencji AA. </w:t>
      </w:r>
    </w:p>
    <w:p w:rsidR="00BB648D" w:rsidRPr="003C0842" w:rsidRDefault="009F0B1B" w:rsidP="00111348">
      <w:pPr>
        <w:shd w:val="clear" w:color="auto" w:fill="FFFFFF"/>
        <w:suppressAutoHyphens/>
        <w:spacing w:line="360" w:lineRule="auto"/>
        <w:ind w:right="40" w:firstLine="720"/>
        <w:rPr>
          <w:color w:val="000000"/>
        </w:rPr>
      </w:pPr>
      <w:r w:rsidRPr="003C0842">
        <w:rPr>
          <w:color w:val="000000"/>
        </w:rPr>
        <w:t>Wejści</w:t>
      </w:r>
      <w:r w:rsidR="00541385" w:rsidRPr="003C0842">
        <w:rPr>
          <w:color w:val="000000"/>
        </w:rPr>
        <w:t>e</w:t>
      </w:r>
      <w:r w:rsidRPr="003C0842">
        <w:rPr>
          <w:color w:val="000000"/>
        </w:rPr>
        <w:t xml:space="preserve"> Maxa Beera do sekcji informacyjnej </w:t>
      </w:r>
      <w:r w:rsidR="00541385" w:rsidRPr="003C0842">
        <w:rPr>
          <w:color w:val="000000"/>
        </w:rPr>
        <w:t>wspierałf</w:t>
      </w:r>
      <w:r w:rsidR="00F56EE3" w:rsidRPr="003C0842">
        <w:rPr>
          <w:color w:val="000000"/>
        </w:rPr>
        <w:t>rancuski d</w:t>
      </w:r>
      <w:r w:rsidRPr="003C0842">
        <w:rPr>
          <w:color w:val="000000"/>
        </w:rPr>
        <w:t>yrektor sekcji Pierre Comert</w:t>
      </w:r>
      <w:r w:rsidR="00541385" w:rsidRPr="003C0842">
        <w:rPr>
          <w:color w:val="000000"/>
        </w:rPr>
        <w:t>.</w:t>
      </w:r>
      <w:r w:rsidRPr="003C0842">
        <w:rPr>
          <w:color w:val="000000"/>
        </w:rPr>
        <w:t xml:space="preserve"> Przemawiało też za nim głośne małżeństwo z Francuzką, dla którego zmienił wyznanie z mojżeszowego na katolickie. </w:t>
      </w:r>
      <w:r w:rsidR="00541385" w:rsidRPr="003C0842">
        <w:rPr>
          <w:color w:val="000000"/>
        </w:rPr>
        <w:t xml:space="preserve">Z myślą o nim planowano </w:t>
      </w:r>
      <w:r w:rsidRPr="003C0842">
        <w:rPr>
          <w:color w:val="000000"/>
        </w:rPr>
        <w:t>u</w:t>
      </w:r>
      <w:r w:rsidR="00541385" w:rsidRPr="003C0842">
        <w:rPr>
          <w:color w:val="000000"/>
        </w:rPr>
        <w:t>tworzenie</w:t>
      </w:r>
      <w:r w:rsidRPr="003C0842">
        <w:rPr>
          <w:color w:val="000000"/>
        </w:rPr>
        <w:t xml:space="preserve"> stanowiska zastępcy dyrektora, którego dotychczas w strukturze sekcji nie było. W hierarchii urzędniczej Sekretariatu byłoby to drugie co do ważności stanowisko zajmowane przez Niemca, ustępujące jedynie pozycji Dufour-Feronce</w:t>
      </w:r>
      <w:r w:rsidR="000D7403" w:rsidRPr="003C0842">
        <w:rPr>
          <w:color w:val="000000"/>
        </w:rPr>
        <w:t>’</w:t>
      </w:r>
      <w:r w:rsidRPr="003C0842">
        <w:rPr>
          <w:color w:val="000000"/>
        </w:rPr>
        <w:t xml:space="preserve">a. </w:t>
      </w:r>
      <w:r w:rsidR="00EC512C" w:rsidRPr="003C0842">
        <w:rPr>
          <w:color w:val="000000"/>
        </w:rPr>
        <w:t>Przeciwni tej nominacji wskazywali na</w:t>
      </w:r>
      <w:r w:rsidR="00F657AD" w:rsidRPr="003C0842">
        <w:rPr>
          <w:color w:val="000000"/>
        </w:rPr>
        <w:t xml:space="preserve">zbyt </w:t>
      </w:r>
      <w:r w:rsidRPr="003C0842">
        <w:rPr>
          <w:color w:val="000000"/>
        </w:rPr>
        <w:t>bliskie związki Beera z konsulem Aschmannem</w:t>
      </w:r>
      <w:r w:rsidRPr="003C0842">
        <w:rPr>
          <w:rStyle w:val="Odwoanieprzypisudolnego"/>
          <w:rFonts w:ascii="Times New Roman" w:hAnsi="Times New Roman"/>
          <w:color w:val="000000"/>
          <w:sz w:val="24"/>
        </w:rPr>
        <w:footnoteReference w:id="362"/>
      </w:r>
      <w:r w:rsidRPr="003C0842">
        <w:rPr>
          <w:color w:val="000000"/>
        </w:rPr>
        <w:t xml:space="preserve">. </w:t>
      </w:r>
      <w:r w:rsidR="00EC512C" w:rsidRPr="003C0842">
        <w:rPr>
          <w:color w:val="000000"/>
        </w:rPr>
        <w:t>Towarzyszące temu</w:t>
      </w:r>
      <w:r w:rsidRPr="003C0842">
        <w:rPr>
          <w:color w:val="000000"/>
        </w:rPr>
        <w:t xml:space="preserve"> komentarzejako „pierwszegoNiemca” w Sekretariacie</w:t>
      </w:r>
      <w:r w:rsidR="00C712FE" w:rsidRPr="003C0842">
        <w:rPr>
          <w:color w:val="000000"/>
        </w:rPr>
        <w:t>zwiększyły</w:t>
      </w:r>
      <w:r w:rsidRPr="003C0842">
        <w:rPr>
          <w:color w:val="000000"/>
        </w:rPr>
        <w:t xml:space="preserve"> izolacj</w:t>
      </w:r>
      <w:r w:rsidR="00EC512C" w:rsidRPr="003C0842">
        <w:rPr>
          <w:color w:val="000000"/>
        </w:rPr>
        <w:t>ę</w:t>
      </w:r>
      <w:r w:rsidRPr="003C0842">
        <w:rPr>
          <w:color w:val="000000"/>
        </w:rPr>
        <w:t xml:space="preserve"> ze</w:t>
      </w:r>
      <w:r w:rsidR="001F4DD1" w:rsidRPr="003C0842">
        <w:rPr>
          <w:color w:val="000000"/>
        </w:rPr>
        <w:t xml:space="preserve"> strony współpracowników,</w:t>
      </w:r>
      <w:r w:rsidR="00BB648D" w:rsidRPr="003C0842">
        <w:rPr>
          <w:color w:val="000000"/>
        </w:rPr>
        <w:t xml:space="preserve"> mających zresztą z tytułu starszeństwa większe </w:t>
      </w:r>
      <w:r w:rsidR="00C712FE" w:rsidRPr="003C0842">
        <w:rPr>
          <w:color w:val="000000"/>
        </w:rPr>
        <w:t>od</w:t>
      </w:r>
      <w:r w:rsidR="00BB648D" w:rsidRPr="003C0842">
        <w:rPr>
          <w:color w:val="000000"/>
        </w:rPr>
        <w:t xml:space="preserve"> dr</w:t>
      </w:r>
      <w:r w:rsidR="00C712FE" w:rsidRPr="003C0842">
        <w:rPr>
          <w:color w:val="000000"/>
        </w:rPr>
        <w:t>.</w:t>
      </w:r>
      <w:r w:rsidR="00BB648D" w:rsidRPr="003C0842">
        <w:rPr>
          <w:color w:val="000000"/>
        </w:rPr>
        <w:t xml:space="preserve"> Beer</w:t>
      </w:r>
      <w:r w:rsidR="00C712FE" w:rsidRPr="003C0842">
        <w:rPr>
          <w:color w:val="000000"/>
        </w:rPr>
        <w:t>a</w:t>
      </w:r>
      <w:r w:rsidR="00BB648D" w:rsidRPr="003C0842">
        <w:rPr>
          <w:color w:val="000000"/>
        </w:rPr>
        <w:t xml:space="preserve"> prawa do awansu. Istotną rolę odegrała </w:t>
      </w:r>
      <w:r w:rsidR="00C712FE" w:rsidRPr="003C0842">
        <w:rPr>
          <w:color w:val="000000"/>
        </w:rPr>
        <w:t xml:space="preserve">też </w:t>
      </w:r>
      <w:r w:rsidR="00EC512C" w:rsidRPr="003C0842">
        <w:rPr>
          <w:color w:val="000000"/>
        </w:rPr>
        <w:t xml:space="preserve">niechęć </w:t>
      </w:r>
      <w:r w:rsidR="00C712FE" w:rsidRPr="003C0842">
        <w:rPr>
          <w:color w:val="000000"/>
        </w:rPr>
        <w:t xml:space="preserve">do niego </w:t>
      </w:r>
      <w:r w:rsidR="00EC512C" w:rsidRPr="003C0842">
        <w:rPr>
          <w:color w:val="000000"/>
        </w:rPr>
        <w:t>ze strony Dufour-Fronce’a</w:t>
      </w:r>
      <w:r w:rsidR="00BB648D" w:rsidRPr="003C0842">
        <w:rPr>
          <w:rStyle w:val="Odwoanieprzypisudolnego"/>
          <w:rFonts w:ascii="Times New Roman" w:hAnsi="Times New Roman"/>
          <w:color w:val="000000"/>
          <w:sz w:val="24"/>
        </w:rPr>
        <w:footnoteReference w:id="363"/>
      </w:r>
      <w:r w:rsidR="00EC512C" w:rsidRPr="003C0842">
        <w:rPr>
          <w:color w:val="000000"/>
        </w:rPr>
        <w:t>.</w:t>
      </w:r>
    </w:p>
    <w:p w:rsidR="001952ED" w:rsidRPr="003C0842" w:rsidRDefault="004861F9" w:rsidP="00111348">
      <w:pPr>
        <w:shd w:val="clear" w:color="auto" w:fill="FFFFFF"/>
        <w:suppressAutoHyphens/>
        <w:spacing w:line="360" w:lineRule="auto"/>
        <w:ind w:right="40" w:firstLine="720"/>
      </w:pPr>
      <w:r w:rsidRPr="003C0842">
        <w:rPr>
          <w:color w:val="000000"/>
        </w:rPr>
        <w:lastRenderedPageBreak/>
        <w:t>Sytuacja urzędników niemieckich w Genewie była tym trudniejsza im wyraźniej cele LN</w:t>
      </w:r>
      <w:r w:rsidR="00E667E4" w:rsidRPr="003C0842">
        <w:rPr>
          <w:color w:val="000000"/>
        </w:rPr>
        <w:t>, ogólne standardy pracy w Sekretariacie</w:t>
      </w:r>
      <w:r w:rsidR="00F657AD" w:rsidRPr="003C0842">
        <w:rPr>
          <w:color w:val="000000"/>
        </w:rPr>
        <w:t>,</w:t>
      </w:r>
      <w:r w:rsidR="00E667E4" w:rsidRPr="003C0842">
        <w:rPr>
          <w:color w:val="000000"/>
        </w:rPr>
        <w:t xml:space="preserve">rozmijały </w:t>
      </w:r>
      <w:r w:rsidRPr="003C0842">
        <w:rPr>
          <w:color w:val="000000"/>
        </w:rPr>
        <w:t>się z oczekiwaniami AA</w:t>
      </w:r>
      <w:r w:rsidR="00E667E4" w:rsidRPr="003C0842">
        <w:rPr>
          <w:color w:val="000000"/>
        </w:rPr>
        <w:t>. Dodatkowo irytowała stagnacja kompetency</w:t>
      </w:r>
      <w:r w:rsidR="00F657AD" w:rsidRPr="003C0842">
        <w:rPr>
          <w:color w:val="000000"/>
        </w:rPr>
        <w:t>jna, na co istotny wpływ mieli b</w:t>
      </w:r>
      <w:r w:rsidR="00E667E4" w:rsidRPr="003C0842">
        <w:rPr>
          <w:color w:val="000000"/>
        </w:rPr>
        <w:t>rytyjsko-francuscy liderzy administracji genewskiej</w:t>
      </w:r>
      <w:r w:rsidR="00C712FE" w:rsidRPr="003C0842">
        <w:rPr>
          <w:color w:val="000000"/>
        </w:rPr>
        <w:t xml:space="preserve">, </w:t>
      </w:r>
      <w:r w:rsidR="00E667E4" w:rsidRPr="003C0842">
        <w:rPr>
          <w:color w:val="000000"/>
        </w:rPr>
        <w:t xml:space="preserve">którzy nie byli zainteresowani wspieraniem konkurentów do urzędniczej kariery. Znamienne </w:t>
      </w:r>
      <w:r w:rsidR="006B3DE6" w:rsidRPr="003C0842">
        <w:rPr>
          <w:color w:val="000000"/>
        </w:rPr>
        <w:t>pozostaje</w:t>
      </w:r>
      <w:r w:rsidR="00E667E4" w:rsidRPr="003C0842">
        <w:rPr>
          <w:color w:val="000000"/>
        </w:rPr>
        <w:t xml:space="preserve"> doświadczenie</w:t>
      </w:r>
      <w:r w:rsidR="00406A18" w:rsidRPr="003C0842">
        <w:t xml:space="preserve"> Dufour-Feronce</w:t>
      </w:r>
      <w:r w:rsidR="00E667E4" w:rsidRPr="003C0842">
        <w:t xml:space="preserve">’a, którego nazwisko </w:t>
      </w:r>
      <w:r w:rsidR="00406A18" w:rsidRPr="003C0842">
        <w:t xml:space="preserve">funkcjonowało na obrzeżach Sekretariatu i </w:t>
      </w:r>
      <w:r w:rsidR="006B3DE6" w:rsidRPr="003C0842">
        <w:t>często jest w ogóle pomijane przez</w:t>
      </w:r>
      <w:r w:rsidR="00406A18" w:rsidRPr="003C0842">
        <w:t xml:space="preserve"> historyków</w:t>
      </w:r>
      <w:r w:rsidR="00E667E4" w:rsidRPr="003C0842">
        <w:t>. Z</w:t>
      </w:r>
      <w:r w:rsidR="00406A18" w:rsidRPr="003C0842">
        <w:t>abieg</w:t>
      </w:r>
      <w:r w:rsidR="00E667E4" w:rsidRPr="003C0842">
        <w:t xml:space="preserve">ał o zmianę </w:t>
      </w:r>
      <w:r w:rsidR="00406A18" w:rsidRPr="003C0842">
        <w:t>s</w:t>
      </w:r>
      <w:r w:rsidR="00E667E4" w:rsidRPr="003C0842">
        <w:t>w</w:t>
      </w:r>
      <w:r w:rsidR="00406A18" w:rsidRPr="003C0842">
        <w:t>ego statusu i pozycji w Sekretariacie</w:t>
      </w:r>
      <w:r w:rsidR="00E667E4" w:rsidRPr="003C0842">
        <w:t>,</w:t>
      </w:r>
      <w:r w:rsidR="00406A18" w:rsidRPr="003C0842">
        <w:t xml:space="preserve"> jak również innych Niemców</w:t>
      </w:r>
      <w:r w:rsidR="006B3DE6" w:rsidRPr="003C0842">
        <w:t>, ale</w:t>
      </w:r>
      <w:r w:rsidR="00406A18" w:rsidRPr="003C0842">
        <w:t xml:space="preserve"> nie </w:t>
      </w:r>
      <w:r w:rsidR="006B3DE6" w:rsidRPr="003C0842">
        <w:t xml:space="preserve">dało to </w:t>
      </w:r>
      <w:r w:rsidR="00406A18" w:rsidRPr="003C0842">
        <w:t>efekt</w:t>
      </w:r>
      <w:r w:rsidR="006B3DE6" w:rsidRPr="003C0842">
        <w:t>u</w:t>
      </w:r>
      <w:r w:rsidR="00406A18" w:rsidRPr="003C0842">
        <w:t xml:space="preserve">. </w:t>
      </w:r>
      <w:r w:rsidR="006B3DE6" w:rsidRPr="003C0842">
        <w:t xml:space="preserve">Tłumaczy się to różnie, m.in. jako skutek </w:t>
      </w:r>
      <w:r w:rsidR="00406A18" w:rsidRPr="003C0842">
        <w:t>przywiązani</w:t>
      </w:r>
      <w:r w:rsidR="006B3DE6" w:rsidRPr="003C0842">
        <w:t xml:space="preserve">a„pewnych osób” </w:t>
      </w:r>
      <w:r w:rsidR="00406A18" w:rsidRPr="003C0842">
        <w:t>do instrukcji otrzymywanych z</w:t>
      </w:r>
      <w:r w:rsidR="006B3DE6" w:rsidRPr="003C0842">
        <w:t xml:space="preserve"> Berlina, czy też</w:t>
      </w:r>
      <w:r w:rsidR="00406A18" w:rsidRPr="003C0842">
        <w:t xml:space="preserve"> koncentracj</w:t>
      </w:r>
      <w:r w:rsidR="006B3DE6" w:rsidRPr="003C0842">
        <w:t>i</w:t>
      </w:r>
      <w:r w:rsidR="00406A18" w:rsidRPr="003C0842">
        <w:t xml:space="preserve"> uwagi na sprawach dotyczących własnego kraju i jego interesów. </w:t>
      </w:r>
      <w:r w:rsidR="006B3DE6" w:rsidRPr="003C0842">
        <w:t>Pozostaje faktem, że po trzech latach funkcjonowania urzędników niemieckich w Sekretariacie nie cieszyli się dobrą opinią. K</w:t>
      </w:r>
      <w:r w:rsidR="00406A18" w:rsidRPr="003C0842">
        <w:t>arni i sumienni nie odznaczali się „taktem ani umiejętnością współżycia i współpracy z innymi, wskutek czego batalion niemieckich urzędników Sekretariatu znalazł się niebawem w izolacji i pozbawiony został tych wpływów na które liczył”</w:t>
      </w:r>
      <w:r w:rsidR="00406A18" w:rsidRPr="003C0842">
        <w:rPr>
          <w:rStyle w:val="Odwoanieprzypisudolnego"/>
          <w:rFonts w:ascii="Times New Roman" w:hAnsi="Times New Roman"/>
          <w:sz w:val="24"/>
        </w:rPr>
        <w:footnoteReference w:id="364"/>
      </w:r>
      <w:r w:rsidR="00406A18" w:rsidRPr="003C0842">
        <w:t xml:space="preserve">. </w:t>
      </w:r>
    </w:p>
    <w:p w:rsidR="00406A18" w:rsidRPr="003C0842" w:rsidRDefault="00C712FE" w:rsidP="00C712FE">
      <w:pPr>
        <w:shd w:val="clear" w:color="auto" w:fill="FFFFFF"/>
        <w:suppressAutoHyphens/>
        <w:spacing w:line="360" w:lineRule="auto"/>
        <w:ind w:right="40" w:firstLine="720"/>
      </w:pPr>
      <w:r w:rsidRPr="003C0842">
        <w:t xml:space="preserve">Ów skromny liczebnie „batalion” do ważnych zadań realizowanych w Genewie zliczał destrukcję </w:t>
      </w:r>
      <w:r w:rsidR="00406A18" w:rsidRPr="003C0842">
        <w:t xml:space="preserve">znienawidzonego systemu wersalskiego. Skutkowało to postępującym rozchodzeniem się stabilizacyjnych celów Ligi i </w:t>
      </w:r>
      <w:r w:rsidR="00164234" w:rsidRPr="003C0842">
        <w:t>–</w:t>
      </w:r>
      <w:r w:rsidR="00406A18" w:rsidRPr="003C0842">
        <w:t xml:space="preserve"> z za</w:t>
      </w:r>
      <w:r w:rsidR="00F235E0" w:rsidRPr="003C0842">
        <w:t>sady</w:t>
      </w:r>
      <w:r w:rsidR="00164234" w:rsidRPr="003C0842">
        <w:t>–</w:t>
      </w:r>
      <w:r w:rsidR="0026699B" w:rsidRPr="003C0842">
        <w:t>odmiennych</w:t>
      </w:r>
      <w:r w:rsidR="00406A18" w:rsidRPr="003C0842">
        <w:t xml:space="preserve"> celów Niemiec. Brak oczekiwanych efektów frustrowało nie tylko społeczeństwo niemieckie, ale także Niemców zatrudnionych w Genewie.</w:t>
      </w:r>
      <w:r w:rsidR="0026699B" w:rsidRPr="003C0842">
        <w:t xml:space="preserve">Nie otwierała </w:t>
      </w:r>
      <w:r w:rsidR="00406A18" w:rsidRPr="003C0842">
        <w:t xml:space="preserve">ona przed </w:t>
      </w:r>
      <w:r w:rsidR="001952ED" w:rsidRPr="003C0842">
        <w:t xml:space="preserve">nimi </w:t>
      </w:r>
      <w:r w:rsidR="00406A18" w:rsidRPr="003C0842">
        <w:t>drzwi awansów. Przewidywany powrót po upływie kontraktu ligowego do służby krajowej wręcz wymuszał co najmniej „półurzędowy”, a często wręcz usługowo-wywiadowczy kontakt z potencjalnym chlebodawcą.</w:t>
      </w:r>
    </w:p>
    <w:p w:rsidR="00241D7B" w:rsidRPr="00085E5E" w:rsidRDefault="00406A18" w:rsidP="00241D7B">
      <w:pPr>
        <w:spacing w:line="360" w:lineRule="auto"/>
        <w:ind w:firstLine="709"/>
      </w:pPr>
      <w:r w:rsidRPr="003C0842">
        <w:t xml:space="preserve">Wszystko </w:t>
      </w:r>
      <w:r w:rsidR="0026699B" w:rsidRPr="003C0842">
        <w:t xml:space="preserve">to prowadziło do subiektywnych </w:t>
      </w:r>
      <w:r w:rsidRPr="003C0842">
        <w:t xml:space="preserve">interpretacji regulaminów i zwyczajów obowiązujących w Sekretariacie. W coraz częściej dostrzeganym „psuciu Sekretariatu” </w:t>
      </w:r>
      <w:r w:rsidR="00BE1D7D" w:rsidRPr="003C0842">
        <w:t xml:space="preserve">zauważalny </w:t>
      </w:r>
      <w:r w:rsidRPr="003C0842">
        <w:t xml:space="preserve">udział </w:t>
      </w:r>
      <w:r w:rsidR="00BE1D7D" w:rsidRPr="003C0842">
        <w:t xml:space="preserve">mieli też </w:t>
      </w:r>
      <w:r w:rsidRPr="003C0842">
        <w:t>Włosi, zwłaszcza kiedy miejsce podsekretarza generalnego zajmowane przez „rasowego” dyplomatę Bernardo Attolico zajął markiz Giacomo Paulucci di Colboli Barone</w:t>
      </w:r>
      <w:r w:rsidRPr="003C0842">
        <w:rPr>
          <w:rStyle w:val="Odwoanieprzypisudolnego"/>
          <w:rFonts w:ascii="Times New Roman" w:hAnsi="Times New Roman"/>
          <w:sz w:val="24"/>
        </w:rPr>
        <w:footnoteReference w:id="365"/>
      </w:r>
      <w:r w:rsidRPr="003C0842">
        <w:t xml:space="preserve">, były szef gabinetu Mussoliniego w ministerstwie spraw zagranicznych. Tym samym </w:t>
      </w:r>
      <w:r w:rsidR="00FD408D" w:rsidRPr="003C0842">
        <w:t xml:space="preserve">od 1927 r. </w:t>
      </w:r>
      <w:r w:rsidRPr="003C0842">
        <w:t xml:space="preserve">„kolonia włoska” w Sekretariacie i MBP miała do czynienia z urzędnikiem, który nie skrywał swych narodowych i ideologicznych paranteli. Wypominane mu noszenie w klapie marynarki odznaki partyjnej było traktowane jako godny naśladowania </w:t>
      </w:r>
      <w:r w:rsidRPr="003C0842">
        <w:lastRenderedPageBreak/>
        <w:t>przejaw dumy narodowej</w:t>
      </w:r>
      <w:r w:rsidRPr="003C0842">
        <w:rPr>
          <w:rStyle w:val="Odwoanieprzypisudolnego"/>
          <w:rFonts w:ascii="Times New Roman" w:hAnsi="Times New Roman"/>
          <w:sz w:val="24"/>
        </w:rPr>
        <w:footnoteReference w:id="366"/>
      </w:r>
      <w:r w:rsidRPr="003C0842">
        <w:t>. Przykład najwyższego rangą Włocha w Lidze oddziaływał na postawę całej kolonii włoskiej funkcjonującej pod presją</w:t>
      </w:r>
      <w:r w:rsidR="00BE1D7D" w:rsidRPr="003C0842">
        <w:t xml:space="preserve"> postępującej faszyzacji kraju i „nowej” </w:t>
      </w:r>
      <w:r w:rsidRPr="003C0842">
        <w:t>polityki zagranicznej. Kwestie interesujące rząd w Rzymie</w:t>
      </w:r>
      <w:r w:rsidR="00FD408D" w:rsidRPr="003C0842">
        <w:t>,</w:t>
      </w:r>
      <w:r w:rsidRPr="003C0842">
        <w:t xml:space="preserve"> przekazywane do konsulatu włoskiego w Genewie bez specjalnego kamuflażu</w:t>
      </w:r>
      <w:r w:rsidR="00FD408D" w:rsidRPr="003C0842">
        <w:t>,</w:t>
      </w:r>
      <w:r w:rsidRPr="003C0842">
        <w:t xml:space="preserve"> były </w:t>
      </w:r>
      <w:r w:rsidR="000007E8" w:rsidRPr="003C0842">
        <w:t xml:space="preserve">następnie </w:t>
      </w:r>
      <w:r w:rsidRPr="003C0842">
        <w:t xml:space="preserve">transmitowane Włochom aktywnym codziennie w Lidze. </w:t>
      </w:r>
      <w:r w:rsidR="00BE1D7D" w:rsidRPr="003C0842">
        <w:t>Ci zaś dowodzili, że</w:t>
      </w:r>
      <w:r w:rsidRPr="003C0842">
        <w:t xml:space="preserve"> są do dyspozycji </w:t>
      </w:r>
      <w:r w:rsidR="00BE1D7D" w:rsidRPr="003C0842">
        <w:t>polityków</w:t>
      </w:r>
      <w:r w:rsidRPr="003C0842">
        <w:t xml:space="preserve"> włoskich uczestniczących w Zgromadzeniach, sesjach Rady, komisjach itd. W archiwach włoskiego MSZ-tu nie trudno znaleźć teksty wewnętrzne Ligi, które przesyłano do Rzymu ze zdawkową formułą o jego ściśle tajnym charakterze. Praktykę tę rozpoczął Paulucci di Colboli wkrótce po zainstalowaniu się w Sekretariacie</w:t>
      </w:r>
      <w:r w:rsidR="00085E5E" w:rsidRPr="00085E5E">
        <w:t>,</w:t>
      </w:r>
      <w:r w:rsidR="00241D7B" w:rsidRPr="00085E5E">
        <w:t>gdzie miał dezawuować krytyczne głosy dotyczące włoskich aspiracji względem Albanii. Wkrótce pisał do swojego Duce, że na gruncie genewskim znalazł zrozumienie ze strony kolegi niemieckiego, a specjalnie japońskiego, który kierując sprawami politycznymi</w:t>
      </w:r>
      <w:r w:rsidR="00085E5E" w:rsidRPr="00085E5E">
        <w:t>,</w:t>
      </w:r>
      <w:r w:rsidR="00241D7B" w:rsidRPr="00085E5E">
        <w:t xml:space="preserve"> „mógł dać mi </w:t>
      </w:r>
      <w:r w:rsidR="00085E5E" w:rsidRPr="00085E5E">
        <w:t>–</w:t>
      </w:r>
      <w:r w:rsidR="00241D7B" w:rsidRPr="00085E5E">
        <w:t xml:space="preserve"> w drodze ściśle poufnej – elementy przydatne do dyskusji”</w:t>
      </w:r>
      <w:r w:rsidR="00241D7B" w:rsidRPr="00085E5E">
        <w:rPr>
          <w:rStyle w:val="Odwoanieprzypisudolnego"/>
          <w:sz w:val="24"/>
        </w:rPr>
        <w:footnoteReference w:id="367"/>
      </w:r>
      <w:r w:rsidR="00241D7B" w:rsidRPr="00085E5E">
        <w:t xml:space="preserve">. Działalność podobnego charakteru okazała się znakiem firmowym włoskiego dyplomaty, której pozostał wierny do końca kontraktu w 1931 r. Ceniono go za to w Rzymie. Po powrocie do kraju został prezesem ważnego </w:t>
      </w:r>
      <w:r w:rsidR="00241D7B" w:rsidRPr="00085E5E">
        <w:rPr>
          <w:i/>
        </w:rPr>
        <w:t>Istituto „LUCE” – propaganda i film</w:t>
      </w:r>
      <w:r w:rsidR="00085E5E" w:rsidRPr="00085E5E">
        <w:t>,</w:t>
      </w:r>
      <w:r w:rsidR="00241D7B" w:rsidRPr="00085E5E">
        <w:t xml:space="preserve"> a później ambasadorem w Brukseli i Madrycie</w:t>
      </w:r>
      <w:r w:rsidR="00241D7B" w:rsidRPr="00085E5E">
        <w:rPr>
          <w:rStyle w:val="Odwoanieprzypisudolnego"/>
          <w:sz w:val="24"/>
        </w:rPr>
        <w:footnoteReference w:id="368"/>
      </w:r>
      <w:r w:rsidR="00241D7B" w:rsidRPr="00085E5E">
        <w:t>.</w:t>
      </w:r>
    </w:p>
    <w:p w:rsidR="00406A18" w:rsidRPr="003C0842" w:rsidRDefault="005B7FE8" w:rsidP="00111348">
      <w:pPr>
        <w:spacing w:line="360" w:lineRule="auto"/>
        <w:ind w:firstLine="709"/>
      </w:pPr>
      <w:r w:rsidRPr="003C0842">
        <w:t xml:space="preserve">Z </w:t>
      </w:r>
      <w:r w:rsidR="00406A18" w:rsidRPr="003C0842">
        <w:t xml:space="preserve">Genewy wyjeżdżał raczej zawiedziony z powodu braku realnego wpływu na kształt, a nawet szczegółowe działania Ligi, które skutecznie trzymał w swym ręku „wszechwładny Sekretarz Generalny”. Opinia ta była pokłosiem </w:t>
      </w:r>
      <w:r w:rsidR="00BE1D7D" w:rsidRPr="003C0842">
        <w:t xml:space="preserve">wspominanej wyżej </w:t>
      </w:r>
      <w:r w:rsidR="00406A18" w:rsidRPr="003C0842">
        <w:t xml:space="preserve">walki </w:t>
      </w:r>
      <w:r w:rsidR="00BE1D7D" w:rsidRPr="003C0842">
        <w:t>z przełomu</w:t>
      </w:r>
      <w:r w:rsidR="00406A18" w:rsidRPr="003C0842">
        <w:t xml:space="preserve"> lat </w:t>
      </w:r>
      <w:r w:rsidR="007B5045" w:rsidRPr="003C0842">
        <w:t>dwudziestych i trzydziestych</w:t>
      </w:r>
      <w:r w:rsidR="00406A18" w:rsidRPr="003C0842">
        <w:t xml:space="preserve"> w sprawie ograniczenia władzy Drummonda i wpływów francusko-brytyjskich. Niewiele ona zmieniła</w:t>
      </w:r>
      <w:r w:rsidR="00241D7B">
        <w:t>,</w:t>
      </w:r>
      <w:r w:rsidR="00406A18" w:rsidRPr="003C0842">
        <w:t xml:space="preserve"> pokazując zarazem nowe oblicze rzeczywistości międzynarodowej kryzysowego czasu.</w:t>
      </w:r>
    </w:p>
    <w:p w:rsidR="00406A18" w:rsidRPr="003C0842" w:rsidRDefault="006F2DD4" w:rsidP="00111348">
      <w:pPr>
        <w:spacing w:line="360" w:lineRule="auto"/>
        <w:ind w:firstLine="709"/>
      </w:pPr>
      <w:r w:rsidRPr="003C0842">
        <w:t xml:space="preserve">Był to też czas </w:t>
      </w:r>
      <w:r w:rsidR="00406A18" w:rsidRPr="003C0842">
        <w:t>stopniow</w:t>
      </w:r>
      <w:r w:rsidRPr="003C0842">
        <w:t>ego</w:t>
      </w:r>
      <w:r w:rsidR="00406A18" w:rsidRPr="003C0842">
        <w:t xml:space="preserve"> przerzedza</w:t>
      </w:r>
      <w:r w:rsidRPr="003C0842">
        <w:t>nia się szeregów</w:t>
      </w:r>
      <w:r w:rsidR="00406A18" w:rsidRPr="003C0842">
        <w:t xml:space="preserve"> entuzjastów Ligi mówiących i piszących o specyficznej atmosferze genewskiej</w:t>
      </w:r>
      <w:r w:rsidR="00164234" w:rsidRPr="003C0842">
        <w:t>–</w:t>
      </w:r>
      <w:r w:rsidRPr="003C0842">
        <w:t xml:space="preserve"> owym</w:t>
      </w:r>
      <w:r w:rsidR="00406A18" w:rsidRPr="003C0842">
        <w:t xml:space="preserve"> l’esprit du conseil, jako czymś mało uchwytnym, ale ułatwiającym znajdowanie optymalnych, z natury rzeczy kompromisowych rozwiązań. Pogląd ten łączony przez Roberta Cecila z działalnością min. Brianda</w:t>
      </w:r>
      <w:r w:rsidR="00406A18" w:rsidRPr="003C0842">
        <w:rPr>
          <w:rStyle w:val="Odwoanieprzypisudolnego"/>
          <w:rFonts w:ascii="Times New Roman" w:hAnsi="Times New Roman"/>
          <w:sz w:val="24"/>
        </w:rPr>
        <w:footnoteReference w:id="369"/>
      </w:r>
      <w:r w:rsidR="00406A18" w:rsidRPr="003C0842">
        <w:t xml:space="preserve">, </w:t>
      </w:r>
      <w:r w:rsidR="00AD3A91" w:rsidRPr="003C0842">
        <w:t>niewątpliwej</w:t>
      </w:r>
      <w:r w:rsidR="00406A18" w:rsidRPr="003C0842">
        <w:t xml:space="preserve"> indywidualności polityki międzynarodowej i ligowej lat </w:t>
      </w:r>
      <w:r w:rsidR="007B5045" w:rsidRPr="003C0842">
        <w:t>dwudziestych</w:t>
      </w:r>
      <w:r w:rsidR="00406A18" w:rsidRPr="003C0842">
        <w:t>, koresponduje z odmienianym w różnych językach świata „duchem Genewy”. Określenie to</w:t>
      </w:r>
      <w:r w:rsidR="00AD3A91" w:rsidRPr="003C0842">
        <w:t>,</w:t>
      </w:r>
      <w:r w:rsidR="00406A18" w:rsidRPr="003C0842">
        <w:t xml:space="preserve"> w odniesieniu do działalności politycznej poszczególnych państw</w:t>
      </w:r>
      <w:r w:rsidR="00AD3A91" w:rsidRPr="003C0842">
        <w:t>,</w:t>
      </w:r>
      <w:r w:rsidR="00406A18" w:rsidRPr="003C0842">
        <w:t xml:space="preserve"> rozumiano jako </w:t>
      </w:r>
      <w:r w:rsidR="00AD3A91" w:rsidRPr="003C0842">
        <w:t xml:space="preserve">dominacja </w:t>
      </w:r>
      <w:r w:rsidR="00406A18" w:rsidRPr="003C0842">
        <w:lastRenderedPageBreak/>
        <w:t>wol</w:t>
      </w:r>
      <w:r w:rsidR="00AD3A91" w:rsidRPr="003C0842">
        <w:t>i oraz zdolności</w:t>
      </w:r>
      <w:r w:rsidR="00406A18" w:rsidRPr="003C0842">
        <w:t xml:space="preserve"> do kompromisu. Pośrednictwo Ligi (rozumianej szeroko) ów kompromis w </w:t>
      </w:r>
      <w:r w:rsidR="00AD3A91" w:rsidRPr="003C0842">
        <w:t>obszarze</w:t>
      </w:r>
      <w:r w:rsidR="00406A18" w:rsidRPr="003C0842">
        <w:t xml:space="preserve"> sporów angażujących </w:t>
      </w:r>
      <w:r w:rsidR="0026699B" w:rsidRPr="003C0842">
        <w:t>państwa</w:t>
      </w:r>
      <w:r w:rsidR="00406A18" w:rsidRPr="003C0842">
        <w:t xml:space="preserve"> czyniło</w:t>
      </w:r>
      <w:r w:rsidR="0026699B" w:rsidRPr="003C0842">
        <w:t xml:space="preserve"> go</w:t>
      </w:r>
      <w:r w:rsidR="00406A18" w:rsidRPr="003C0842">
        <w:t xml:space="preserve"> bardziej „strawnym” dla opinii publicznej. Zarazem jednak kompromis pozostawiał stronom możliwość aktualizowania sporu z tezą, że jednak sprawiedliwości nie stało się zadość. Nagminne atakowanie rozwiązań </w:t>
      </w:r>
      <w:r w:rsidR="00BF7790" w:rsidRPr="003C0842">
        <w:t>polubownych</w:t>
      </w:r>
      <w:r w:rsidR="00406A18" w:rsidRPr="003C0842">
        <w:t xml:space="preserve"> przez partie będące w opozycji, do których z</w:t>
      </w:r>
      <w:r w:rsidRPr="003C0842">
        <w:t xml:space="preserve"> motywów</w:t>
      </w:r>
      <w:r w:rsidR="00406A18" w:rsidRPr="003C0842">
        <w:t xml:space="preserve"> wewnętrznych przyłączali się niektórzy autorzy wynegocjowanego w Genewie rozwiązania, </w:t>
      </w:r>
      <w:r w:rsidR="00AD3A91" w:rsidRPr="003C0842">
        <w:t>dodatkowo uwypuklały</w:t>
      </w:r>
      <w:r w:rsidR="00406A18" w:rsidRPr="003C0842">
        <w:t xml:space="preserve"> małą efektywność prac Ligi, która nie miała żadnych możliwości wyegzekwowania nawet jednomyśln</w:t>
      </w:r>
      <w:r w:rsidR="0026699B" w:rsidRPr="003C0842">
        <w:t xml:space="preserve">ie powziętych </w:t>
      </w:r>
      <w:r w:rsidR="00406A18" w:rsidRPr="003C0842">
        <w:t xml:space="preserve">decyzji. Po prostu Zgromadzenie nie było żadnym </w:t>
      </w:r>
      <w:r w:rsidR="00A855F2" w:rsidRPr="003C0842">
        <w:t xml:space="preserve">ekstra parlamentem, </w:t>
      </w:r>
      <w:r w:rsidR="00406A18" w:rsidRPr="003C0842">
        <w:t>ani Rada jakąś egzekutywą, a Sekretariat superrządem.</w:t>
      </w:r>
      <w:r w:rsidR="007B5045" w:rsidRPr="003C0842">
        <w:t xml:space="preserve"> Podkreślana suwerenność państw </w:t>
      </w:r>
      <w:r w:rsidR="00406A18" w:rsidRPr="003C0842">
        <w:t>członków umożliwiała także sytuacje dziwaczne, kiedy opinia delegata „X” wypowiadana prywatnie w Genewie była inna niż na forum Ligi, i jeszcze inna w swoim kraju.</w:t>
      </w:r>
    </w:p>
    <w:p w:rsidR="0026699B" w:rsidRPr="003C0842" w:rsidRDefault="00406A18" w:rsidP="00111348">
      <w:pPr>
        <w:spacing w:line="360" w:lineRule="auto"/>
        <w:ind w:firstLine="709"/>
      </w:pPr>
      <w:r w:rsidRPr="003C0842">
        <w:t>Przypisywanie politykom uczestniczącym w Zgromadzeniu, Radzie czy w różnych komisjach, w których reprezentowali swoje rządy, że ich postępowanie było moderowane „duchem Genewy” nie jest uzasadnione. Można je nawet uznać za nadużycie, które rozpowszechniała prasa życzliwa Lidze. Swoistą aurę wyjątkowości Genewy chętnie rozpowszechniali akredytowani na stałe korespondenci, zasilani specjalnymi wysłannikami</w:t>
      </w:r>
      <w:r w:rsidR="00AD3A91" w:rsidRPr="003C0842">
        <w:t>,</w:t>
      </w:r>
      <w:r w:rsidRPr="003C0842">
        <w:t xml:space="preserve"> jeśli zanosiło się na coś ważnego. VII Zgromadzenie</w:t>
      </w:r>
      <w:r w:rsidR="00FD408D" w:rsidRPr="003C0842">
        <w:t>, już</w:t>
      </w:r>
      <w:r w:rsidRPr="003C0842">
        <w:t xml:space="preserve"> z Niemcami w roli głównej</w:t>
      </w:r>
      <w:r w:rsidR="00FD408D" w:rsidRPr="003C0842">
        <w:t>,</w:t>
      </w:r>
      <w:r w:rsidRPr="003C0842">
        <w:t xml:space="preserve"> obsługiwało 333 dziennikarzy oraz 28 reprezentujących agencje informacyjne. Pod tym względem sytuacja przez lata nie uległa istotnej zmianie. Zainteresowanie świata dziennikarskiego kolejnymi Zgromadzeniami, trwającymi około trzech tygodni, średnio trzema sesjami Rady w roku (</w:t>
      </w:r>
      <w:r w:rsidR="006F2DD4" w:rsidRPr="003C0842">
        <w:t xml:space="preserve">nie licząc </w:t>
      </w:r>
      <w:r w:rsidRPr="003C0842">
        <w:t>spotka</w:t>
      </w:r>
      <w:r w:rsidR="006F2DD4" w:rsidRPr="003C0842">
        <w:t>ń</w:t>
      </w:r>
      <w:r w:rsidRPr="003C0842">
        <w:t xml:space="preserve"> w czasie trwania Zgromadzeń) było tym większe</w:t>
      </w:r>
      <w:r w:rsidR="007B5045" w:rsidRPr="003C0842">
        <w:t>,</w:t>
      </w:r>
      <w:r w:rsidRPr="003C0842">
        <w:t xml:space="preserve"> im </w:t>
      </w:r>
      <w:r w:rsidR="006F2DD4" w:rsidRPr="003C0842">
        <w:t>bardziej</w:t>
      </w:r>
      <w:r w:rsidRPr="003C0842">
        <w:t xml:space="preserve"> spodziewano się napływu </w:t>
      </w:r>
      <w:r w:rsidR="00BF7790" w:rsidRPr="003C0842">
        <w:t xml:space="preserve">osobistości, </w:t>
      </w:r>
      <w:r w:rsidRPr="003C0842">
        <w:t>zna</w:t>
      </w:r>
      <w:r w:rsidR="00BF7790" w:rsidRPr="003C0842">
        <w:t>nych</w:t>
      </w:r>
      <w:r w:rsidRPr="003C0842">
        <w:t xml:space="preserve"> polityków</w:t>
      </w:r>
      <w:r w:rsidR="00BF7790" w:rsidRPr="003C0842">
        <w:t>, potencjalnych dostarczycieli „ni</w:t>
      </w:r>
      <w:r w:rsidR="00DC1CD2" w:rsidRPr="003C0842">
        <w:t>us</w:t>
      </w:r>
      <w:r w:rsidR="00BF7790" w:rsidRPr="003C0842">
        <w:t>ów”</w:t>
      </w:r>
      <w:r w:rsidRPr="003C0842">
        <w:t xml:space="preserve">. </w:t>
      </w:r>
      <w:r w:rsidR="006F2DD4" w:rsidRPr="003C0842">
        <w:t>Z</w:t>
      </w:r>
      <w:r w:rsidR="0071543A" w:rsidRPr="003C0842">
        <w:t xml:space="preserve"> tego punktu widzenia</w:t>
      </w:r>
      <w:r w:rsidRPr="003C0842">
        <w:t xml:space="preserve"> Genewa – ledwo stutysięczne miasto – na ten czas prze</w:t>
      </w:r>
      <w:r w:rsidR="006F2DD4" w:rsidRPr="003C0842">
        <w:t>istaczała</w:t>
      </w:r>
      <w:r w:rsidRPr="003C0842">
        <w:t xml:space="preserve"> się w „stolicę świata”</w:t>
      </w:r>
      <w:r w:rsidR="0071543A" w:rsidRPr="003C0842">
        <w:t>. Propaganda kusiła</w:t>
      </w:r>
      <w:r w:rsidRPr="003C0842">
        <w:t xml:space="preserve"> zapraszan</w:t>
      </w:r>
      <w:r w:rsidR="0071543A" w:rsidRPr="003C0842">
        <w:t>ych</w:t>
      </w:r>
      <w:r w:rsidRPr="003C0842">
        <w:t xml:space="preserve"> i spodziewan</w:t>
      </w:r>
      <w:r w:rsidR="0071543A" w:rsidRPr="003C0842">
        <w:t>ych gości, że</w:t>
      </w:r>
      <w:r w:rsidRPr="003C0842">
        <w:t xml:space="preserve"> będą współuczestniczy</w:t>
      </w:r>
      <w:r w:rsidR="0071543A" w:rsidRPr="003C0842">
        <w:t>li</w:t>
      </w:r>
      <w:r w:rsidRPr="003C0842">
        <w:t xml:space="preserve"> w podejmowaniu ważnych decyzji</w:t>
      </w:r>
      <w:r w:rsidR="006F2DD4" w:rsidRPr="003C0842">
        <w:t xml:space="preserve"> o znaczeniu światowym, przełomowym, cywilizacyjnym</w:t>
      </w:r>
      <w:r w:rsidRPr="003C0842">
        <w:t xml:space="preserve">. </w:t>
      </w:r>
    </w:p>
    <w:p w:rsidR="00406A18" w:rsidRPr="003C0842" w:rsidRDefault="00406A18" w:rsidP="00111348">
      <w:pPr>
        <w:spacing w:line="360" w:lineRule="auto"/>
        <w:ind w:firstLine="709"/>
      </w:pPr>
      <w:r w:rsidRPr="003C0842">
        <w:t xml:space="preserve">Z mniejszym patosem pisano o „duchu Genewy” przy okazji dorocznych obrad Międzynarodowej Organizacji Pracy skupiającej przedstawicieli rządów, pracodawców i świata pracy, gdzie z reguły dochodziło do kontrowersji i sporów, a </w:t>
      </w:r>
      <w:r w:rsidR="0026699B" w:rsidRPr="003C0842">
        <w:t xml:space="preserve">wywalczone </w:t>
      </w:r>
      <w:r w:rsidRPr="003C0842">
        <w:t xml:space="preserve">kompromisy </w:t>
      </w:r>
      <w:r w:rsidR="0071543A" w:rsidRPr="003C0842">
        <w:t xml:space="preserve">w </w:t>
      </w:r>
      <w:r w:rsidR="006F2DD4" w:rsidRPr="003C0842">
        <w:t xml:space="preserve">ogóle do </w:t>
      </w:r>
      <w:r w:rsidR="0071543A" w:rsidRPr="003C0842">
        <w:t xml:space="preserve">niektórych krajach </w:t>
      </w:r>
      <w:r w:rsidRPr="003C0842">
        <w:t xml:space="preserve">nie </w:t>
      </w:r>
      <w:r w:rsidR="006F2DD4" w:rsidRPr="003C0842">
        <w:t xml:space="preserve">docierały i nie </w:t>
      </w:r>
      <w:r w:rsidRPr="003C0842">
        <w:t>były</w:t>
      </w:r>
      <w:r w:rsidR="0071543A" w:rsidRPr="003C0842">
        <w:t xml:space="preserve"> znane,</w:t>
      </w:r>
      <w:r w:rsidR="0026699B" w:rsidRPr="003C0842">
        <w:t xml:space="preserve">w niewielkiej części </w:t>
      </w:r>
      <w:r w:rsidR="00164234" w:rsidRPr="003C0842">
        <w:t>–</w:t>
      </w:r>
      <w:r w:rsidR="0026699B" w:rsidRPr="003C0842">
        <w:t xml:space="preserve">brane pod uwagę, </w:t>
      </w:r>
      <w:r w:rsidR="0071543A" w:rsidRPr="003C0842">
        <w:t xml:space="preserve">a tylko </w:t>
      </w:r>
      <w:r w:rsidRPr="003C0842">
        <w:t xml:space="preserve">w </w:t>
      </w:r>
      <w:r w:rsidR="0071543A" w:rsidRPr="003C0842">
        <w:t xml:space="preserve">nielicznych – </w:t>
      </w:r>
      <w:r w:rsidRPr="003C0842">
        <w:t>respektowane.</w:t>
      </w:r>
    </w:p>
    <w:p w:rsidR="00406A18" w:rsidRPr="003C0842" w:rsidRDefault="00406A18" w:rsidP="00111348">
      <w:pPr>
        <w:spacing w:line="360" w:lineRule="auto"/>
        <w:ind w:firstLine="709"/>
      </w:pPr>
      <w:r w:rsidRPr="003C0842">
        <w:t xml:space="preserve">Jeśli już racjonalizować </w:t>
      </w:r>
      <w:r w:rsidR="00DC1CD2" w:rsidRPr="003C0842">
        <w:t>pojęcie</w:t>
      </w:r>
      <w:r w:rsidRPr="003C0842">
        <w:t>„duch</w:t>
      </w:r>
      <w:r w:rsidR="00DC1CD2" w:rsidRPr="003C0842">
        <w:t>a</w:t>
      </w:r>
      <w:r w:rsidRPr="003C0842">
        <w:t xml:space="preserve"> Genewy”, któr</w:t>
      </w:r>
      <w:r w:rsidR="00DC1CD2" w:rsidRPr="003C0842">
        <w:t>e</w:t>
      </w:r>
      <w:r w:rsidRPr="003C0842">
        <w:t xml:space="preserve"> był</w:t>
      </w:r>
      <w:r w:rsidR="00DC1CD2" w:rsidRPr="003C0842">
        <w:t>o</w:t>
      </w:r>
      <w:r w:rsidRPr="003C0842">
        <w:t xml:space="preserve"> tworem głównie propagandowym, to można </w:t>
      </w:r>
      <w:r w:rsidR="00DC1CD2" w:rsidRPr="003C0842">
        <w:t>je</w:t>
      </w:r>
      <w:r w:rsidRPr="003C0842">
        <w:t xml:space="preserve"> odnieść do raczej elitarnej grupy wizjonerów i rzeczników </w:t>
      </w:r>
      <w:r w:rsidRPr="003C0842">
        <w:lastRenderedPageBreak/>
        <w:t xml:space="preserve">idealistycznego pojmowania rozwoju stosunków międzynarodowych opartych na jednoznacznie i </w:t>
      </w:r>
      <w:r w:rsidR="00D83B8A" w:rsidRPr="003C0842">
        <w:t xml:space="preserve">raczej </w:t>
      </w:r>
      <w:r w:rsidRPr="003C0842">
        <w:t xml:space="preserve">identycznie interpretowanym prawie, powszechnie akceptowanej zasadzie „dobrej wiary” i ewangelicznym przesłaniu miłości bliźniego. W sensie rozszerzającym „ducha Genewy” </w:t>
      </w:r>
      <w:r w:rsidR="00D83B8A" w:rsidRPr="003C0842">
        <w:t>można by z</w:t>
      </w:r>
      <w:r w:rsidRPr="003C0842">
        <w:t>łączy</w:t>
      </w:r>
      <w:r w:rsidR="00D83B8A" w:rsidRPr="003C0842">
        <w:t>ć</w:t>
      </w:r>
      <w:r w:rsidRPr="003C0842">
        <w:t xml:space="preserve"> z niewielką grupą polityków, np. ze Skandynawii, którzy bardziej niż inni forsowali w Lidze rozwiązania egalitarystyczne, zakładające osiągnięcie przy stole obrad modus vivendi różnych państw, narodowości, odmiennych ideologii</w:t>
      </w:r>
      <w:r w:rsidR="00AD3A91" w:rsidRPr="003C0842">
        <w:t xml:space="preserve"> i religii</w:t>
      </w:r>
      <w:r w:rsidRPr="003C0842">
        <w:t>. W polityce światowej chcieli widzieć porozumienie i bezpośrednią demokrację. Wreszcie – jak to podkreśla Susan Pedersen – za współ</w:t>
      </w:r>
      <w:r w:rsidR="00F235E0" w:rsidRPr="003C0842">
        <w:t>twórców</w:t>
      </w:r>
      <w:r w:rsidRPr="003C0842">
        <w:t xml:space="preserve"> owego „ducha Genewy” </w:t>
      </w:r>
      <w:r w:rsidR="0026699B" w:rsidRPr="003C0842">
        <w:t xml:space="preserve">można </w:t>
      </w:r>
      <w:r w:rsidRPr="003C0842">
        <w:t>uważa</w:t>
      </w:r>
      <w:r w:rsidR="0026699B" w:rsidRPr="003C0842">
        <w:t>ć</w:t>
      </w:r>
      <w:r w:rsidRPr="003C0842">
        <w:t xml:space="preserve"> urzędników Sekretariatu, którzy organizowali nieoficjalne spotkania, poprzedzane rozmowami pozwalającymi na zakreślenie pola porozumienia i kompromisu, wiązali rozproszone, bardzo często też sprzeczne zapatrywania poszczególnych polityków i całych delegacji. Byli więc jej zdaniem rzecznikami koegzystencji, pragmatyzmu i tego właśnie</w:t>
      </w:r>
      <w:r w:rsidR="0071543A" w:rsidRPr="003C0842">
        <w:t>,</w:t>
      </w:r>
      <w:r w:rsidRPr="003C0842">
        <w:t xml:space="preserve"> co </w:t>
      </w:r>
      <w:r w:rsidR="0071543A" w:rsidRPr="003C0842">
        <w:t xml:space="preserve">mogłoby być </w:t>
      </w:r>
      <w:r w:rsidRPr="003C0842">
        <w:t>naz</w:t>
      </w:r>
      <w:r w:rsidR="0071543A" w:rsidRPr="003C0842">
        <w:t>wane</w:t>
      </w:r>
      <w:r w:rsidRPr="003C0842">
        <w:t xml:space="preserve"> „duchem Genewy”</w:t>
      </w:r>
      <w:r w:rsidRPr="003C0842">
        <w:rPr>
          <w:rStyle w:val="Odwoanieprzypisudolnego"/>
          <w:rFonts w:ascii="Times New Roman" w:hAnsi="Times New Roman"/>
          <w:sz w:val="24"/>
        </w:rPr>
        <w:footnoteReference w:id="370"/>
      </w:r>
      <w:r w:rsidRPr="003C0842">
        <w:t xml:space="preserve">. </w:t>
      </w:r>
    </w:p>
    <w:p w:rsidR="00406A18" w:rsidRPr="003C0842" w:rsidRDefault="00406A18" w:rsidP="00111348">
      <w:pPr>
        <w:spacing w:line="360" w:lineRule="auto"/>
        <w:ind w:firstLine="709"/>
      </w:pPr>
      <w:r w:rsidRPr="003C0842">
        <w:t xml:space="preserve">Wyniesiona wysoko rola pracowników Sekretariatu uzasadniała walkę o miejsca swoich obywateli w tym ważnym, z pozoru trzeciorzędnym organie Ligi. W wielu sytuacjach, częściej niż rzadziej, to oni byli </w:t>
      </w:r>
      <w:r w:rsidR="0071543A" w:rsidRPr="003C0842">
        <w:t>centralnym, nie tylko technicznym elementem</w:t>
      </w:r>
      <w:r w:rsidRPr="003C0842">
        <w:t xml:space="preserve"> p</w:t>
      </w:r>
      <w:r w:rsidR="0071543A" w:rsidRPr="003C0842">
        <w:t xml:space="preserve">owstających </w:t>
      </w:r>
      <w:r w:rsidRPr="003C0842">
        <w:t>propozycj</w:t>
      </w:r>
      <w:r w:rsidR="0071543A" w:rsidRPr="003C0842">
        <w:t>i,</w:t>
      </w:r>
      <w:r w:rsidRPr="003C0842">
        <w:t xml:space="preserve"> p</w:t>
      </w:r>
      <w:r w:rsidR="00413C94" w:rsidRPr="003C0842">
        <w:t>rzedkładanych za pośrednictwem sekretarza g</w:t>
      </w:r>
      <w:r w:rsidRPr="003C0842">
        <w:t>eneralnego pod obrady Zgromadzenia czy Rady. Niejednokrotnie była to droga żmudna, wymagająca licznych spotkań i konsultacji, w tym wykpiwanych śniadań, lunchów</w:t>
      </w:r>
      <w:r w:rsidR="00553883" w:rsidRPr="003C0842">
        <w:t>, nieraz biegania od hotelu do hotelu</w:t>
      </w:r>
      <w:r w:rsidR="00B21A46">
        <w:t>…</w:t>
      </w:r>
      <w:r w:rsidRPr="003C0842">
        <w:t xml:space="preserve"> Wynegocjowany projekt</w:t>
      </w:r>
      <w:r w:rsidR="007B5045" w:rsidRPr="003C0842">
        <w:t>,</w:t>
      </w:r>
      <w:r w:rsidRPr="003C0842">
        <w:t xml:space="preserve"> przechodząc „drogę służbową”</w:t>
      </w:r>
      <w:r w:rsidR="007B5045" w:rsidRPr="003C0842">
        <w:t>,</w:t>
      </w:r>
      <w:r w:rsidRPr="003C0842">
        <w:t xml:space="preserve"> docierał do polityka – referenta Rady, z którego nazwiskiem łączono dany wniosek lub propozycję rozwiązania, chociaż niejednokrotnie jego rola sprowadzała się do odczytania przygotowanego mu </w:t>
      </w:r>
      <w:r w:rsidR="0071543A" w:rsidRPr="003C0842">
        <w:t>tekst</w:t>
      </w:r>
      <w:r w:rsidR="00D83B8A" w:rsidRPr="003C0842">
        <w:t>u</w:t>
      </w:r>
      <w:r w:rsidR="0071543A" w:rsidRPr="003C0842">
        <w:t>.</w:t>
      </w:r>
      <w:r w:rsidRPr="003C0842">
        <w:t xml:space="preserve"> Min. August Zaleski nie bez powodu u</w:t>
      </w:r>
      <w:r w:rsidR="003A3BB5" w:rsidRPr="003C0842">
        <w:t>żalał się</w:t>
      </w:r>
      <w:r w:rsidRPr="003C0842">
        <w:t>, że Sekretariat Ligi jest w dyspozycji wielkich mocarstw</w:t>
      </w:r>
      <w:r w:rsidRPr="003C0842">
        <w:rPr>
          <w:rStyle w:val="Odwoanieprzypisudolnego"/>
          <w:rFonts w:ascii="Times New Roman" w:hAnsi="Times New Roman"/>
          <w:sz w:val="24"/>
        </w:rPr>
        <w:footnoteReference w:id="371"/>
      </w:r>
      <w:r w:rsidRPr="003C0842">
        <w:t>.</w:t>
      </w:r>
    </w:p>
    <w:p w:rsidR="00B64579" w:rsidRPr="003C0842" w:rsidRDefault="00B64579" w:rsidP="00111348">
      <w:pPr>
        <w:spacing w:line="360" w:lineRule="auto"/>
      </w:pPr>
    </w:p>
    <w:p w:rsidR="00B64579" w:rsidRPr="003C0842" w:rsidRDefault="00AD47A2" w:rsidP="00111348">
      <w:pPr>
        <w:spacing w:line="360" w:lineRule="auto"/>
        <w:rPr>
          <w:b/>
        </w:rPr>
      </w:pPr>
      <w:r w:rsidRPr="003C0842">
        <w:rPr>
          <w:b/>
        </w:rPr>
        <w:t>Rozdział IV</w:t>
      </w:r>
      <w:r w:rsidR="00B64579" w:rsidRPr="003C0842">
        <w:rPr>
          <w:b/>
        </w:rPr>
        <w:t>. Wygrana z nadzieją w t</w:t>
      </w:r>
      <w:r w:rsidRPr="003C0842">
        <w:rPr>
          <w:b/>
        </w:rPr>
        <w:t>le</w:t>
      </w:r>
    </w:p>
    <w:p w:rsidR="00AD47A2" w:rsidRPr="003C0842" w:rsidRDefault="00AD47A2" w:rsidP="00111348">
      <w:pPr>
        <w:spacing w:line="360" w:lineRule="auto"/>
        <w:rPr>
          <w:b/>
        </w:rPr>
      </w:pPr>
    </w:p>
    <w:p w:rsidR="00B64579" w:rsidRPr="003C0842" w:rsidRDefault="00AD47A2" w:rsidP="00111348">
      <w:pPr>
        <w:spacing w:line="360" w:lineRule="auto"/>
        <w:rPr>
          <w:b/>
        </w:rPr>
      </w:pPr>
      <w:r w:rsidRPr="003C0842">
        <w:rPr>
          <w:b/>
        </w:rPr>
        <w:t xml:space="preserve">1. </w:t>
      </w:r>
      <w:r w:rsidR="00B64579" w:rsidRPr="003C0842">
        <w:rPr>
          <w:b/>
        </w:rPr>
        <w:t>Likwidacja Sojuszniczej Komisji Kontroli</w:t>
      </w:r>
    </w:p>
    <w:p w:rsidR="00B64579" w:rsidRPr="003C0842" w:rsidRDefault="00B64579" w:rsidP="00111348">
      <w:pPr>
        <w:spacing w:line="360" w:lineRule="auto"/>
      </w:pPr>
    </w:p>
    <w:p w:rsidR="00CD00B1" w:rsidRPr="003C0842" w:rsidRDefault="00B64579" w:rsidP="00111348">
      <w:pPr>
        <w:spacing w:line="360" w:lineRule="auto"/>
      </w:pPr>
      <w:r w:rsidRPr="003C0842">
        <w:t xml:space="preserve">Wspomniane już kilkakrotnie Komisje Kontroli, mające doglądać i pilnować rozbrojenia, należały do znienawidzonych, bo poniżających organów narzuconych przez zwycięzców. </w:t>
      </w:r>
      <w:r w:rsidRPr="003C0842">
        <w:lastRenderedPageBreak/>
        <w:t>Wrogość ta rosła, kiedy okazywało się, że członkowie owych komisji, złożonych z oficerów i żołnierzy (najliczniejsi byli z Francji i Wielkiej Brytanii) angażowali się także w inne sprawy związane z egzekucją traktatów. Jakkolwiek mandatariuszem Komisji Kontroli była Konferencja Ambasadorów, to jednak zwykle najwyżsi rangą oficerowie wchodzący w ich skład słali też raporty do swoich rządów. Obiegiem informacji objęci byli nieraz zaprzyjaźnieni rodacy w Sekretariacie Ligi. Świadczy o tym list płk</w:t>
      </w:r>
      <w:r w:rsidR="00B260CC" w:rsidRPr="003C0842">
        <w:t>.</w:t>
      </w:r>
      <w:r w:rsidRPr="003C0842">
        <w:t xml:space="preserve"> Pierre</w:t>
      </w:r>
      <w:r w:rsidR="00B260CC" w:rsidRPr="003C0842">
        <w:t>’a</w:t>
      </w:r>
      <w:r w:rsidRPr="003C0842">
        <w:t xml:space="preserve"> Chardigny</w:t>
      </w:r>
      <w:r w:rsidR="00B260CC" w:rsidRPr="003C0842">
        <w:t>’ego</w:t>
      </w:r>
      <w:r w:rsidRPr="003C0842">
        <w:t xml:space="preserve">, francuskiego reprezentanta w Komisji Kontroli działającej w Niemczech do Paula Mantoux, dyrektora sekcji politycznej Sekretariatu. Autor listu </w:t>
      </w:r>
      <w:r w:rsidR="00AD47A2" w:rsidRPr="003C0842">
        <w:t>m.in. informował</w:t>
      </w:r>
      <w:r w:rsidRPr="003C0842">
        <w:t>, że jego koledzy z Anglii nie przykładają się do funkcji kontrolnych i „całkowicie sprzyjają Niemcom”</w:t>
      </w:r>
      <w:r w:rsidRPr="003C0842">
        <w:rPr>
          <w:rStyle w:val="Odwoanieprzypisudolnego"/>
          <w:rFonts w:ascii="Times New Roman" w:hAnsi="Times New Roman"/>
          <w:sz w:val="24"/>
        </w:rPr>
        <w:footnoteReference w:id="372"/>
      </w:r>
      <w:r w:rsidRPr="003C0842">
        <w:t xml:space="preserve">. </w:t>
      </w:r>
    </w:p>
    <w:p w:rsidR="00B64579" w:rsidRPr="003C0842" w:rsidRDefault="00B64579" w:rsidP="00111348">
      <w:pPr>
        <w:spacing w:line="360" w:lineRule="auto"/>
      </w:pPr>
      <w:r w:rsidRPr="003C0842">
        <w:t xml:space="preserve">Nie było </w:t>
      </w:r>
      <w:r w:rsidR="00553883" w:rsidRPr="003C0842">
        <w:t>to żadne odkrycie</w:t>
      </w:r>
      <w:r w:rsidR="00B260CC" w:rsidRPr="003C0842">
        <w:t>,</w:t>
      </w:r>
      <w:r w:rsidR="00553883" w:rsidRPr="003C0842">
        <w:t xml:space="preserve"> zważywszy na b</w:t>
      </w:r>
      <w:r w:rsidRPr="003C0842">
        <w:t>rytyjski dys</w:t>
      </w:r>
      <w:r w:rsidR="00AD47A2" w:rsidRPr="003C0842">
        <w:t>on</w:t>
      </w:r>
      <w:r w:rsidRPr="003C0842">
        <w:t>ans w</w:t>
      </w:r>
      <w:r w:rsidR="00AD47A2" w:rsidRPr="003C0842">
        <w:t xml:space="preserve"> związku z</w:t>
      </w:r>
      <w:r w:rsidRPr="003C0842">
        <w:t xml:space="preserve"> francusko-belgijsko-włosk</w:t>
      </w:r>
      <w:r w:rsidR="00AD47A2" w:rsidRPr="003C0842">
        <w:t>ą</w:t>
      </w:r>
      <w:r w:rsidRPr="003C0842">
        <w:t xml:space="preserve"> akcj</w:t>
      </w:r>
      <w:r w:rsidR="00AD47A2" w:rsidRPr="003C0842">
        <w:t>ą</w:t>
      </w:r>
      <w:r w:rsidRPr="003C0842">
        <w:t xml:space="preserve"> represyjn</w:t>
      </w:r>
      <w:r w:rsidR="00AD47A2" w:rsidRPr="003C0842">
        <w:t>ą</w:t>
      </w:r>
      <w:r w:rsidRPr="003C0842">
        <w:t xml:space="preserve"> i zajęcie 8 marca 1921 r. Düsseldorfu, Duisburga i </w:t>
      </w:r>
      <w:r w:rsidR="00A8526D" w:rsidRPr="003C0842">
        <w:t xml:space="preserve">Ruhrortu </w:t>
      </w:r>
      <w:r w:rsidRPr="003C0842">
        <w:t xml:space="preserve">– miast na prawym brzegu Renu. Była to </w:t>
      </w:r>
      <w:r w:rsidR="00AD47A2" w:rsidRPr="003C0842">
        <w:t xml:space="preserve">akcja represyjna z powodu </w:t>
      </w:r>
      <w:r w:rsidRPr="003C0842">
        <w:t>ociągani</w:t>
      </w:r>
      <w:r w:rsidR="00AD47A2" w:rsidRPr="003C0842">
        <w:t>a</w:t>
      </w:r>
      <w:r w:rsidRPr="003C0842">
        <w:t xml:space="preserve"> się Rzeszy z płatnościami reparacyjnymi. Chociaż </w:t>
      </w:r>
      <w:r w:rsidR="00AD47A2" w:rsidRPr="003C0842">
        <w:t xml:space="preserve">akcja </w:t>
      </w:r>
      <w:r w:rsidRPr="003C0842">
        <w:t>wkrótce</w:t>
      </w:r>
      <w:r w:rsidR="00AD47A2" w:rsidRPr="003C0842">
        <w:t xml:space="preserve"> dała oczekiwany skutek</w:t>
      </w:r>
      <w:r w:rsidRPr="003C0842">
        <w:t>, to jednak likwidacja okupacji przeciągnęła się do 26 sierpnia 1925 r. Był to temat</w:t>
      </w:r>
      <w:r w:rsidR="00AD47A2" w:rsidRPr="003C0842">
        <w:t xml:space="preserve"> często</w:t>
      </w:r>
      <w:r w:rsidRPr="003C0842">
        <w:t xml:space="preserve"> zajmujący pierwsze strony gazet, nie tylko po obu stronach Renu</w:t>
      </w:r>
      <w:r w:rsidRPr="003C0842">
        <w:rPr>
          <w:rStyle w:val="Odwoanieprzypisudolnego"/>
          <w:rFonts w:ascii="Times New Roman" w:hAnsi="Times New Roman"/>
          <w:sz w:val="24"/>
        </w:rPr>
        <w:footnoteReference w:id="373"/>
      </w:r>
      <w:r w:rsidRPr="003C0842">
        <w:t>.</w:t>
      </w:r>
    </w:p>
    <w:p w:rsidR="00B64579" w:rsidRPr="003C0842" w:rsidRDefault="00B64579" w:rsidP="00111348">
      <w:pPr>
        <w:spacing w:line="360" w:lineRule="auto"/>
      </w:pPr>
      <w:r w:rsidRPr="003C0842">
        <w:t xml:space="preserve">Państwa </w:t>
      </w:r>
      <w:r w:rsidR="00AD47A2" w:rsidRPr="003C0842">
        <w:t xml:space="preserve">pokonane narzuconą im </w:t>
      </w:r>
      <w:r w:rsidRPr="003C0842">
        <w:t>kontrol</w:t>
      </w:r>
      <w:r w:rsidR="00AD47A2" w:rsidRPr="003C0842">
        <w:t>ę</w:t>
      </w:r>
      <w:r w:rsidRPr="003C0842">
        <w:t xml:space="preserve"> przyjmowały jako karę dodatkową, dotkliwie godzącą w ich suwerenność i narodowy prestiż. </w:t>
      </w:r>
      <w:r w:rsidR="00F51213" w:rsidRPr="003C0842">
        <w:t>Podejmowanym od samego początku próbom usunięcia kontrolujących towarzyszyło twierdzenie, że</w:t>
      </w:r>
      <w:r w:rsidRPr="003C0842">
        <w:t xml:space="preserve"> wypełni</w:t>
      </w:r>
      <w:r w:rsidR="00F51213" w:rsidRPr="003C0842">
        <w:t>wszy</w:t>
      </w:r>
      <w:r w:rsidRPr="003C0842">
        <w:t xml:space="preserve"> już swoje zobowiązania w dziedzinie wojskowej</w:t>
      </w:r>
      <w:r w:rsidR="00B260CC" w:rsidRPr="003C0842">
        <w:t>,</w:t>
      </w:r>
      <w:r w:rsidR="00F51213" w:rsidRPr="003C0842">
        <w:t>oczekuje się</w:t>
      </w:r>
      <w:r w:rsidRPr="003C0842">
        <w:t xml:space="preserve"> przekaza</w:t>
      </w:r>
      <w:r w:rsidR="00F51213" w:rsidRPr="003C0842">
        <w:t xml:space="preserve">nia </w:t>
      </w:r>
      <w:r w:rsidRPr="003C0842">
        <w:t>kontrol</w:t>
      </w:r>
      <w:r w:rsidR="00F51213" w:rsidRPr="003C0842">
        <w:t>i</w:t>
      </w:r>
      <w:r w:rsidRPr="003C0842">
        <w:t xml:space="preserve"> Radzie Ligi. Apele te przybrały na sile ze strony Austrii, Bułgarii i Węgier, kiedy </w:t>
      </w:r>
      <w:r w:rsidR="00DD6AA6" w:rsidRPr="003C0842">
        <w:t xml:space="preserve">państwa te znalazły się w </w:t>
      </w:r>
      <w:r w:rsidRPr="003C0842">
        <w:t>Li</w:t>
      </w:r>
      <w:r w:rsidR="00DD6AA6" w:rsidRPr="003C0842">
        <w:t>dze</w:t>
      </w:r>
      <w:r w:rsidRPr="003C0842">
        <w:t>. Oczekiwanie równego z innymi traktowania w „rodzinie genewskiej” znalazło zrozumienie w Londynie, skąd w maju 1924 r. wyszedł wniosek o wpisanie do porządku 29</w:t>
      </w:r>
      <w:r w:rsidR="00B260CC" w:rsidRPr="003C0842">
        <w:t>.</w:t>
      </w:r>
      <w:r w:rsidRPr="003C0842">
        <w:t xml:space="preserve"> Sesji Rady kwestii kontroli wojskowej realizowanej w Austrii, Bułgarii i na Węgrzech. Równobrzmiące artykuły traktatów w Saint Germain (art. 159), Neuilly (art. 104) i Trianon (art. 143) mówiły, że dopóki dany traktat pozostaje w mocy, to dane państwo zobowiązuje się ułatwić wszelkie badanie</w:t>
      </w:r>
      <w:r w:rsidR="00B260CC" w:rsidRPr="003C0842">
        <w:t>,</w:t>
      </w:r>
      <w:r w:rsidRPr="003C0842">
        <w:t xml:space="preserve"> jakie większość członków Rady L</w:t>
      </w:r>
      <w:r w:rsidR="00DD6AA6" w:rsidRPr="003C0842">
        <w:t>N</w:t>
      </w:r>
      <w:r w:rsidRPr="003C0842">
        <w:t xml:space="preserve"> uzna za konieczne. Wnioskodawcy byli przekonani, że Komisje Kontroli w Austrii, Bułgarii i na Węgrzech spełniły swe role i dalszy nadzór w zakresie przestrzegania klauzul wojskowych mogł</w:t>
      </w:r>
      <w:r w:rsidR="00DD6AA6" w:rsidRPr="003C0842">
        <w:t>oby znaleźć się w Genewie</w:t>
      </w:r>
      <w:r w:rsidR="00F51213" w:rsidRPr="003C0842">
        <w:rPr>
          <w:rStyle w:val="Odwoanieprzypisudolnego"/>
          <w:rFonts w:ascii="Times New Roman" w:hAnsi="Times New Roman"/>
          <w:sz w:val="24"/>
        </w:rPr>
        <w:footnoteReference w:id="374"/>
      </w:r>
      <w:r w:rsidR="00F51213" w:rsidRPr="003C0842">
        <w:t>.</w:t>
      </w:r>
    </w:p>
    <w:p w:rsidR="002D2B20" w:rsidRPr="003C0842" w:rsidRDefault="00B64579" w:rsidP="00111348">
      <w:pPr>
        <w:spacing w:line="360" w:lineRule="auto"/>
      </w:pPr>
      <w:r w:rsidRPr="003C0842">
        <w:lastRenderedPageBreak/>
        <w:t>Realizacja t</w:t>
      </w:r>
      <w:r w:rsidR="00DD6AA6" w:rsidRPr="003C0842">
        <w:t>akiego</w:t>
      </w:r>
      <w:r w:rsidRPr="003C0842">
        <w:t xml:space="preserve"> planu </w:t>
      </w:r>
      <w:r w:rsidR="00DD6AA6" w:rsidRPr="003C0842">
        <w:t xml:space="preserve">od początku </w:t>
      </w:r>
      <w:r w:rsidRPr="003C0842">
        <w:t>wywoł</w:t>
      </w:r>
      <w:r w:rsidR="00DD6AA6" w:rsidRPr="003C0842">
        <w:t>yw</w:t>
      </w:r>
      <w:r w:rsidRPr="003C0842">
        <w:t>ała kontrowersj</w:t>
      </w:r>
      <w:r w:rsidR="00DD6AA6" w:rsidRPr="003C0842">
        <w:t>e</w:t>
      </w:r>
      <w:r w:rsidR="002D2B20" w:rsidRPr="003C0842">
        <w:t>.</w:t>
      </w:r>
      <w:r w:rsidR="00F51213" w:rsidRPr="003C0842">
        <w:t xml:space="preserve"> O</w:t>
      </w:r>
      <w:r w:rsidRPr="003C0842">
        <w:t>to</w:t>
      </w:r>
      <w:r w:rsidR="00F51213" w:rsidRPr="003C0842">
        <w:t xml:space="preserve"> bowiem</w:t>
      </w:r>
      <w:r w:rsidRPr="003C0842">
        <w:t xml:space="preserve"> rządy wspomnianych państw, które nie były reprezentowane w Radzie, domagały się udziału w jej </w:t>
      </w:r>
      <w:r w:rsidR="00F51213" w:rsidRPr="003C0842">
        <w:t>pracach</w:t>
      </w:r>
      <w:r w:rsidRPr="003C0842">
        <w:t xml:space="preserve"> poświęconych sprawom bezpośrednio ich dotyczących. Gwarantował to Pakt. Z analogicznym postulatem wystąpiły rządy Grecji, Rumunii i Jugosławii, które były szczególnie wyczulone na różne przejawy (także domniemane) obchodzenia przez ich sąsiadów klauzul wojskowych</w:t>
      </w:r>
      <w:r w:rsidR="00F51213" w:rsidRPr="003C0842">
        <w:rPr>
          <w:rStyle w:val="Odwoanieprzypisudolnego"/>
          <w:rFonts w:ascii="Times New Roman" w:hAnsi="Times New Roman"/>
          <w:sz w:val="24"/>
        </w:rPr>
        <w:footnoteReference w:id="375"/>
      </w:r>
      <w:r w:rsidRPr="003C0842">
        <w:t>. Źródłem sporu była też różna interpretacja art. 4, który mówił, że każdy członek Ligi miał być obecny w Radzie</w:t>
      </w:r>
      <w:r w:rsidR="00B260CC" w:rsidRPr="003C0842">
        <w:t>,</w:t>
      </w:r>
      <w:r w:rsidRPr="003C0842">
        <w:t xml:space="preserve"> jeśli będzie ona zajmowała się sprawami szczególnie go interesującymi. </w:t>
      </w:r>
      <w:r w:rsidR="002D2B20" w:rsidRPr="003C0842">
        <w:t>Chodziło głównie o</w:t>
      </w:r>
      <w:r w:rsidRPr="003C0842">
        <w:t xml:space="preserve"> Węg</w:t>
      </w:r>
      <w:r w:rsidR="002D2B20" w:rsidRPr="003C0842">
        <w:t>ry</w:t>
      </w:r>
      <w:r w:rsidRPr="003C0842">
        <w:t>, którym zarzucano, że ukrywali, nieraz nawet zakopując zakazaną traktatem broń i amunicję.</w:t>
      </w:r>
    </w:p>
    <w:p w:rsidR="002D2B20" w:rsidRPr="003C0842" w:rsidRDefault="00B64579" w:rsidP="00111348">
      <w:pPr>
        <w:spacing w:line="360" w:lineRule="auto"/>
      </w:pPr>
      <w:r w:rsidRPr="003C0842">
        <w:t xml:space="preserve">Względy merytoryczne mieszały się z </w:t>
      </w:r>
      <w:r w:rsidR="002D2B20" w:rsidRPr="003C0842">
        <w:t xml:space="preserve">politycznymi, </w:t>
      </w:r>
      <w:r w:rsidRPr="003C0842">
        <w:t xml:space="preserve">nie mniej ważnymi. </w:t>
      </w:r>
      <w:r w:rsidR="002D2B20" w:rsidRPr="003C0842">
        <w:t>M</w:t>
      </w:r>
      <w:r w:rsidRPr="003C0842">
        <w:t xml:space="preserve">anifestowany rewizjonizm niemiecki, węgierski i bułgarski niepokoił sąsiadów, którzy z </w:t>
      </w:r>
      <w:r w:rsidR="00B260CC" w:rsidRPr="003C0842">
        <w:t>równ</w:t>
      </w:r>
      <w:r w:rsidRPr="003C0842">
        <w:t xml:space="preserve">ym zaangażowaniem zabiegali o pozostawienie Komisji Kontroli </w:t>
      </w:r>
      <w:r w:rsidR="00DD6AA6" w:rsidRPr="003C0842">
        <w:t>z</w:t>
      </w:r>
      <w:r w:rsidRPr="003C0842">
        <w:t xml:space="preserve"> jej dotychczasowym, restryktywnym charaktere</w:t>
      </w:r>
      <w:r w:rsidR="00B260CC" w:rsidRPr="003C0842">
        <w:t>m</w:t>
      </w:r>
      <w:r w:rsidRPr="003C0842">
        <w:t xml:space="preserve">. Sekundowały im rządy, które </w:t>
      </w:r>
      <w:r w:rsidR="002D2B20" w:rsidRPr="003C0842">
        <w:t xml:space="preserve">uważały, a nawet </w:t>
      </w:r>
      <w:r w:rsidRPr="003C0842">
        <w:t xml:space="preserve">były przekonane, że przejęcie kontroli wykonania klauzul wojskowych przez Ligę nie będzie efektywne. Postulowana i oczekiwana </w:t>
      </w:r>
      <w:r w:rsidR="00B260CC" w:rsidRPr="003C0842">
        <w:t xml:space="preserve">bowiem </w:t>
      </w:r>
      <w:r w:rsidRPr="003C0842">
        <w:t xml:space="preserve">przez państwa pokonane zmiana powodowała zastąpienie kontroli – badaniem. </w:t>
      </w:r>
    </w:p>
    <w:p w:rsidR="00B64579" w:rsidRPr="003C0842" w:rsidRDefault="00B64579" w:rsidP="00111348">
      <w:pPr>
        <w:spacing w:line="360" w:lineRule="auto"/>
      </w:pPr>
      <w:r w:rsidRPr="003C0842">
        <w:t>Badania uzbrojenia miały być – w stosunku do kontroli – ograniczane w uprawnieniach głównie poprzez to, że</w:t>
      </w:r>
    </w:p>
    <w:p w:rsidR="002D2B20" w:rsidRPr="003C0842" w:rsidRDefault="002D2B20" w:rsidP="00111348">
      <w:pPr>
        <w:spacing w:line="360" w:lineRule="auto"/>
      </w:pPr>
      <w:r w:rsidRPr="003C0842">
        <w:t xml:space="preserve">1) </w:t>
      </w:r>
      <w:r w:rsidR="00B260CC" w:rsidRPr="003C0842">
        <w:t>k</w:t>
      </w:r>
      <w:r w:rsidRPr="003C0842">
        <w:t>omisje badań miały pracować tylko na żądanie zainteresowanej strony (p</w:t>
      </w:r>
      <w:r w:rsidR="00B260CC" w:rsidRPr="003C0842">
        <w:t>aństwa) przedłożone Radzie Ligi;</w:t>
      </w:r>
    </w:p>
    <w:p w:rsidR="00B64579" w:rsidRPr="003C0842" w:rsidRDefault="002D2B20" w:rsidP="00111348">
      <w:pPr>
        <w:spacing w:line="360" w:lineRule="auto"/>
      </w:pPr>
      <w:r w:rsidRPr="003C0842">
        <w:t>2</w:t>
      </w:r>
      <w:r w:rsidR="00B64579" w:rsidRPr="003C0842">
        <w:t xml:space="preserve">) </w:t>
      </w:r>
      <w:r w:rsidR="00B260CC" w:rsidRPr="003C0842">
        <w:t>k</w:t>
      </w:r>
      <w:r w:rsidR="00B64579" w:rsidRPr="003C0842">
        <w:t xml:space="preserve">omisje badań miały prawo stwierdzać stan uchybiający obowiązującym przepisom i informować o tym Radę LN. Tylko ona mogła polecić dokonanie zmian, </w:t>
      </w:r>
      <w:r w:rsidR="00DD6AA6" w:rsidRPr="003C0842">
        <w:t xml:space="preserve">do stanu </w:t>
      </w:r>
      <w:r w:rsidR="00B64579" w:rsidRPr="003C0842">
        <w:t>zgodn</w:t>
      </w:r>
      <w:r w:rsidR="00DD6AA6" w:rsidRPr="003C0842">
        <w:t>ego</w:t>
      </w:r>
      <w:r w:rsidR="00B64579" w:rsidRPr="003C0842">
        <w:t xml:space="preserve"> ze wskazaniami traktatów pokojowych. W razie oporu, Rada miała prawo zastosować przymus.</w:t>
      </w:r>
    </w:p>
    <w:p w:rsidR="00BD56B3" w:rsidRDefault="00B64579" w:rsidP="00111348">
      <w:pPr>
        <w:spacing w:line="360" w:lineRule="auto"/>
      </w:pPr>
      <w:r w:rsidRPr="003C0842">
        <w:t>Zastąpienie Komisji Kontroli działającej w imieniu Konferencji Ambasadorów, a więc mocarstw zwycięskich</w:t>
      </w:r>
      <w:r w:rsidR="00DD6AA6" w:rsidRPr="003C0842">
        <w:t>,</w:t>
      </w:r>
      <w:r w:rsidRPr="003C0842">
        <w:t xml:space="preserve"> przez kontrolę realizowaną przez Ligę</w:t>
      </w:r>
      <w:r w:rsidR="00DD6AA6" w:rsidRPr="003C0842">
        <w:t>, dokonywało się w atmosferze niepewności i oskarżeń.</w:t>
      </w:r>
      <w:r w:rsidRPr="003C0842">
        <w:t>Powszechnie zdawano sobie sprawę, że kontrola Ligi, realizowana dorywczo, po wyczerpaniu rozbudowanej procedury, oferującej liczne kruczki utrudniające podjęcie efektywnego badania, musi byćmało skuteczna</w:t>
      </w:r>
      <w:r w:rsidR="00F03296" w:rsidRPr="003C0842">
        <w:t xml:space="preserve"> lub </w:t>
      </w:r>
      <w:r w:rsidR="00CD00B1" w:rsidRPr="003C0842">
        <w:t xml:space="preserve">zgoła </w:t>
      </w:r>
      <w:r w:rsidR="00F03296" w:rsidRPr="003C0842">
        <w:t>nieskuteczn</w:t>
      </w:r>
      <w:r w:rsidR="00DD6AA6" w:rsidRPr="003C0842">
        <w:t>a</w:t>
      </w:r>
      <w:r w:rsidRPr="003C0842">
        <w:t xml:space="preserve">.Temperaturę dyskusji wzmagało przeświadczenie, że </w:t>
      </w:r>
      <w:r w:rsidR="00F03296" w:rsidRPr="003C0842">
        <w:t>pośrednictwo Ligi zlikwiduje bezpośrednie relacje zwycięzc</w:t>
      </w:r>
      <w:r w:rsidR="00CD00B1" w:rsidRPr="003C0842">
        <w:t>ów</w:t>
      </w:r>
      <w:r w:rsidR="00F03296" w:rsidRPr="003C0842">
        <w:t xml:space="preserve"> z pokonanymi.</w:t>
      </w:r>
    </w:p>
    <w:p w:rsidR="00707E40" w:rsidRPr="003C0842" w:rsidRDefault="00CD00B1" w:rsidP="00111348">
      <w:pPr>
        <w:spacing w:line="360" w:lineRule="auto"/>
      </w:pPr>
      <w:r w:rsidRPr="003C0842">
        <w:lastRenderedPageBreak/>
        <w:t>S</w:t>
      </w:r>
      <w:r w:rsidR="00B64579" w:rsidRPr="003C0842">
        <w:t>posób rozwiązania kontroli nad różnymi przejawami życia wojskowego i przemysłowego Austrii, Bułgarii i na Węgrzech</w:t>
      </w:r>
      <w:r w:rsidRPr="003C0842">
        <w:t xml:space="preserve"> komplikował się tym bardziej, że był</w:t>
      </w:r>
      <w:r w:rsidR="00B64579" w:rsidRPr="003C0842">
        <w:t xml:space="preserve"> probierzem postępowania w przypadku Niemiec. Stwierdził to dobitnie delegat Francji, senator Henri de Jouvenel na posiedzeniu Rady 17 czerwca 1924 r. Popierając istotę wniosku brytyjskiego referowanego Radzie przez lorda Parmoora, wnosił o powołanie specjalnej grupy </w:t>
      </w:r>
      <w:r w:rsidR="00F03296" w:rsidRPr="003C0842">
        <w:t>roboczej</w:t>
      </w:r>
      <w:r w:rsidR="00B64579" w:rsidRPr="003C0842">
        <w:t xml:space="preserve"> w celu wydania opinii na temat art. 4</w:t>
      </w:r>
      <w:r w:rsidR="00F03296" w:rsidRPr="003C0842">
        <w:t xml:space="preserve">,al. 5 </w:t>
      </w:r>
      <w:r w:rsidR="00B64579" w:rsidRPr="003C0842">
        <w:t>Paktu</w:t>
      </w:r>
      <w:r w:rsidRPr="003C0842">
        <w:t xml:space="preserve">. Chodziło o </w:t>
      </w:r>
      <w:r w:rsidR="00B64579" w:rsidRPr="003C0842">
        <w:t>skład Rady</w:t>
      </w:r>
      <w:r w:rsidRPr="003C0842">
        <w:t>, która miała być</w:t>
      </w:r>
      <w:r w:rsidR="00B64579" w:rsidRPr="003C0842">
        <w:t xml:space="preserve"> poszerzon</w:t>
      </w:r>
      <w:r w:rsidRPr="003C0842">
        <w:t>a</w:t>
      </w:r>
      <w:r w:rsidR="00B64579" w:rsidRPr="003C0842">
        <w:t xml:space="preserve"> o państwa szczególnie zainteresowane stanem sił wojskowych w Austrii, Bułgarii i na Węgrzech. Senator de Jouvenel wnioskował również o podjęcie przygotowań </w:t>
      </w:r>
      <w:r w:rsidRPr="003C0842">
        <w:t>organizacyjnych</w:t>
      </w:r>
      <w:r w:rsidR="00B64579" w:rsidRPr="003C0842">
        <w:t xml:space="preserve"> i techniczny</w:t>
      </w:r>
      <w:r w:rsidRPr="003C0842">
        <w:t>ch</w:t>
      </w:r>
      <w:r w:rsidR="00B64579" w:rsidRPr="003C0842">
        <w:t>, które umożliwią Radzie spełnienie funkcji inwestygacyjnych</w:t>
      </w:r>
      <w:r w:rsidR="00707E40" w:rsidRPr="003C0842">
        <w:rPr>
          <w:rStyle w:val="Odwoanieprzypisudolnego"/>
          <w:rFonts w:ascii="Times New Roman" w:hAnsi="Times New Roman"/>
          <w:sz w:val="24"/>
        </w:rPr>
        <w:footnoteReference w:id="376"/>
      </w:r>
      <w:r w:rsidR="00707E40" w:rsidRPr="003C0842">
        <w:t>.</w:t>
      </w:r>
    </w:p>
    <w:p w:rsidR="00B64579" w:rsidRPr="003C0842" w:rsidRDefault="00CD00B1" w:rsidP="00111348">
      <w:pPr>
        <w:spacing w:line="360" w:lineRule="auto"/>
      </w:pPr>
      <w:r w:rsidRPr="003C0842">
        <w:t>P</w:t>
      </w:r>
      <w:r w:rsidR="00707E40" w:rsidRPr="003C0842">
        <w:t>aństw</w:t>
      </w:r>
      <w:r w:rsidRPr="003C0842">
        <w:t>a</w:t>
      </w:r>
      <w:r w:rsidR="007F79E7" w:rsidRPr="003C0842">
        <w:t>,</w:t>
      </w:r>
      <w:r w:rsidR="00707E40" w:rsidRPr="003C0842">
        <w:t xml:space="preserve"> bezpośrednio zainteresowan</w:t>
      </w:r>
      <w:r w:rsidRPr="003C0842">
        <w:t>e</w:t>
      </w:r>
      <w:r w:rsidR="00707E40" w:rsidRPr="003C0842">
        <w:t xml:space="preserve">pracami powołanej </w:t>
      </w:r>
      <w:r w:rsidR="00B64579" w:rsidRPr="003C0842">
        <w:t>komisji prawników do interpretacji art. 4, al. 5 Paktu</w:t>
      </w:r>
      <w:r w:rsidR="007F79E7" w:rsidRPr="003C0842">
        <w:t>,</w:t>
      </w:r>
      <w:r w:rsidRPr="003C0842">
        <w:t>były zaskoczone</w:t>
      </w:r>
      <w:r w:rsidR="00B64579" w:rsidRPr="003C0842">
        <w:t xml:space="preserve">, że </w:t>
      </w:r>
      <w:r w:rsidRPr="003C0842">
        <w:t xml:space="preserve">gremium to </w:t>
      </w:r>
      <w:r w:rsidR="00B64579" w:rsidRPr="003C0842">
        <w:t>składał</w:t>
      </w:r>
      <w:r w:rsidRPr="003C0842">
        <w:t>o</w:t>
      </w:r>
      <w:r w:rsidR="00B64579" w:rsidRPr="003C0842">
        <w:t xml:space="preserve"> się wyłącznie z osób desygnowanych przez członk</w:t>
      </w:r>
      <w:r w:rsidRPr="003C0842">
        <w:t>ów</w:t>
      </w:r>
      <w:r w:rsidR="00B64579" w:rsidRPr="003C0842">
        <w:t xml:space="preserve"> Rady. </w:t>
      </w:r>
      <w:r w:rsidRPr="003C0842">
        <w:t xml:space="preserve">Zabiegi o zmianę sytuacji utrącano twierdzeniem o zbyt dużej liczbie państw, które powinny uczestniczyć </w:t>
      </w:r>
      <w:r w:rsidR="003A7B2D" w:rsidRPr="003C0842">
        <w:t>w tym postępowaniu. W przypadku</w:t>
      </w:r>
      <w:r w:rsidR="00B64579" w:rsidRPr="003C0842">
        <w:t>zniesieni</w:t>
      </w:r>
      <w:r w:rsidR="00707E40" w:rsidRPr="003C0842">
        <w:t>a</w:t>
      </w:r>
      <w:r w:rsidR="00B64579" w:rsidRPr="003C0842">
        <w:t xml:space="preserve"> kontroli Niemiec</w:t>
      </w:r>
      <w:r w:rsidR="003A7B2D" w:rsidRPr="003C0842">
        <w:t xml:space="preserve"> powinny uczestniczyć</w:t>
      </w:r>
      <w:r w:rsidR="00B64579" w:rsidRPr="003C0842">
        <w:t xml:space="preserve">: Dania, Holandia, Polska, Szwajcaria i ewentualnie Czechosłowacja, </w:t>
      </w:r>
      <w:r w:rsidR="00227677" w:rsidRPr="003C0842">
        <w:t>je</w:t>
      </w:r>
      <w:r w:rsidR="007F79E7" w:rsidRPr="003C0842">
        <w:t>ś</w:t>
      </w:r>
      <w:r w:rsidR="00227677" w:rsidRPr="003C0842">
        <w:t>li</w:t>
      </w:r>
      <w:r w:rsidR="00B64579" w:rsidRPr="003C0842">
        <w:t xml:space="preserve"> skończyłby się jej mandat z wyboru Zgromadzenia. Nie brakowało też głosów wskazujących na prawo udziału w kontroli wszystkich państ</w:t>
      </w:r>
      <w:r w:rsidR="003A7B2D" w:rsidRPr="003C0842">
        <w:t>w, które podpisały traktaty. Zarazem r</w:t>
      </w:r>
      <w:r w:rsidR="00B64579" w:rsidRPr="003C0842">
        <w:t>ozprawiano o wyłączeniu państw pokonanych</w:t>
      </w:r>
      <w:r w:rsidR="00227677" w:rsidRPr="003C0842">
        <w:t xml:space="preserve">, unikając sytuacji, że </w:t>
      </w:r>
      <w:r w:rsidR="00B64579" w:rsidRPr="003C0842">
        <w:t xml:space="preserve">kontrolowany </w:t>
      </w:r>
      <w:r w:rsidR="00227677" w:rsidRPr="003C0842">
        <w:t>jest</w:t>
      </w:r>
      <w:r w:rsidR="00B64579" w:rsidRPr="003C0842">
        <w:t xml:space="preserve"> członkiem ciała kontrolującego. </w:t>
      </w:r>
      <w:r w:rsidR="003A7B2D" w:rsidRPr="003C0842">
        <w:t>O</w:t>
      </w:r>
      <w:r w:rsidR="00B64579" w:rsidRPr="003C0842">
        <w:t>burz</w:t>
      </w:r>
      <w:r w:rsidR="003A7B2D" w:rsidRPr="003C0842">
        <w:t>ało to</w:t>
      </w:r>
      <w:r w:rsidR="00B64579" w:rsidRPr="003C0842">
        <w:t xml:space="preserve"> tym </w:t>
      </w:r>
      <w:r w:rsidR="003A7B2D" w:rsidRPr="003C0842">
        <w:t>bardziej</w:t>
      </w:r>
      <w:r w:rsidR="00B64579" w:rsidRPr="003C0842">
        <w:t>, że problem narodził się i nabrzmiewał w imię zrównania statusu państw będących członkami LN. Jakkolwiek pogląd ten miał głównie charakter przetargowy, to jednak takie państwa</w:t>
      </w:r>
      <w:r w:rsidR="00B260CC" w:rsidRPr="003C0842">
        <w:t>,</w:t>
      </w:r>
      <w:r w:rsidR="00B64579" w:rsidRPr="003C0842">
        <w:t xml:space="preserve"> jak Grecja, Jugosławia, Polska i Rumunia dość zgodnie podkreślały, że udział w kontroli wykonania klauzul rozbrojeniowych należy się przede wszystkim państwom sąsiedzkim. Jako bezpośrednio zagrożone były one najbardziej wyczulone na przekroczenia klauzul rozbrojeniowych, bardziej niż inne państwa, które z racji położenia geograficznego mogły czuć się bezpieczne</w:t>
      </w:r>
      <w:r w:rsidR="00B64579" w:rsidRPr="003C0842">
        <w:rPr>
          <w:rStyle w:val="Odwoanieprzypisudolnego"/>
          <w:rFonts w:ascii="Times New Roman" w:hAnsi="Times New Roman"/>
          <w:sz w:val="24"/>
        </w:rPr>
        <w:footnoteReference w:id="377"/>
      </w:r>
      <w:r w:rsidR="00B64579" w:rsidRPr="003C0842">
        <w:t>.</w:t>
      </w:r>
    </w:p>
    <w:p w:rsidR="00B64579" w:rsidRPr="003C0842" w:rsidRDefault="00B64579" w:rsidP="00111348">
      <w:pPr>
        <w:spacing w:line="360" w:lineRule="auto"/>
      </w:pPr>
      <w:r w:rsidRPr="003C0842">
        <w:t xml:space="preserve">Duże zainteresowanie sporej grupy państw spotkaniem prawników mających zinterpretować odpowiedni fragment art. 4 Paktu przełożyło się na </w:t>
      </w:r>
      <w:r w:rsidR="00227677" w:rsidRPr="003C0842">
        <w:t xml:space="preserve">utylitarną </w:t>
      </w:r>
      <w:r w:rsidRPr="003C0842">
        <w:t xml:space="preserve">konkluzję, mającą pozory werdyktu prawników. Raport przyjęty 30 lipca 1924 r. był emanacją prawną </w:t>
      </w:r>
      <w:r w:rsidRPr="003C0842">
        <w:lastRenderedPageBreak/>
        <w:t xml:space="preserve">stanowiska politycznego Rady, która była przeciwna poszerzaniu liczby państw uczestniczących w kontroli </w:t>
      </w:r>
      <w:r w:rsidR="007F79E7" w:rsidRPr="003C0842">
        <w:t>postanowień</w:t>
      </w:r>
      <w:r w:rsidRPr="003C0842">
        <w:t xml:space="preserve"> rozbrojeniowych. O „absurdzie prawnym” mówili nie tylko prawnicy z Belgii (Joequemyns Rolin) i Czechosłowacji (Jan Krčmař), którzy głosowali przeciw, ale także powolny większości Castello Branco Clark z Brazylii. Niezadowoleni z tej opinii, przyjętej przez Radę do stosowania, podkreślali, że demokratyczna Liga wyłącza państwa kontrolowane z posiedzeń, podczas których będą ważyły się </w:t>
      </w:r>
      <w:r w:rsidR="00B260CC" w:rsidRPr="003C0842">
        <w:t>istot</w:t>
      </w:r>
      <w:r w:rsidRPr="003C0842">
        <w:t>ne dla nich sprawy. W krytyce tej decyzji prawników i Rady nie brakowało również państw z grupy zwycięskich, które wcześniej opowiadały się za wyłączeniem państw kontrolowanych z inwestygacji</w:t>
      </w:r>
      <w:r w:rsidRPr="003C0842">
        <w:rPr>
          <w:rStyle w:val="Odwoanieprzypisudolnego"/>
          <w:rFonts w:ascii="Times New Roman" w:hAnsi="Times New Roman"/>
          <w:sz w:val="24"/>
        </w:rPr>
        <w:footnoteReference w:id="378"/>
      </w:r>
      <w:r w:rsidRPr="003C0842">
        <w:t>.</w:t>
      </w:r>
    </w:p>
    <w:p w:rsidR="00B64579" w:rsidRPr="003C0842" w:rsidRDefault="003A7B2D" w:rsidP="00111348">
      <w:pPr>
        <w:spacing w:line="360" w:lineRule="auto"/>
      </w:pPr>
      <w:r w:rsidRPr="003C0842">
        <w:t>Postępującej</w:t>
      </w:r>
      <w:r w:rsidR="00B64579" w:rsidRPr="003C0842">
        <w:t xml:space="preserve"> dyskusji o przystąpieniu Niemiec do Ligi towarzyszyło </w:t>
      </w:r>
      <w:r w:rsidR="00227677" w:rsidRPr="003C0842">
        <w:t xml:space="preserve">przekonanie o ustaniu kontroli </w:t>
      </w:r>
      <w:r w:rsidR="00B64579" w:rsidRPr="003C0842">
        <w:t>rozbrojenia, kiedy Niemcy znajdą się nie tylko w Lidze, ale i jej Radzie. Zwłaszcza Brytyjczyc</w:t>
      </w:r>
      <w:r w:rsidR="00B260CC" w:rsidRPr="003C0842">
        <w:t>y i Szwedzi, w ogóle sceptyczni</w:t>
      </w:r>
      <w:r w:rsidR="00B64579" w:rsidRPr="003C0842">
        <w:t xml:space="preserve"> co do obowiązku kontroli niemieckich sił wojskowych na podstawie traktatów pokojowych, uważali ową kontrolę jako istotną, nieraz zasadniczą przeszkodę w unormowaniu stosunków w Europie. Przezwyciężenie tego stanu rzeczy wymagało dopuszczenia Niemiec do opartych na równości relacji dwu i wielostronnych</w:t>
      </w:r>
      <w:r w:rsidR="00B64579" w:rsidRPr="003C0842">
        <w:rPr>
          <w:rStyle w:val="Odwoanieprzypisudolnego"/>
          <w:rFonts w:ascii="Times New Roman" w:hAnsi="Times New Roman"/>
          <w:sz w:val="24"/>
        </w:rPr>
        <w:footnoteReference w:id="379"/>
      </w:r>
      <w:r w:rsidR="00B64579" w:rsidRPr="003C0842">
        <w:t>. Nadto jeszcze, jak pisał „Times” 13 grudnia 1926 r. w artykule wstępnym, zadanie niedopuszczenia do rozwoju militaryzmu niemieckiego powinno zostać przekazane samym Niemcom, ich zrozumieniu wspólnych interesów narodów europejskich i rozwojowi międzynarodowej organizacji ekonomicznej.</w:t>
      </w:r>
    </w:p>
    <w:p w:rsidR="00B64579" w:rsidRPr="003C0842" w:rsidRDefault="00227677" w:rsidP="00111348">
      <w:pPr>
        <w:spacing w:line="360" w:lineRule="auto"/>
      </w:pPr>
      <w:r w:rsidRPr="003C0842">
        <w:t>Słusznie i ładnie ujęte. Jednak p</w:t>
      </w:r>
      <w:r w:rsidR="00B64579" w:rsidRPr="003C0842">
        <w:t>ozyskan</w:t>
      </w:r>
      <w:r w:rsidRPr="003C0842">
        <w:t xml:space="preserve">ie wielu rządów i społeczeństw </w:t>
      </w:r>
      <w:r w:rsidR="00B64579" w:rsidRPr="003C0842">
        <w:t xml:space="preserve">dla takiej wyidealizowanej perspektywy nie było łatwe. Różne zastrzeżenia, w tym zwłaszcza co do wykonania klauzul rozbrojeniowych utrudniało, a nawet zdaniem niektórych rządów uniemożliwiało budowę nowych stosunków opartych na zaufaniu, bezpieczeństwie i partnerskiej współpracy. Dobitnym przejawem istniejącej sytuacji były oficjalnie wypowiadane i społecznie akceptowane plany rewizyjne wobec porządku wersalsko-waszyngtońskiego. W Europie główną, aczkolwiek stopniowo słabnącą ostoją porządku ustanowionego po I wojnie światowej była Francja. Jej przedstawiciel w Komisji Kontroli z rosnącymi trudnościami przezwyciężał opory kontrolowanych, wysługujących się życzliwością oficerów brytyjskich i co najmniej brakiem zaangażowania ze strony Włochów. W tej sytuacji gen. </w:t>
      </w:r>
      <w:r w:rsidR="00A8526D" w:rsidRPr="003C0842">
        <w:t xml:space="preserve">Charles </w:t>
      </w:r>
      <w:r w:rsidR="00B64579" w:rsidRPr="003C0842">
        <w:t xml:space="preserve">Nollet, choć był przewodniczącym Sojuszniczej Komisji Kontroli </w:t>
      </w:r>
      <w:r w:rsidR="00B64579" w:rsidRPr="003C0842">
        <w:lastRenderedPageBreak/>
        <w:t>w Niemczech</w:t>
      </w:r>
      <w:r w:rsidR="006F18F4" w:rsidRPr="003C0842">
        <w:t>,</w:t>
      </w:r>
      <w:r w:rsidR="00B64579" w:rsidRPr="003C0842">
        <w:t xml:space="preserve"> stopniowo ograniczał sw</w:t>
      </w:r>
      <w:r w:rsidRPr="003C0842">
        <w:t>oją aktywność.</w:t>
      </w:r>
      <w:r w:rsidR="00B64579" w:rsidRPr="003C0842">
        <w:t xml:space="preserve"> Był to też skutek swoiście pojmowanej ustępliwości Konferencji Ambasadorów, która </w:t>
      </w:r>
      <w:r w:rsidR="006F18F4" w:rsidRPr="003C0842">
        <w:t xml:space="preserve">obawiając </w:t>
      </w:r>
      <w:r w:rsidR="00B64579" w:rsidRPr="003C0842">
        <w:t xml:space="preserve">się pogłębienia oporu niemieckiego </w:t>
      </w:r>
      <w:r w:rsidRPr="003C0842">
        <w:t xml:space="preserve">i </w:t>
      </w:r>
      <w:r w:rsidR="00B64579" w:rsidRPr="003C0842">
        <w:t>dalsz</w:t>
      </w:r>
      <w:r w:rsidRPr="003C0842">
        <w:t>ych komplikacji</w:t>
      </w:r>
      <w:r w:rsidR="00B64579" w:rsidRPr="003C0842">
        <w:t xml:space="preserve">, apelowała o </w:t>
      </w:r>
      <w:r w:rsidR="0014623F" w:rsidRPr="003C0842">
        <w:t xml:space="preserve">znalezienie jakiegoś </w:t>
      </w:r>
      <w:r w:rsidR="00B64579" w:rsidRPr="003C0842">
        <w:rPr>
          <w:i/>
        </w:rPr>
        <w:t>modus vivendi</w:t>
      </w:r>
      <w:r w:rsidR="00B64579" w:rsidRPr="003C0842">
        <w:t>. Wiązać też to trzeba z rozmowami wokół tzw. planu Dawesa, negocjowanego formalnie od 9 kwietnia 1924 r.</w:t>
      </w:r>
      <w:r w:rsidR="00B64579" w:rsidRPr="003C0842">
        <w:rPr>
          <w:rStyle w:val="Odwoanieprzypisudolnego"/>
          <w:rFonts w:ascii="Times New Roman" w:hAnsi="Times New Roman"/>
          <w:sz w:val="24"/>
        </w:rPr>
        <w:footnoteReference w:id="380"/>
      </w:r>
    </w:p>
    <w:p w:rsidR="006F18F4" w:rsidRPr="003C0842" w:rsidRDefault="00B64579" w:rsidP="00111348">
      <w:pPr>
        <w:spacing w:line="360" w:lineRule="auto"/>
      </w:pPr>
      <w:r w:rsidRPr="003C0842">
        <w:t>Przejawy ustępliwości Konferencji Ambasadorów wobec państw pokonanych wywoływały protesty, a nawet oburzenie państw będących obiektami rewizjonistycznych manifestacji. Po Niemczech najwięcej emocji wzbudzały protesty Małej Ententy wobec różnych przewinień Węgier. Kraj ten, całkowicie rozbrojony, mający jedynie 35 tys. żołnierzy, obecność Międzysojuszniczej Komisji Kontroli uważał za całkowicie zbędną. Zabiegom o ich wyjazd towarzyszyły liczne oskarżenia</w:t>
      </w:r>
      <w:r w:rsidR="006F18F4" w:rsidRPr="003C0842">
        <w:t>,</w:t>
      </w:r>
      <w:r w:rsidRPr="003C0842">
        <w:t xml:space="preserve"> najostrzej formułowane</w:t>
      </w:r>
      <w:r w:rsidR="003A7B2D" w:rsidRPr="003C0842">
        <w:t xml:space="preserve"> przez Rumunów</w:t>
      </w:r>
      <w:r w:rsidRPr="003C0842">
        <w:t xml:space="preserve">, zwykle w imieniu Małej Ententy. W lutym 1925 r. w tzw. komisji węgierskiej w Genewie </w:t>
      </w:r>
      <w:r w:rsidR="006F18F4" w:rsidRPr="003C0842">
        <w:t xml:space="preserve">zajmowano się </w:t>
      </w:r>
      <w:r w:rsidRPr="003C0842">
        <w:t>budżet</w:t>
      </w:r>
      <w:r w:rsidR="006F18F4" w:rsidRPr="003C0842">
        <w:t>em</w:t>
      </w:r>
      <w:r w:rsidRPr="003C0842">
        <w:t>, określany</w:t>
      </w:r>
      <w:r w:rsidR="006F18F4" w:rsidRPr="003C0842">
        <w:t>m</w:t>
      </w:r>
      <w:r w:rsidRPr="003C0842">
        <w:t xml:space="preserve"> jako olbrzymi w stosunku do preliminarzy wojskowych państw ościennych. Kwestia ta została podniesiona w raporcie Komisji Kontroli</w:t>
      </w:r>
      <w:r w:rsidR="0014623F" w:rsidRPr="003C0842">
        <w:t xml:space="preserve"> skierowanym</w:t>
      </w:r>
      <w:r w:rsidRPr="003C0842">
        <w:t xml:space="preserve"> do Konferencji Ambasadorów. Napisano tam również o istnieniu formacji paramilitarnych, o dążeniach do zastąpienia systemu ochotniczego poborem oraz o przekroczeniu stanu liczbowego oficerów sztabowych. </w:t>
      </w:r>
    </w:p>
    <w:p w:rsidR="00B64579" w:rsidRPr="003C0842" w:rsidRDefault="00B64579" w:rsidP="00111348">
      <w:pPr>
        <w:spacing w:line="360" w:lineRule="auto"/>
      </w:pPr>
      <w:r w:rsidRPr="003C0842">
        <w:t>Żądanie zajęcia się sytuacją na Węgrzech zostało utrącone przez życzliwego Węgrom sprawozdawcę, delegata Włoch Vittorio Scialoję</w:t>
      </w:r>
      <w:r w:rsidR="006F18F4" w:rsidRPr="003C0842">
        <w:t>. S</w:t>
      </w:r>
      <w:r w:rsidRPr="003C0842">
        <w:t>twierdz</w:t>
      </w:r>
      <w:r w:rsidR="006F18F4" w:rsidRPr="003C0842">
        <w:t>ił mianowicie</w:t>
      </w:r>
      <w:r w:rsidRPr="003C0842">
        <w:t xml:space="preserve">, że zarzuty rumuńskie nie zostały dostatecznie dobrze udokumentowane. Sugestia zwrócenia się o informacje do komisarza generalnego Ligi w Budapeszcie, który nadzorował realizację pomocy finansowej firmowanej przez Genewę, było </w:t>
      </w:r>
      <w:r w:rsidR="0014623F" w:rsidRPr="003C0842">
        <w:t xml:space="preserve">okazją do </w:t>
      </w:r>
      <w:r w:rsidRPr="003C0842">
        <w:t>odroczeni</w:t>
      </w:r>
      <w:r w:rsidR="0014623F" w:rsidRPr="003C0842">
        <w:t>a</w:t>
      </w:r>
      <w:r w:rsidRPr="003C0842">
        <w:t xml:space="preserve"> dyskusji merytorycznej. </w:t>
      </w:r>
      <w:r w:rsidR="0014623F" w:rsidRPr="003C0842">
        <w:t xml:space="preserve">Był to </w:t>
      </w:r>
      <w:r w:rsidRPr="003C0842">
        <w:t>sukces Węgier możliwy w sytuacji niechęci liderów Rady do zajmowania się sporem o lokalnym znaczeniu, który jednak wymuszał</w:t>
      </w:r>
      <w:r w:rsidR="00436B99" w:rsidRPr="003C0842">
        <w:t>by</w:t>
      </w:r>
      <w:r w:rsidRPr="003C0842">
        <w:t xml:space="preserve"> zajęcie stanowiska po jednej </w:t>
      </w:r>
      <w:r w:rsidR="0014623F" w:rsidRPr="003C0842">
        <w:t>ze stron</w:t>
      </w:r>
      <w:r w:rsidRPr="003C0842">
        <w:rPr>
          <w:rStyle w:val="Odwoanieprzypisudolnego"/>
          <w:rFonts w:ascii="Times New Roman" w:hAnsi="Times New Roman"/>
          <w:sz w:val="24"/>
        </w:rPr>
        <w:footnoteReference w:id="381"/>
      </w:r>
      <w:r w:rsidRPr="003C0842">
        <w:t>.</w:t>
      </w:r>
    </w:p>
    <w:p w:rsidR="00B64579" w:rsidRPr="003C0842" w:rsidRDefault="00B64579" w:rsidP="00111348">
      <w:pPr>
        <w:spacing w:line="360" w:lineRule="auto"/>
      </w:pPr>
      <w:r w:rsidRPr="003C0842">
        <w:t>Wkrótce, w kwietniu 1925 r. kolejny alarm wywołało przemówienie węgierskiego ministra obrony hr</w:t>
      </w:r>
      <w:r w:rsidR="00B260CC" w:rsidRPr="003C0842">
        <w:t>.</w:t>
      </w:r>
      <w:r w:rsidRPr="003C0842">
        <w:t xml:space="preserve"> Istv</w:t>
      </w:r>
      <w:r w:rsidR="00B260CC" w:rsidRPr="003C0842">
        <w:t>a</w:t>
      </w:r>
      <w:r w:rsidRPr="003C0842">
        <w:t>na Csáky</w:t>
      </w:r>
      <w:r w:rsidR="00B260CC" w:rsidRPr="003C0842">
        <w:t>iego</w:t>
      </w:r>
      <w:r w:rsidR="00436B99" w:rsidRPr="003C0842">
        <w:t>.</w:t>
      </w:r>
      <w:r w:rsidRPr="003C0842">
        <w:t xml:space="preserve"> Krytykował on swój rząd</w:t>
      </w:r>
      <w:r w:rsidR="00436B99" w:rsidRPr="003C0842">
        <w:t>za ograniczenia finansowe wobec armii. T</w:t>
      </w:r>
      <w:r w:rsidR="0014623F" w:rsidRPr="003C0842">
        <w:t>wierdz</w:t>
      </w:r>
      <w:r w:rsidR="00436B99" w:rsidRPr="003C0842">
        <w:t>ił</w:t>
      </w:r>
      <w:r w:rsidR="0014623F" w:rsidRPr="003C0842">
        <w:t xml:space="preserve">, że </w:t>
      </w:r>
      <w:r w:rsidRPr="003C0842">
        <w:t>Węgry</w:t>
      </w:r>
      <w:r w:rsidR="00B260CC" w:rsidRPr="003C0842">
        <w:t>,</w:t>
      </w:r>
      <w:r w:rsidRPr="003C0842">
        <w:t xml:space="preserve"> mając jedynie 35 tys. żołnierzy, muszą mieć armię dobrze i nowocześnie wyposażoną, zdolną do sprostania </w:t>
      </w:r>
      <w:r w:rsidR="00436B99" w:rsidRPr="003C0842">
        <w:t>zewnętrznym zagrożeniom</w:t>
      </w:r>
      <w:r w:rsidRPr="003C0842">
        <w:t>.</w:t>
      </w:r>
      <w:r w:rsidR="0014623F" w:rsidRPr="003C0842">
        <w:t xml:space="preserve"> Alarmy z tego powodu wszczynane przez sąsiadów znajdowały liczne potwierdzenia. </w:t>
      </w:r>
      <w:r w:rsidRPr="003C0842">
        <w:t>Jozsef Bornus podaje, że zawyżone limity oficerów w jednostkach ukrywano</w:t>
      </w:r>
      <w:r w:rsidR="00B260CC" w:rsidRPr="003C0842">
        <w:t>,</w:t>
      </w:r>
      <w:r w:rsidRPr="003C0842">
        <w:t xml:space="preserve"> przywdziewając cywilne ubrania po zakończeniu służby. </w:t>
      </w:r>
      <w:r w:rsidR="00281DA4" w:rsidRPr="003C0842">
        <w:t>Od</w:t>
      </w:r>
      <w:r w:rsidRPr="003C0842">
        <w:t xml:space="preserve"> 1922 r. kształc</w:t>
      </w:r>
      <w:r w:rsidR="00281DA4" w:rsidRPr="003C0842">
        <w:t xml:space="preserve">ono </w:t>
      </w:r>
      <w:r w:rsidRPr="003C0842">
        <w:t>oficerów sztabowych</w:t>
      </w:r>
      <w:r w:rsidR="00281DA4" w:rsidRPr="003C0842">
        <w:t xml:space="preserve"> w akademii wojskowej </w:t>
      </w:r>
      <w:r w:rsidR="00281DA4" w:rsidRPr="003C0842">
        <w:lastRenderedPageBreak/>
        <w:t>powołanej wbrew postanowieniom traktatu</w:t>
      </w:r>
      <w:r w:rsidRPr="003C0842">
        <w:t>. Zakaz utrzymywania jednostek pancernych obchodzono</w:t>
      </w:r>
      <w:r w:rsidR="00B260CC" w:rsidRPr="003C0842">
        <w:t>,</w:t>
      </w:r>
      <w:r w:rsidRPr="003C0842">
        <w:t xml:space="preserve"> wpisując je formalnie na stan policji. Szkolenie pilotów i nawigatorów odbywało się w ramach lotnictwa cywilnego oraz pod </w:t>
      </w:r>
      <w:r w:rsidR="0014623F" w:rsidRPr="003C0842">
        <w:t>szyldem</w:t>
      </w:r>
      <w:r w:rsidRPr="003C0842">
        <w:t xml:space="preserve"> sportu</w:t>
      </w:r>
      <w:r w:rsidR="005E3406" w:rsidRPr="003C0842">
        <w:t>. Począwszy od szkoły podstawowej</w:t>
      </w:r>
      <w:r w:rsidR="00B260CC" w:rsidRPr="003C0842">
        <w:t>,</w:t>
      </w:r>
      <w:r w:rsidR="005E3406" w:rsidRPr="003C0842">
        <w:t xml:space="preserve"> prowadzono</w:t>
      </w:r>
      <w:r w:rsidRPr="003C0842">
        <w:t xml:space="preserve"> wychowanie wojskowe</w:t>
      </w:r>
      <w:r w:rsidR="00281DA4" w:rsidRPr="003C0842">
        <w:t xml:space="preserve"> za pośrednictwem</w:t>
      </w:r>
      <w:r w:rsidRPr="003C0842">
        <w:t xml:space="preserve"> organizacji </w:t>
      </w:r>
      <w:r w:rsidR="005E3406" w:rsidRPr="003C0842">
        <w:t>parawojskowej</w:t>
      </w:r>
      <w:r w:rsidRPr="003C0842">
        <w:rPr>
          <w:i/>
        </w:rPr>
        <w:t>Lavente</w:t>
      </w:r>
      <w:r w:rsidR="00281DA4" w:rsidRPr="003C0842">
        <w:t xml:space="preserve">, nadzorowanej przezczynnychwojskowych, także </w:t>
      </w:r>
      <w:r w:rsidRPr="003C0842">
        <w:t>generał</w:t>
      </w:r>
      <w:r w:rsidR="00281DA4" w:rsidRPr="003C0842">
        <w:t>ów</w:t>
      </w:r>
      <w:r w:rsidRPr="003C0842">
        <w:t xml:space="preserve">. Przynależność do niej </w:t>
      </w:r>
      <w:r w:rsidR="00281DA4" w:rsidRPr="003C0842">
        <w:t>była „dobrze widziana”, w niektórych rejonach nawet</w:t>
      </w:r>
      <w:r w:rsidRPr="003C0842">
        <w:t xml:space="preserve"> obowiązkowa „dla chłopców i młodzieńców przed wojskiem”. Wobec „zapominalskich” stosowano przymus do więzienia włącznie</w:t>
      </w:r>
      <w:r w:rsidRPr="003C0842">
        <w:rPr>
          <w:rStyle w:val="Odwoanieprzypisudolnego"/>
          <w:rFonts w:ascii="Times New Roman" w:hAnsi="Times New Roman"/>
          <w:sz w:val="24"/>
        </w:rPr>
        <w:footnoteReference w:id="382"/>
      </w:r>
      <w:r w:rsidRPr="003C0842">
        <w:t xml:space="preserve">. </w:t>
      </w:r>
    </w:p>
    <w:p w:rsidR="00B64579" w:rsidRPr="003C0842" w:rsidRDefault="00B64579" w:rsidP="00111348">
      <w:pPr>
        <w:spacing w:line="360" w:lineRule="auto"/>
      </w:pPr>
      <w:r w:rsidRPr="003C0842">
        <w:t>Problem zewnętrznej kontroli, jakiejkolwiek zresztą, a więc nie tylko wojskowej, ale także finansowej, należał do bardzo drażliwych, zarówno w stosunkach wewnętrznych</w:t>
      </w:r>
      <w:r w:rsidR="00B260CC" w:rsidRPr="003C0842">
        <w:t>,</w:t>
      </w:r>
      <w:r w:rsidRPr="003C0842">
        <w:t xml:space="preserve"> jak i międzynarodowych. Najsilniej </w:t>
      </w:r>
      <w:r w:rsidR="00B260CC" w:rsidRPr="003C0842">
        <w:t>wywierały wpływna</w:t>
      </w:r>
      <w:r w:rsidRPr="003C0842">
        <w:t xml:space="preserve"> relacj</w:t>
      </w:r>
      <w:r w:rsidR="00B260CC" w:rsidRPr="003C0842">
        <w:t>e</w:t>
      </w:r>
      <w:r w:rsidRPr="003C0842">
        <w:t xml:space="preserve"> z sąsiadami, ale też miał swoje odbicie w układach sojuszniczych (w ramach bloków polityczno-wojskowych) i w wymiarze powszechnym, jako integralna część debat na temat bezpieczeństwa i rozbrojenia. Każdy ruch po jednej stronie wywoływał oddźwięk po innej. Im państwo znaczniejsze i silniejsze, tym reakcje na wprowadzane zmiany większe. Jeśli jesienią 1925 r. </w:t>
      </w:r>
      <w:r w:rsidR="00A8526D" w:rsidRPr="003C0842">
        <w:t>przy okazji pracy komisji Horace’a</w:t>
      </w:r>
      <w:r w:rsidRPr="003C0842">
        <w:t xml:space="preserve"> Rumbolda badającej zatarg graniczny między Grecją i Bułgarią wykryto uchybienia wobec traktatu w Neuilly (nadetatowa ilość broni w posterunkach granicznych, działalność nielegalnej milicji itp.)</w:t>
      </w:r>
      <w:r w:rsidR="00B260CC" w:rsidRPr="003C0842">
        <w:t>,</w:t>
      </w:r>
      <w:r w:rsidRPr="003C0842">
        <w:t xml:space="preserve"> to rezonans tego był niewielki, głównie lokalny</w:t>
      </w:r>
      <w:r w:rsidRPr="003C0842">
        <w:rPr>
          <w:rStyle w:val="Odwoanieprzypisudolnego"/>
          <w:rFonts w:ascii="Times New Roman" w:hAnsi="Times New Roman"/>
          <w:sz w:val="24"/>
        </w:rPr>
        <w:footnoteReference w:id="383"/>
      </w:r>
      <w:r w:rsidRPr="003C0842">
        <w:t>. Jeśli jednak Konferencja Ambasadorów 6</w:t>
      </w:r>
      <w:r w:rsidR="00413C94" w:rsidRPr="003C0842">
        <w:t xml:space="preserve"> stycznia 1925 r. notyfikowała sekretarzowi g</w:t>
      </w:r>
      <w:r w:rsidRPr="003C0842">
        <w:t xml:space="preserve">eneralnemu Ligi zakończenie działalności Sojuszniczej Komisji Kontroli w Niemczech w zakresie rozbrojenia morskiego, to wydarzenie to nabierało wymiaru powszechnego. Interesowała </w:t>
      </w:r>
      <w:r w:rsidR="005E3406" w:rsidRPr="003C0842">
        <w:t xml:space="preserve">ona </w:t>
      </w:r>
      <w:r w:rsidRPr="003C0842">
        <w:t xml:space="preserve">przede wszystkim potęgi morskie, w tym nieobecne w Lidze, jak Stany Zjednoczone, które do rozbrojenia (de facto ograniczenia) na morzu przywiązywały dużą wagę. Ponadto w tym właśnie obszarze pojawiła się nowa jakość, </w:t>
      </w:r>
      <w:r w:rsidR="00F93D2D" w:rsidRPr="003C0842">
        <w:t>gdyż</w:t>
      </w:r>
      <w:r w:rsidRPr="003C0842">
        <w:t xml:space="preserve"> rezygnacja Konferencji Ambasadorów z dalszego nadzoru rozbrojenia morskiego Niemiec oznaczało jej przejęcie przez Radę Ligi, zgodnie z art. 213 traktatu wersalskiego.</w:t>
      </w:r>
    </w:p>
    <w:p w:rsidR="00B64579" w:rsidRPr="003C0842" w:rsidRDefault="00B64579" w:rsidP="00111348">
      <w:pPr>
        <w:spacing w:line="360" w:lineRule="auto"/>
      </w:pPr>
      <w:r w:rsidRPr="003C0842">
        <w:t>Projekcje efektywności i skuteczności tej kontroli</w:t>
      </w:r>
      <w:r w:rsidR="00281DA4" w:rsidRPr="003C0842">
        <w:t>,</w:t>
      </w:r>
      <w:r w:rsidRPr="003C0842">
        <w:t xml:space="preserve"> wspierające się na dorobku negocjacyjnym Ligi jako całości, w tym także w Stałej Komisji</w:t>
      </w:r>
      <w:r w:rsidR="00573CCA" w:rsidRPr="003C0842">
        <w:t xml:space="preserve"> Konsultacyjnej do spraw Wojskowych Morskich i Lotniczych</w:t>
      </w:r>
      <w:r w:rsidR="00E47768" w:rsidRPr="003C0842">
        <w:t xml:space="preserve">, </w:t>
      </w:r>
      <w:r w:rsidRPr="003C0842">
        <w:t xml:space="preserve">były dla zwolenników kontroli negatywne, deprymujące </w:t>
      </w:r>
      <w:r w:rsidRPr="003C0842">
        <w:lastRenderedPageBreak/>
        <w:t>nawet. Realne i bliskie było przy tym zajęcie przez Niemcy miejsca w Radzie</w:t>
      </w:r>
      <w:r w:rsidR="00F93D2D" w:rsidRPr="003C0842">
        <w:t>,</w:t>
      </w:r>
      <w:r w:rsidRPr="003C0842">
        <w:t xml:space="preserve"> gdzie, w swoim interesie, staną się rzecznikiem byłych sojuszników z „wielkiej wojny”. Udział kontrolowanego w gremium kontrolującym przypominał rolę sędziego wyrokującego we własnej sprawie.</w:t>
      </w:r>
    </w:p>
    <w:p w:rsidR="00B64579" w:rsidRPr="003C0842" w:rsidRDefault="00B64579" w:rsidP="00111348">
      <w:pPr>
        <w:spacing w:line="360" w:lineRule="auto"/>
      </w:pPr>
      <w:r w:rsidRPr="003C0842">
        <w:t xml:space="preserve">Świadomość takiej ewolucji mobilizowała obie strony, które utożsamiano zawężająco do sporu francusko-brytyjskiego. Przymuszani do ustępstw Francuzi </w:t>
      </w:r>
      <w:r w:rsidR="00F93D2D" w:rsidRPr="003C0842">
        <w:t>za</w:t>
      </w:r>
      <w:r w:rsidRPr="003C0842">
        <w:t xml:space="preserve"> punkt nieprzekraczalnego oporu uznawali utrzymanie pełnej kontroli na obszarze Nadrenii. Oznaczało to zarazem przeniesienie w ten rejon środka ciężkości zachodniego (francuskiego) bezpieczeństwa, bez „oglądania się” na interesy wschodnich i południowych sojuszników. Znanym i wyeksploatowanym już, także w tej pracy, elementem tego procesu była konferencja w Locarno. Prowadzone tam rozmowy i osiągnięte wyniki w zasadzie rozstrzygały los traktatowych kontroli państw pokonanych. Moralną satysfakcję obozu przeciwnego można sprowadzić do egalitarystyczno-pacyfistycznej frazeologii zapowiadającej nastanie ery pokoju i współpracy, bez podziału na zwycięzców i zwyciężonych. Proces ten miał dokonywać się pod sklepieniem Ligi Narodów</w:t>
      </w:r>
      <w:r w:rsidRPr="003C0842">
        <w:rPr>
          <w:rStyle w:val="Odwoanieprzypisudolnego"/>
          <w:rFonts w:ascii="Times New Roman" w:hAnsi="Times New Roman"/>
          <w:sz w:val="24"/>
        </w:rPr>
        <w:footnoteReference w:id="384"/>
      </w:r>
      <w:r w:rsidRPr="003C0842">
        <w:t>.</w:t>
      </w:r>
    </w:p>
    <w:p w:rsidR="00B64579" w:rsidRPr="003C0842" w:rsidRDefault="00B64579" w:rsidP="00111348">
      <w:pPr>
        <w:spacing w:line="360" w:lineRule="auto"/>
      </w:pPr>
      <w:r w:rsidRPr="003C0842">
        <w:t>Dokonujący się poza Ligą przełom w Locarno znajdował wymierne przejawy w postępującym wycofywaniu się Konferencji Ambasadorów ze sprawowania kontroli ustanowione</w:t>
      </w:r>
      <w:r w:rsidR="00281DA4" w:rsidRPr="003C0842">
        <w:t>j w traktatach pokojowych. Do bardzo nagłośnionych</w:t>
      </w:r>
      <w:r w:rsidRPr="003C0842">
        <w:t xml:space="preserve"> wydarzeń z tej grupy należ</w:t>
      </w:r>
      <w:r w:rsidR="00281DA4" w:rsidRPr="003C0842">
        <w:t>ała</w:t>
      </w:r>
      <w:r w:rsidRPr="003C0842">
        <w:t xml:space="preserve"> ewakuacj</w:t>
      </w:r>
      <w:r w:rsidR="00281DA4" w:rsidRPr="003C0842">
        <w:t>a</w:t>
      </w:r>
      <w:r w:rsidRPr="003C0842">
        <w:t xml:space="preserve"> strefy kolońskiej 1 lutego 1926 r. Rozumiano to przede wszystkim jako wyraz zmiany stosunku Konferencji Ambasadorów wobec Niemiec, którym przecież rok wcześniej odmówiono zgody na przewidziany traktatem termin ewakuacji strefy kol</w:t>
      </w:r>
      <w:r w:rsidR="00F93D2D" w:rsidRPr="003C0842">
        <w:t>ońskiej z powodu nie</w:t>
      </w:r>
      <w:r w:rsidRPr="003C0842">
        <w:t xml:space="preserve">wykonania pewnych zobowiązań rozbrojeniowych. Porzucone zostały też wątpliwości Komitetu </w:t>
      </w:r>
      <w:r w:rsidR="00A8526D" w:rsidRPr="003C0842">
        <w:t>Aero</w:t>
      </w:r>
      <w:r w:rsidRPr="003C0842">
        <w:t>nautycznegoustanowionego dla kontroli niemieckiego lotnictwa cywilnego, zwłaszcza jako bazy dla rozwoju sił powietrznych. Konferencja Ambasadorów 22 maja 1926 r. notyfikowała przekazanie swych uprawnień w dziedzinie kontroli lotnictwa cywilnego Radzie Ligi, podobnie jak uczyniono to ponad rok wcześniej z kontrolą morską</w:t>
      </w:r>
      <w:r w:rsidRPr="003C0842">
        <w:rPr>
          <w:rStyle w:val="Odwoanieprzypisudolnego"/>
          <w:rFonts w:ascii="Times New Roman" w:hAnsi="Times New Roman"/>
          <w:sz w:val="24"/>
        </w:rPr>
        <w:footnoteReference w:id="385"/>
      </w:r>
      <w:r w:rsidRPr="003C0842">
        <w:t>.</w:t>
      </w:r>
    </w:p>
    <w:p w:rsidR="003A7B2D" w:rsidRPr="003C0842" w:rsidRDefault="00B64579" w:rsidP="00111348">
      <w:pPr>
        <w:spacing w:line="360" w:lineRule="auto"/>
      </w:pPr>
      <w:r w:rsidRPr="003C0842">
        <w:t xml:space="preserve">Etapem tego procesu była decyzja Konferencji Ambasadorów powzięta 12 grudnia 1926 r. w sprawie likwidacji Sojuszniczej Komisji Kontroli Niemiec z końcem stycznia </w:t>
      </w:r>
      <w:r w:rsidR="00413C94" w:rsidRPr="003C0842">
        <w:t>1927 r. Informując o powyższym sekretarza g</w:t>
      </w:r>
      <w:r w:rsidRPr="003C0842">
        <w:t>eneralnego Ligi</w:t>
      </w:r>
      <w:r w:rsidR="00413C94" w:rsidRPr="003C0842">
        <w:t>,</w:t>
      </w:r>
      <w:r w:rsidRPr="003C0842">
        <w:t xml:space="preserve"> stwierdzono, że Niemcy w</w:t>
      </w:r>
      <w:r w:rsidR="00F93D2D" w:rsidRPr="003C0842">
        <w:t>edłu</w:t>
      </w:r>
      <w:r w:rsidRPr="003C0842">
        <w:t>g art. 213 traktatu wersalskiego są zobowiązane do poddania się kontroli zarządzanej przez Ligę. Powrócono więc do spornej kwestii dotyczącej charakteru kontroli, nad którą biedzono się już kilka lat. Zdaniem państw pokonanych</w:t>
      </w:r>
      <w:r w:rsidR="00C44291" w:rsidRPr="003C0842">
        <w:t>,</w:t>
      </w:r>
      <w:r w:rsidRPr="003C0842">
        <w:t xml:space="preserve"> popieranych przez Wielką Bryta</w:t>
      </w:r>
      <w:r w:rsidR="00C44291" w:rsidRPr="003C0842">
        <w:t xml:space="preserve">nię, Szwecję i </w:t>
      </w:r>
      <w:r w:rsidR="00C44291" w:rsidRPr="003C0842">
        <w:lastRenderedPageBreak/>
        <w:t xml:space="preserve">częściowo Italię, </w:t>
      </w:r>
      <w:r w:rsidRPr="003C0842">
        <w:t>w grę miało wchodzić badanie (</w:t>
      </w:r>
      <w:r w:rsidRPr="003C0842">
        <w:rPr>
          <w:i/>
        </w:rPr>
        <w:t>investigation</w:t>
      </w:r>
      <w:r w:rsidRPr="003C0842">
        <w:t xml:space="preserve">), które większość Rady uzna za konieczne. Owo badanie wchodziło w grę tylko w „szczególnych sytuacjach”, co oznaczało, że Rada (de facto jej Komisja </w:t>
      </w:r>
      <w:r w:rsidR="00C44291" w:rsidRPr="003C0842">
        <w:t>Konsultacyjna</w:t>
      </w:r>
      <w:r w:rsidRPr="003C0842">
        <w:t xml:space="preserve"> ds. Wojskowych) nie będzie sprawowała stałego nadzoru, ani też nie będzie miała szerokich kompetencji (także wobec osób prywatnych)</w:t>
      </w:r>
      <w:r w:rsidR="00F93D2D" w:rsidRPr="003C0842">
        <w:t>,</w:t>
      </w:r>
      <w:r w:rsidRPr="003C0842">
        <w:t xml:space="preserve"> jak to przewidywano w założeniach przyjętych przez Radę 27 września 1924 r. i 14 marca 1925 r. Zielone światło dla skutecznego oporu Niemiec pojawiło się w związku ze zmianą ich pozycji międzynarodowej po Locarno, a zwłaszcza po wejściu do Ligi. </w:t>
      </w:r>
    </w:p>
    <w:p w:rsidR="00F23361" w:rsidRPr="003C0842" w:rsidRDefault="00B64579" w:rsidP="00111348">
      <w:pPr>
        <w:spacing w:line="360" w:lineRule="auto"/>
      </w:pPr>
      <w:r w:rsidRPr="003C0842">
        <w:t>Przełomowe porozumienie osiągnięto 12 grudnia 1926 r. podczas posiedzenia Rady, ale bez jej merytorycznego udziału. Podpisy pod porozumieniem w sprawie zaprzestania Sojuszniczej Komisji Kontroli na obszarze Niemiec złożyli członkowie Konferencji Ambasadorów (Belgii, Francji, Japonii, Wielkiej Brytanii i Włoch). W ślad za tym, Rada przy okazji nominacji przewodniczących „komisji inwestygacji” w poszczególnych państwach</w:t>
      </w:r>
      <w:r w:rsidRPr="003C0842">
        <w:rPr>
          <w:rStyle w:val="Odwoanieprzypisudolnego"/>
          <w:rFonts w:ascii="Times New Roman" w:hAnsi="Times New Roman"/>
          <w:sz w:val="24"/>
        </w:rPr>
        <w:footnoteReference w:id="386"/>
      </w:r>
      <w:r w:rsidRPr="003C0842">
        <w:t xml:space="preserve"> odniosła się do zastrzeżeń niemieckich, które dotyczyły jednak również inwestygacji w pozostałych państwach – Austrii, Węgrzech i Bułgarii. </w:t>
      </w:r>
    </w:p>
    <w:p w:rsidR="00B64579" w:rsidRPr="003C0842" w:rsidRDefault="00B64579" w:rsidP="00111348">
      <w:pPr>
        <w:spacing w:line="360" w:lineRule="auto"/>
      </w:pPr>
      <w:r w:rsidRPr="003C0842">
        <w:t>Przede wszystkim zgodzono się, że komisja inwestygacyjna LN miała podjąć działanie na skutek specjalnego polecenia Rady przyjętego zwykłą większością głosów. Ponadto uchwała Rady miała zawierać konkretne określenie przedmiotu badania, jego charakteru i okolicznoś</w:t>
      </w:r>
      <w:r w:rsidR="00F23361" w:rsidRPr="003C0842">
        <w:t>ci</w:t>
      </w:r>
      <w:r w:rsidRPr="003C0842">
        <w:t>. Państwa podpadające pod badania były zobowiązane do sporządzania dokładnych wykazów dotyczących sprzętu i stanów osobowych (stale aktualizowanych), które na życzenie Ligi miały być udostępniane. Rejestry miały obejmować także listy rejestrowe ministerstwa lotnictwa</w:t>
      </w:r>
      <w:r w:rsidRPr="003C0842">
        <w:rPr>
          <w:rStyle w:val="Odwoanieprzypisudolnego"/>
          <w:rFonts w:ascii="Times New Roman" w:hAnsi="Times New Roman"/>
          <w:sz w:val="24"/>
        </w:rPr>
        <w:footnoteReference w:id="387"/>
      </w:r>
      <w:r w:rsidRPr="003C0842">
        <w:t xml:space="preserve">. </w:t>
      </w:r>
    </w:p>
    <w:p w:rsidR="00B64579" w:rsidRPr="003C0842" w:rsidRDefault="00B64579" w:rsidP="00111348">
      <w:pPr>
        <w:spacing w:line="360" w:lineRule="auto"/>
      </w:pPr>
      <w:r w:rsidRPr="003C0842">
        <w:t>Iluzoryczność tak realizowanych inwestygacji kontrastowała z możliwością utrzymania stałej kontroli jedynie w strefie nadreńskiej. Był to jedyny sukces odniesiony przez Francję, komentowany jednak jako egoistyczny i niewspółmierny wobec strat jako sojusznika, gwaranta systemu wersalskiego, filaru i orędownika Ligi utożsamianej z bezpieczeństwem zbiorowym. Głosy krytyki dotyczyły nie tylko strony merytorycznej, ale i negocjacji, przypominających dyplomację przedwojenną. Mocarstwa dowiodły, że nie zamierzają zrezygnować z usług instytucji, które jak Konferencja Ambasadorów mogą być wykorzystane obok, a najlepiej przed Ligą. Oznaczało to eliminację z udziału w debacie i rozstrzygnięciach innych państw, także żywo zainteresowanych daną sprawą. Marginalizowano t</w:t>
      </w:r>
      <w:r w:rsidR="00F93D2D" w:rsidRPr="003C0842">
        <w:t>eż</w:t>
      </w:r>
      <w:r w:rsidRPr="003C0842">
        <w:t xml:space="preserve"> interesy </w:t>
      </w:r>
      <w:r w:rsidRPr="003C0842">
        <w:lastRenderedPageBreak/>
        <w:t>sojuszników. W czasie spotkań z nimi raczej przekazywano wiadomości niż oczekiwano stanowiska, opinii.</w:t>
      </w:r>
    </w:p>
    <w:p w:rsidR="00B64579" w:rsidRPr="003C0842" w:rsidRDefault="00B64579" w:rsidP="00111348">
      <w:pPr>
        <w:spacing w:line="360" w:lineRule="auto"/>
      </w:pPr>
      <w:r w:rsidRPr="003C0842">
        <w:t>Porozumienie w sprawie kontroli</w:t>
      </w:r>
      <w:r w:rsidR="00F93D2D" w:rsidRPr="003C0842">
        <w:t xml:space="preserve">, </w:t>
      </w:r>
      <w:r w:rsidRPr="003C0842">
        <w:t>inwestygacji Niemiec i pozostałych państw rozbrojonych (</w:t>
      </w:r>
      <w:r w:rsidR="00E54112" w:rsidRPr="003C0842">
        <w:t xml:space="preserve">w ogóle </w:t>
      </w:r>
      <w:r w:rsidRPr="003C0842">
        <w:t>zresztą nie pytanych o zdanie) osiągnięte przez „główne mocarstwa sojusznicze” i Niemcy z trudem wpisuje się w historię Ligi. Jej rolę można sprowadzić do instytucji przyjmującej do wiadomości i wykonania pewne uzgodnienia, osiągnięte poza nią. Z drugiej strony porozumienie to zostało osiągnięte z udziałem wszystkich stałych członków Rady, których pierwszorzędna rola w Lidze nie była kwestionowana. Nadto jeszcze wśród negocjatorów porozumienia była Belgia, członek Rady z wyboru Zgromadzenia, co dawało stronom matematyczną większość, nie mającą znaczenia praktycznego, a jedynie propagandowe. W prasie przeważał więc żal, że tak istotna kwestia jak badanie bezpieczeństwa ograniczono do pewnej tylko grupy państw.</w:t>
      </w:r>
    </w:p>
    <w:p w:rsidR="00E54112" w:rsidRPr="003C0842" w:rsidRDefault="00B64579" w:rsidP="00111348">
      <w:pPr>
        <w:spacing w:line="360" w:lineRule="auto"/>
      </w:pPr>
      <w:r w:rsidRPr="003C0842">
        <w:t>Grudniowe ustalenia w Genewie zostały dobrze przyjęte w Niemczech, gdzie nadal i niezmiennie trwały spory dotyczące sensu przystąpienia do Ligi. Przez kilka dni prasa centrowa i lewicowa pisała z uznaniem o sukcesie odniesionym w dniach 11 i 12 grudnia nad wszechmocną dotąd Konferencją Ambasadorów. Przesunięcie oceny spraw wojskowych z „kontroli” na „badania” zgodnie z ustalonymi wspólnie zasadami było sukcesem tym bardziej widocznym, że wiodącą rolę przejęła Liga. Wprawdzie teoretycznie Konferencja Ambasadorów zachowała swoje prerogatywy, ale praktycznie została ona usunięta w cień. Albo więc – pisano w „Germania” 24 grudnia 1926 r. – rozwiąże się po 31 stycznia sama, albo czeka ją „smutny i cichy pogrzeb trzeciej klasy”.</w:t>
      </w:r>
    </w:p>
    <w:p w:rsidR="00B64579" w:rsidRPr="003C0842" w:rsidRDefault="00E54112" w:rsidP="00111348">
      <w:pPr>
        <w:spacing w:line="360" w:lineRule="auto"/>
      </w:pPr>
      <w:r w:rsidRPr="003C0842">
        <w:t>D</w:t>
      </w:r>
      <w:r w:rsidR="00B64579" w:rsidRPr="003C0842">
        <w:t xml:space="preserve">uże znaczenie psychologiczne osiągniętego kompromisu </w:t>
      </w:r>
      <w:r w:rsidRPr="003C0842">
        <w:t>podkreślał„The Dally Telegraph” 1 lutego 1927 r. U</w:t>
      </w:r>
      <w:r w:rsidR="00B64579" w:rsidRPr="003C0842">
        <w:t xml:space="preserve">walniał on </w:t>
      </w:r>
      <w:r w:rsidRPr="003C0842">
        <w:t xml:space="preserve">bowiem </w:t>
      </w:r>
      <w:r w:rsidR="00B64579" w:rsidRPr="003C0842">
        <w:t>Niemcy od kontroli wyłącznie państw sprzymierzonych na rzecz ciała zbiorowego, w którym głos bezpośrednio zainteresowanego będzie dostatecznie mocny. Dziennik starał się oddalić pojawiające się tu i ówdzie wątpliwości, że nowy system będzie mniej sprawny. Brytyjczycy – pisano – nie po</w:t>
      </w:r>
      <w:r w:rsidR="00F93D2D" w:rsidRPr="003C0842">
        <w:t>dzielają tej opinii ponieważ: 1)</w:t>
      </w:r>
      <w:r w:rsidR="00B64579" w:rsidRPr="003C0842">
        <w:t xml:space="preserve"> Francja wraz z najbliższymi sojusznikami posiada większość w Radzie i Komisji Badań, której zresztą przewodniczy Francuz; 2</w:t>
      </w:r>
      <w:r w:rsidR="00F93D2D" w:rsidRPr="003C0842">
        <w:t>)w</w:t>
      </w:r>
      <w:r w:rsidR="00B64579" w:rsidRPr="003C0842">
        <w:t xml:space="preserve">szelkie tajne zbrojenia w Niemczech nie są możliwe ponieważ: a) nie mają środków (kontrola w ramach </w:t>
      </w:r>
      <w:r w:rsidR="00F93D2D" w:rsidRPr="003C0842">
        <w:t>p</w:t>
      </w:r>
      <w:r w:rsidR="00B64579" w:rsidRPr="003C0842">
        <w:t xml:space="preserve">lanu Dawesa), b) pilnują tego komuniści, socjaliści i pacyfiści, którzy o zamiarach zbrojeniowych poinformują opinię światową, c) Niemcy nie mają szans na sukces militarny z Francją i jej sojusznikami, </w:t>
      </w:r>
      <w:r w:rsidR="00F93D2D" w:rsidRPr="003C0842">
        <w:t>z</w:t>
      </w:r>
      <w:r w:rsidR="00B64579" w:rsidRPr="003C0842">
        <w:t xml:space="preserve"> przygniatającą przewag</w:t>
      </w:r>
      <w:r w:rsidR="00F93D2D" w:rsidRPr="003C0842">
        <w:t>ą</w:t>
      </w:r>
      <w:r w:rsidR="00B64579" w:rsidRPr="003C0842">
        <w:t xml:space="preserve"> w potencjale militarnym i uzbrojeniu.</w:t>
      </w:r>
    </w:p>
    <w:p w:rsidR="00B64579" w:rsidRPr="003C0842" w:rsidRDefault="00B64579" w:rsidP="00111348">
      <w:pPr>
        <w:spacing w:line="360" w:lineRule="auto"/>
      </w:pPr>
      <w:r w:rsidRPr="003C0842">
        <w:t xml:space="preserve">Charakterystyczne dla brytyjskiego punktu widzenia argumenty rozmijały się z prognozami państw wystawionych na niemiecką propagandę rewizjonistyczną. Plany </w:t>
      </w:r>
      <w:r w:rsidRPr="003C0842">
        <w:lastRenderedPageBreak/>
        <w:t>likwidacji Komisji Kontroli szczególnie silnym echem odbiły się w Polsce. Stanowisko rządu i sztabu było jednoznaczne</w:t>
      </w:r>
      <w:r w:rsidR="00E54112" w:rsidRPr="003C0842">
        <w:t xml:space="preserve"> i zgodne z opinią posła w Berlinie, który pisał, że</w:t>
      </w:r>
      <w:r w:rsidRPr="003C0842">
        <w:t xml:space="preserve"> utrzymanie Komisji Kontroli jest rzeczą dla nas </w:t>
      </w:r>
      <w:r w:rsidR="00E54112" w:rsidRPr="003C0842">
        <w:t>„</w:t>
      </w:r>
      <w:r w:rsidRPr="003C0842">
        <w:t>największej wagi gdyż według wszelkiego prawdopodobieństwa kontrola nad zbrojeniem się Niemiec wykonywana na zasadzie art. 213 będzie kontrolą bez żadnego absolutnie praktycznego znaczenia”</w:t>
      </w:r>
      <w:r w:rsidRPr="003C0842">
        <w:rPr>
          <w:rStyle w:val="Odwoanieprzypisudolnego"/>
          <w:rFonts w:ascii="Times New Roman" w:hAnsi="Times New Roman"/>
          <w:sz w:val="24"/>
        </w:rPr>
        <w:footnoteReference w:id="388"/>
      </w:r>
      <w:r w:rsidRPr="003C0842">
        <w:t>. Polskie zabiegi skoncentrowały się na badaniu stanu fortyfikacji niemieckich w Prusach Wschodnich (Królewiec i Kostrzyń)</w:t>
      </w:r>
      <w:r w:rsidR="00141680" w:rsidRPr="003C0842">
        <w:t xml:space="preserve"> i Głogowie</w:t>
      </w:r>
      <w:r w:rsidRPr="003C0842">
        <w:t xml:space="preserve">, które pod pretekstem prac </w:t>
      </w:r>
      <w:r w:rsidR="00141680" w:rsidRPr="003C0842">
        <w:t xml:space="preserve">zabezpieczających </w:t>
      </w:r>
      <w:r w:rsidRPr="003C0842">
        <w:t>zostały rozbudowane</w:t>
      </w:r>
      <w:r w:rsidR="00141680" w:rsidRPr="003C0842">
        <w:t>.</w:t>
      </w:r>
      <w:r w:rsidRPr="003C0842">
        <w:t xml:space="preserve"> Konferencja Ambasadorów</w:t>
      </w:r>
      <w:r w:rsidR="00F93D2D" w:rsidRPr="003C0842">
        <w:t>,</w:t>
      </w:r>
      <w:r w:rsidRPr="003C0842">
        <w:t xml:space="preserve"> przekazując kontrolę zbrojeń niemieckich Radzie Ligi, zastrzegła sobie wyjaśnienie podnoszonych przez Polskę zastrzeżeń. Towarzyszyły im również wątpliwości w sprawie skrupulatnego przestrzegania przez Niemcy postanowień traktatu wersalskiego odnośnie </w:t>
      </w:r>
      <w:r w:rsidR="00F93D2D" w:rsidRPr="003C0842">
        <w:t xml:space="preserve">do </w:t>
      </w:r>
      <w:r w:rsidRPr="003C0842">
        <w:t>produkcji i handlu bronią</w:t>
      </w:r>
      <w:r w:rsidRPr="003C0842">
        <w:rPr>
          <w:rStyle w:val="Odwoanieprzypisudolnego"/>
          <w:rFonts w:ascii="Times New Roman" w:hAnsi="Times New Roman"/>
          <w:sz w:val="24"/>
        </w:rPr>
        <w:footnoteReference w:id="389"/>
      </w:r>
      <w:r w:rsidRPr="003C0842">
        <w:t>. „The Times” 8 grudnia 1926 r. w korespondencji z Genewy obwieszczał, że zgromadzeni na 43</w:t>
      </w:r>
      <w:r w:rsidR="00F93D2D" w:rsidRPr="003C0842">
        <w:t>.</w:t>
      </w:r>
      <w:r w:rsidRPr="003C0842">
        <w:t xml:space="preserve"> Sesji Rady politycy i dyplomaci uznają wybudowanie nowych fortyfikacji w Kwidzyniu za najbardziej jaskrawy wypadek niezastosowania się Niemiec do wojskowych postanowień traktatu wersalskiego.</w:t>
      </w:r>
    </w:p>
    <w:p w:rsidR="00B64579" w:rsidRPr="003C0842" w:rsidRDefault="00B64579" w:rsidP="00111348">
      <w:pPr>
        <w:spacing w:line="360" w:lineRule="auto"/>
      </w:pPr>
      <w:r w:rsidRPr="003C0842">
        <w:t>Rokujący pozytywne nadzieje alians brytyjsko-francuski w sprawie fortyfikacji wyziera z tekstu „Le Temps”, który w artykule z 12 stycznia 1927 r. dostrzegał rozbieżności między zapewnieniami dawanymi przez polityków i generałów niemieckich a rzeczywistością. Twierdzenie, że art. 180 traktatu wersalskiego zezwala na reorganizację czy konserwację fortec</w:t>
      </w:r>
      <w:r w:rsidR="00F93D2D" w:rsidRPr="003C0842">
        <w:t>,</w:t>
      </w:r>
      <w:r w:rsidRPr="003C0842">
        <w:t xml:space="preserve"> pokazuje złą wolę Niemiec. Udoskonalenia fortec muszą zostać usunięte. Ponadto nie mają one już z niemieckiego punktu widzenia charakteru obronnego. Stanowią zaś poważne zagrożenie dla Polski. Brak zgody Niemiec – pisano w „L</w:t>
      </w:r>
      <w:r w:rsidR="00785183" w:rsidRPr="003C0842">
        <w:t xml:space="preserve">e Temps” </w:t>
      </w:r>
      <w:r w:rsidR="00164234" w:rsidRPr="003C0842">
        <w:t>–</w:t>
      </w:r>
      <w:r w:rsidRPr="003C0842">
        <w:t xml:space="preserve"> na wypełnienie zobowiązań traktatowych powoduje wzrost wątpliwości co do szczerości pokojowych zapewnień. „The Daily Telegraph” (11 stycznia 1927 r.)</w:t>
      </w:r>
      <w:r w:rsidR="00F93D2D" w:rsidRPr="003C0842">
        <w:t>,</w:t>
      </w:r>
      <w:r w:rsidRPr="003C0842">
        <w:t xml:space="preserve"> zachęcając stronę niemiecką do likwidacji nowych schronów, czy też ich modernizacji powoływał się na opinię kół wojskowych, które nie bagatelizowały postawionego problemu i nie uważały go za mało ważny.</w:t>
      </w:r>
    </w:p>
    <w:p w:rsidR="00B64579" w:rsidRPr="003C0842" w:rsidRDefault="006D1096" w:rsidP="00111348">
      <w:pPr>
        <w:spacing w:line="360" w:lineRule="auto"/>
      </w:pPr>
      <w:r w:rsidRPr="003C0842">
        <w:t>Porozumieniu zawartemu</w:t>
      </w:r>
      <w:r w:rsidR="00B64579" w:rsidRPr="003C0842">
        <w:t xml:space="preserve"> pod auspicjami Konferencji Ambasadorów 1 lutego 1927 r. </w:t>
      </w:r>
      <w:r w:rsidRPr="003C0842">
        <w:t>t</w:t>
      </w:r>
      <w:r w:rsidR="00B64579" w:rsidRPr="003C0842">
        <w:t xml:space="preserve">owarzyszyła uroczysta deklaracja rządu Rzeszy, że nie ma innych fortec oprócz znanych aliantom i nie będą takowe budowane w przyszłości. Wyburzenie 34 schronów betonowych </w:t>
      </w:r>
      <w:r w:rsidR="00B64579" w:rsidRPr="003C0842">
        <w:lastRenderedPageBreak/>
        <w:t xml:space="preserve">nadzorowała komisja złożona z alianckich </w:t>
      </w:r>
      <w:r w:rsidR="00B64579" w:rsidRPr="003C0842">
        <w:rPr>
          <w:i/>
        </w:rPr>
        <w:t>attachés</w:t>
      </w:r>
      <w:r w:rsidR="00B64579" w:rsidRPr="003C0842">
        <w:t xml:space="preserve"> wojskowych. </w:t>
      </w:r>
      <w:r w:rsidRPr="003C0842">
        <w:t xml:space="preserve">Zadanie wykonano </w:t>
      </w:r>
      <w:r w:rsidR="00B64579" w:rsidRPr="003C0842">
        <w:t>13 czerwca 1927 r. Wówczas to rząd niemiecki powiadomił o zniszczeniu „nadetatowych” fortyfikacji. Potwierdzał to raport ekspertów francusko-belgijskich i towarzyszącego im oficera polskiego.</w:t>
      </w:r>
    </w:p>
    <w:p w:rsidR="00B64579" w:rsidRPr="003C0842" w:rsidRDefault="00B64579" w:rsidP="00111348">
      <w:pPr>
        <w:spacing w:line="360" w:lineRule="auto"/>
      </w:pPr>
      <w:r w:rsidRPr="003C0842">
        <w:t>Był to ostatni etap faktycznej działalności Międzysojuszniczej Komisji Kontroli w Niemczech. Proces odchodzenia od niej wyraźnie przyspieszył po rozmowach w Locarno, które w tym obszarze dały Republice Weimarskiej poczucie sukcesu przede wszystkim prestiżowego, chociaż także faktycznego, zważywszy na ich plany rewizyjne wobec systemu wersalskiego. Zdawano sobie sprawę, że formalne przekazanie Radzie pilnowania stanu sił zbrojnych wzmacniało możliwości kontrolowanego</w:t>
      </w:r>
      <w:r w:rsidR="00F93D2D" w:rsidRPr="003C0842">
        <w:t>,</w:t>
      </w:r>
      <w:r w:rsidRPr="003C0842">
        <w:t xml:space="preserve"> bo był on członkiem ciała kontrolującego. Niezadowolenie pewnej grupy państw było potęgowane tym, że Komisja Kontroli opuściła Berlin „nie doczekawszy się spełnienia wszystkich warunków rozbrojenia”</w:t>
      </w:r>
      <w:r w:rsidRPr="003C0842">
        <w:rPr>
          <w:rStyle w:val="Odwoanieprzypisudolnego"/>
          <w:rFonts w:ascii="Times New Roman" w:hAnsi="Times New Roman"/>
          <w:sz w:val="24"/>
        </w:rPr>
        <w:footnoteReference w:id="390"/>
      </w:r>
      <w:r w:rsidRPr="003C0842">
        <w:t>.</w:t>
      </w:r>
    </w:p>
    <w:p w:rsidR="00B64579" w:rsidRPr="003C0842" w:rsidRDefault="00B64579" w:rsidP="00111348">
      <w:pPr>
        <w:spacing w:line="360" w:lineRule="auto"/>
      </w:pPr>
      <w:r w:rsidRPr="003C0842">
        <w:t>Protesty polskie mogły odnieść skutek głównie przy poparciu mocarstw, na które także starały się wpływać inne państwa regionu zagrożonego planami rewizyjnymi. Dotyczy</w:t>
      </w:r>
      <w:r w:rsidR="00281DA4" w:rsidRPr="003C0842">
        <w:t>ło</w:t>
      </w:r>
      <w:r w:rsidRPr="003C0842">
        <w:t xml:space="preserve"> to zwłaszcza Czechosłowacji, jak również pozostałych państw Małej Ententy, które przejęcie kontroli przez Radę Ligi uznawały za wyraz wiary w dobrą wolę narodów i ich rządów. Dodawano jednak najczęściej, że jest to wiara, której przeczą fakty, szczególnie widoczne na Węgrzech. Z wątpliwościami, niechęcią, nawet wrogością odebrano decyzję o likwidacji stałej kontroli finansowej i wojskowej 10 lipca 1926 r. i opuszczenia Budapesztu przez Komisarza Gene</w:t>
      </w:r>
      <w:r w:rsidR="006D1096" w:rsidRPr="003C0842">
        <w:t>ralnego</w:t>
      </w:r>
      <w:r w:rsidRPr="003C0842">
        <w:t xml:space="preserve"> Jeremiasza Smitha, adwokata z USA, doradcy finansowo-skarbowego konferencji pokojowej 1919 r.</w:t>
      </w:r>
      <w:r w:rsidRPr="003C0842">
        <w:rPr>
          <w:rStyle w:val="Odwoanieprzypisudolnego"/>
          <w:rFonts w:ascii="Times New Roman" w:hAnsi="Times New Roman"/>
          <w:sz w:val="24"/>
        </w:rPr>
        <w:footnoteReference w:id="391"/>
      </w:r>
    </w:p>
    <w:p w:rsidR="006D1096" w:rsidRPr="003C0842" w:rsidRDefault="00B64579" w:rsidP="00111348">
      <w:pPr>
        <w:spacing w:line="360" w:lineRule="auto"/>
      </w:pPr>
      <w:r w:rsidRPr="003C0842">
        <w:t>Rozgłos nadawany przez państwa Małej Ententy sekretnym zbrojeniom węgierskim znalazł dodatkowy impuls z powodu pionierskiej inwestygacji przeprowadzonej przez Radę Ligi z tytułu nadzoru nad przestrzeganiem przez państwa pokonane zarządzeń rozbroje</w:t>
      </w:r>
      <w:r w:rsidR="00F93D2D" w:rsidRPr="003C0842">
        <w:t>niowych. W nowy rok 1928 r. na P</w:t>
      </w:r>
      <w:r w:rsidRPr="003C0842">
        <w:t xml:space="preserve">rzełęczy św. Gotarda celnicy austriaccy zatrzymali pięć aut ciężarowych załadowanych (w sumie 60 ton!) nieoznaczonymi częściami maszyn, które okazały się rozłożonymi karabinami maszynowymi. Pojazdy wyruszyły z </w:t>
      </w:r>
      <w:r w:rsidR="00785183" w:rsidRPr="003C0842">
        <w:t>W</w:t>
      </w:r>
      <w:r w:rsidRPr="003C0842">
        <w:t xml:space="preserve">erony bez oznaczenia odbiorcy po węgierskiej stronie. Wydarzenie to zelektryzowało państwa Małej Ententy, które wielokrotnie podejrzewały i oskarżały Węgry o przekraczanie limitów wyznaczonych dla ich sił zbrojnych przez traktat pokojowy. Rząd węgierski ripostował, że o transporcie nic nie wie i sugerował innego adresata –Polskę lub Czechosłowację. </w:t>
      </w:r>
    </w:p>
    <w:p w:rsidR="006D1096" w:rsidRPr="003C0842" w:rsidRDefault="006D1096" w:rsidP="00111348">
      <w:pPr>
        <w:spacing w:line="360" w:lineRule="auto"/>
      </w:pPr>
      <w:r w:rsidRPr="003C0842">
        <w:lastRenderedPageBreak/>
        <w:t>Epizod ten był</w:t>
      </w:r>
      <w:r w:rsidR="00B64579" w:rsidRPr="003C0842">
        <w:t xml:space="preserve"> powszechnie </w:t>
      </w:r>
      <w:r w:rsidRPr="003C0842">
        <w:t xml:space="preserve">uważany za efekt umowy </w:t>
      </w:r>
      <w:r w:rsidR="00B64579" w:rsidRPr="003C0842">
        <w:t>włosko-węgiersk</w:t>
      </w:r>
      <w:r w:rsidRPr="003C0842">
        <w:t>iej</w:t>
      </w:r>
      <w:r w:rsidR="00B64579" w:rsidRPr="003C0842">
        <w:t>, o której władze musiały wiedzieć</w:t>
      </w:r>
      <w:r w:rsidRPr="003C0842">
        <w:t>. B</w:t>
      </w:r>
      <w:r w:rsidR="00B64579" w:rsidRPr="003C0842">
        <w:t>yło</w:t>
      </w:r>
      <w:r w:rsidRPr="003C0842">
        <w:t>n też</w:t>
      </w:r>
      <w:r w:rsidR="00B64579" w:rsidRPr="003C0842">
        <w:t xml:space="preserve"> rozpatrywan</w:t>
      </w:r>
      <w:r w:rsidRPr="003C0842">
        <w:t>y</w:t>
      </w:r>
      <w:r w:rsidR="00B64579" w:rsidRPr="003C0842">
        <w:t xml:space="preserve"> z punktu widzenia skuteczności Rady LN w </w:t>
      </w:r>
      <w:r w:rsidRPr="003C0842">
        <w:t>zakresie</w:t>
      </w:r>
      <w:r w:rsidR="00B64579" w:rsidRPr="003C0842">
        <w:t xml:space="preserve"> kontroli zbrojeń państw pokonanych. Precedensowy charakter inwestygacji był – zdaniem jej zwolenników</w:t>
      </w:r>
      <w:r w:rsidR="00164234" w:rsidRPr="003C0842">
        <w:t>–</w:t>
      </w:r>
      <w:r w:rsidR="00B64579" w:rsidRPr="003C0842">
        <w:t xml:space="preserve"> probierzem skuteczności i efektywności, w które tak wielu wątpiło kiedy likwidowano Sojusznicze Komisje Kontroli. Wątpliwości nabrały cech pewności, kiedy po kilkudniowej ekscytacji przemytem nawet państwa Małej Ententy zwlekały z podjęciem formalnych kroków w Genewie</w:t>
      </w:r>
      <w:r w:rsidR="00B64579" w:rsidRPr="00085E5E">
        <w:t xml:space="preserve">. </w:t>
      </w:r>
      <w:r w:rsidR="00241D7B" w:rsidRPr="00085E5E">
        <w:t xml:space="preserve">W sprawie zamierzały działać „zgodnie ale rozdzielnie” </w:t>
      </w:r>
      <w:r w:rsidR="00085E5E" w:rsidRPr="00085E5E">
        <w:t>–</w:t>
      </w:r>
      <w:r w:rsidR="00241D7B" w:rsidRPr="00085E5E">
        <w:t xml:space="preserve"> jak informował Mussoliniego 14 stycznia 1928 r. jego „agent” w Sekretariacie, podsekretarz generalny Paulucci di Colboli</w:t>
      </w:r>
      <w:r w:rsidR="00241D7B" w:rsidRPr="00085E5E">
        <w:rPr>
          <w:rStyle w:val="Odwoanieprzypisudolnego"/>
          <w:sz w:val="24"/>
        </w:rPr>
        <w:footnoteReference w:id="392"/>
      </w:r>
      <w:r w:rsidR="00241D7B" w:rsidRPr="00085E5E">
        <w:t>. Nie chciały też – w</w:t>
      </w:r>
      <w:r w:rsidR="00085E5E" w:rsidRPr="00085E5E">
        <w:t>edług tego samego informatora –</w:t>
      </w:r>
      <w:r w:rsidR="00241D7B" w:rsidRPr="00085E5E">
        <w:t xml:space="preserve"> drążenia pytania o źródło transportu, skupiając się na odbiorcy. O tym, że Paulucci di Colboli miał dobre informacje</w:t>
      </w:r>
      <w:r w:rsidR="00085E5E" w:rsidRPr="00085E5E">
        <w:t>,</w:t>
      </w:r>
      <w:r w:rsidR="00241D7B" w:rsidRPr="00085E5E">
        <w:t xml:space="preserve"> świadczą ustalenia ministrów spraw zagranicznych 3-4 marca 1928 r. Postanowiono wówczas,  że „wyważone i spokojne” stanowisko na zbliżającej się Radzie Ligi przedstawi w ich imieniu min. Nicolae Titulescu. Wiadomym zarazem było, że ani min. Marinković, ani też dobrze funkcjonujący w LN min. Benesz do Genewy się nie wybierali</w:t>
      </w:r>
      <w:r w:rsidR="00241D7B" w:rsidRPr="007F0858">
        <w:rPr>
          <w:sz w:val="28"/>
          <w:szCs w:val="28"/>
        </w:rPr>
        <w:t>.</w:t>
      </w:r>
    </w:p>
    <w:p w:rsidR="00B64579" w:rsidRPr="003C0842" w:rsidRDefault="00B64579" w:rsidP="00111348">
      <w:pPr>
        <w:spacing w:line="360" w:lineRule="auto"/>
      </w:pPr>
      <w:r w:rsidRPr="003C0842">
        <w:t>Zachęciło to delegata Węgier gen. Gabriela Tanczosa do riposty na oskarżenia min. Titules</w:t>
      </w:r>
      <w:r w:rsidR="00C76E59" w:rsidRPr="003C0842">
        <w:t>cu</w:t>
      </w:r>
      <w:r w:rsidRPr="003C0842">
        <w:t>. Niechętna konfliktowi Rada z</w:t>
      </w:r>
      <w:r w:rsidR="00785183" w:rsidRPr="003C0842">
        <w:t>a</w:t>
      </w:r>
      <w:r w:rsidRPr="003C0842">
        <w:t>decydowała utworzenie Komitetu Trzech z min. Beelaertsem van Bloklandem z Holandii na czele. Towarzyszyli mu ambasador Chile w Paryżu – Villegas i min. Procopé z Finlandii. Nikt z wielkich – ani państw, ani osób ważnych w Radzie – nie kwapił się do badania sprawy. Wieszczono, że oto odbył się „pogrzeb pierwszej klasy” i uroczyste stwierdzenie niechęci Ligi d</w:t>
      </w:r>
      <w:r w:rsidR="00785183" w:rsidRPr="003C0842">
        <w:t>o wyświetlenia sprawy, mającej niebagatelne</w:t>
      </w:r>
      <w:r w:rsidRPr="003C0842">
        <w:t xml:space="preserve"> znaczenie dla dyskutowanego systemu bezpieczeństwa międzynarodowego</w:t>
      </w:r>
      <w:r w:rsidRPr="003C0842">
        <w:rPr>
          <w:rStyle w:val="Odwoanieprzypisudolnego"/>
          <w:rFonts w:ascii="Times New Roman" w:hAnsi="Times New Roman"/>
          <w:sz w:val="24"/>
        </w:rPr>
        <w:footnoteReference w:id="393"/>
      </w:r>
      <w:r w:rsidRPr="003C0842">
        <w:t>.</w:t>
      </w:r>
    </w:p>
    <w:p w:rsidR="006D1096" w:rsidRPr="003C0842" w:rsidRDefault="00B64579" w:rsidP="00111348">
      <w:pPr>
        <w:spacing w:line="360" w:lineRule="auto"/>
      </w:pPr>
      <w:r w:rsidRPr="003C0842">
        <w:t>Podjęte bez entuzjazmu badanie Komitetu Trzech zwieńczał raport przedstawiony 11 maja 1928 r., z którego niewiele wynikało. Węgrzy powiadomili, że cały nielegalny transport został skonfiskowany, zniszczony i sprzedany na złom. Wydelegowani na miejsce przemytu dwaj eksperci nie byli w stanie stwierdzić, kto był nadawcą, ani kto adresatem, kto sprzedał i kupił, a zwłaszcza czy wcześniej podobne transporty miały miejsce. Rada</w:t>
      </w:r>
      <w:r w:rsidR="00F93D2D" w:rsidRPr="003C0842">
        <w:t>,</w:t>
      </w:r>
      <w:r w:rsidRPr="003C0842">
        <w:t xml:space="preserve"> przyjmując 5 czerwca rezolucję stwierdzającą niedozwolone dozbrajanie się Węgier</w:t>
      </w:r>
      <w:r w:rsidR="00F93D2D" w:rsidRPr="003C0842">
        <w:t>,</w:t>
      </w:r>
      <w:r w:rsidRPr="003C0842">
        <w:t xml:space="preserve"> napiętnowała takie praktyki, ale zrezygnowała z jakichkolwiek sankcji. </w:t>
      </w:r>
    </w:p>
    <w:p w:rsidR="00B64579" w:rsidRPr="003C0842" w:rsidRDefault="00B64579" w:rsidP="00111348">
      <w:pPr>
        <w:spacing w:line="360" w:lineRule="auto"/>
      </w:pPr>
      <w:r w:rsidRPr="003C0842">
        <w:t xml:space="preserve">Decydujące znaczenie dla takiego finału miała znana wszystkim niechęć Włoch do nadania sprawie rozgłosu. Każde głębsze badanie musiało dotknąć rząd faszystowski, zwolennika zmian traktatów pokojowych uznanych w Rzymie za kalekie i oszukańcze w </w:t>
      </w:r>
      <w:r w:rsidRPr="003C0842">
        <w:lastRenderedPageBreak/>
        <w:t>stosunku do poniesionych w wojnie ofiar. Inwestygacja wobec ważnego sojusznika umów lokarneńskich, jawnie wówczas flirtującego z Węgrami głoszącymi, że interesy obu państw są identyczne</w:t>
      </w:r>
      <w:r w:rsidR="00A42F0D" w:rsidRPr="003C0842">
        <w:t>,</w:t>
      </w:r>
      <w:r w:rsidR="006D1096" w:rsidRPr="003C0842">
        <w:t xml:space="preserve"> nie wydawała się nikomu z członków Rady potrzebna</w:t>
      </w:r>
      <w:r w:rsidRPr="003C0842">
        <w:rPr>
          <w:rStyle w:val="Odwoanieprzypisudolnego"/>
          <w:rFonts w:ascii="Times New Roman" w:hAnsi="Times New Roman"/>
          <w:sz w:val="24"/>
        </w:rPr>
        <w:footnoteReference w:id="394"/>
      </w:r>
      <w:r w:rsidR="006D1096" w:rsidRPr="003C0842">
        <w:t>.</w:t>
      </w:r>
      <w:r w:rsidR="00F93D2D" w:rsidRPr="003C0842">
        <w:t xml:space="preserve"> Minister</w:t>
      </w:r>
      <w:r w:rsidRPr="003C0842">
        <w:t xml:space="preserve"> Scialoja nie był stroną postępowania inwestygacyjnego: nie był pytany, ani z własnej woli nie zabierał głosu. Równie milczący był min. Stresemann. Nieco tylko bardziej aktywny Chamberlain podczas sekretnych posiedzeń Rady 6 i 7 czerwca 1928 r. obawiał się krytyki, nie tyle pod swoim adresem, ile Rady jako całości. Osiągnięte </w:t>
      </w:r>
      <w:r w:rsidR="00F93D2D" w:rsidRPr="003C0842">
        <w:t xml:space="preserve">bowiem </w:t>
      </w:r>
      <w:r w:rsidRPr="003C0842">
        <w:t>wyniki inwestygacji daleko odbiegały od oczekiwań</w:t>
      </w:r>
      <w:r w:rsidR="00F93D2D" w:rsidRPr="003C0842">
        <w:t>,</w:t>
      </w:r>
      <w:r w:rsidRPr="003C0842">
        <w:t xml:space="preserve"> jakie opinia publiczna miała nie tylko wobec przemytu broni przez </w:t>
      </w:r>
      <w:r w:rsidR="00F93D2D" w:rsidRPr="003C0842">
        <w:t>P</w:t>
      </w:r>
      <w:r w:rsidRPr="003C0842">
        <w:t xml:space="preserve">rzełęcz </w:t>
      </w:r>
      <w:r w:rsidR="00F93D2D" w:rsidRPr="003C0842">
        <w:t xml:space="preserve">św. </w:t>
      </w:r>
      <w:r w:rsidRPr="003C0842">
        <w:t xml:space="preserve">Gotarda, ale całego mechanizmu badawczego, realizowanego po raz pierwszy przez Ligę. Wyrażał też nadzieję, że jeśli podobna sytuacja wystąpi ponownie, to Rada zapewne dowiedzie swej skuteczności, wspierając </w:t>
      </w:r>
      <w:r w:rsidR="00281DA4" w:rsidRPr="003C0842">
        <w:t>projektydotyczące</w:t>
      </w:r>
      <w:r w:rsidRPr="003C0842">
        <w:t xml:space="preserve"> konwencji o powszechnym rozbrojeniu</w:t>
      </w:r>
      <w:r w:rsidRPr="003C0842">
        <w:rPr>
          <w:rStyle w:val="Odwoanieprzypisudolnego"/>
          <w:rFonts w:ascii="Times New Roman" w:hAnsi="Times New Roman"/>
          <w:sz w:val="24"/>
        </w:rPr>
        <w:footnoteReference w:id="395"/>
      </w:r>
      <w:r w:rsidRPr="003C0842">
        <w:t>.</w:t>
      </w:r>
    </w:p>
    <w:p w:rsidR="00B64579" w:rsidRPr="003C0842" w:rsidRDefault="00B64579" w:rsidP="00111348">
      <w:pPr>
        <w:spacing w:line="360" w:lineRule="auto"/>
      </w:pPr>
      <w:r w:rsidRPr="003C0842">
        <w:t>Po faktycznym niepowodzeniu badania przemytu broni z Włoch na Węgry prysły nadzieje</w:t>
      </w:r>
      <w:r w:rsidR="00F93D2D" w:rsidRPr="003C0842">
        <w:t>,</w:t>
      </w:r>
      <w:r w:rsidRPr="003C0842">
        <w:t xml:space="preserve"> jakie w „Le Matin” 5 marca 1928 r. formułował </w:t>
      </w:r>
      <w:r w:rsidR="00C76E59" w:rsidRPr="003C0842">
        <w:t>Jules</w:t>
      </w:r>
      <w:r w:rsidRPr="003C0842">
        <w:t xml:space="preserve"> Sauerwein, jeden z bardziej znanych dziennikarzy francuskich zaangażowanych w porozumienie z Niemcami. W korespondencji z Genewy pomyślne rozwikłanie sprawy łączył bowiem z wzrostem prestiżu i zaufania do Ligi ze strony miłujących pokój narodów. Nie wykluczał, że nawet Francja, za czas jakiś będzie mogła powierzyć Genewie część troski o jej bezpieczeństwo, a także zwiększy skłonność do ustępstw na rzecz dawnych nieprzyjaciół. Ale Francja nie będzie mogła pójść w tym kierunku</w:t>
      </w:r>
      <w:r w:rsidR="00F93D2D" w:rsidRPr="003C0842">
        <w:t>,</w:t>
      </w:r>
      <w:r w:rsidRPr="003C0842">
        <w:t xml:space="preserve"> jeśli rezultaty badań Ligi w sprawie przemytu będą nikłe.</w:t>
      </w:r>
    </w:p>
    <w:p w:rsidR="00B64579" w:rsidRPr="003C0842" w:rsidRDefault="00B64579" w:rsidP="00111348">
      <w:pPr>
        <w:spacing w:line="360" w:lineRule="auto"/>
      </w:pPr>
      <w:r w:rsidRPr="003C0842">
        <w:t>Były więcej niż nikłe</w:t>
      </w:r>
      <w:r w:rsidR="00F93D2D" w:rsidRPr="003C0842">
        <w:t>…</w:t>
      </w:r>
    </w:p>
    <w:p w:rsidR="00B64579" w:rsidRPr="003C0842" w:rsidRDefault="00B64579" w:rsidP="00111348">
      <w:pPr>
        <w:spacing w:line="360" w:lineRule="auto"/>
      </w:pPr>
    </w:p>
    <w:p w:rsidR="00D95F23" w:rsidRPr="003C0842" w:rsidRDefault="00D95F23" w:rsidP="00111348">
      <w:pPr>
        <w:spacing w:line="360" w:lineRule="auto"/>
      </w:pPr>
    </w:p>
    <w:p w:rsidR="00D95F23" w:rsidRPr="003C0842" w:rsidRDefault="00D95F23" w:rsidP="00111348">
      <w:pPr>
        <w:spacing w:line="360" w:lineRule="auto"/>
        <w:ind w:firstLine="709"/>
        <w:rPr>
          <w:b/>
        </w:rPr>
      </w:pPr>
      <w:r w:rsidRPr="003C0842">
        <w:rPr>
          <w:b/>
        </w:rPr>
        <w:t>2. Rozruch rozbrojenia</w:t>
      </w:r>
    </w:p>
    <w:p w:rsidR="00D95F23" w:rsidRPr="003C0842" w:rsidRDefault="00D95F23" w:rsidP="00111348">
      <w:pPr>
        <w:spacing w:line="360" w:lineRule="auto"/>
        <w:ind w:firstLine="709"/>
      </w:pPr>
    </w:p>
    <w:p w:rsidR="00D95F23" w:rsidRPr="003C0842" w:rsidRDefault="00D95F23" w:rsidP="00111348">
      <w:pPr>
        <w:spacing w:line="360" w:lineRule="auto"/>
        <w:ind w:firstLine="709"/>
      </w:pPr>
      <w:r w:rsidRPr="003C0842">
        <w:t xml:space="preserve">Bliskim towarzyszem antagonistycznych rozmów dotyczących kontroli sił zbrojnych państw pokonanych były </w:t>
      </w:r>
      <w:r w:rsidR="00F96E15" w:rsidRPr="003C0842">
        <w:t>projekty</w:t>
      </w:r>
      <w:r w:rsidRPr="003C0842">
        <w:t xml:space="preserve"> związane z rozbrojeniem. Pojmowano je bardzo różnie. Bodaj żadna ze spraw znajdujących się w obszarze działalności LN nie była tak jawnie i wyraźnie zdominowana partykularyzmem. Powodów było bez liku. Samo pojęcie rozbrojenia, odmieniane w najróżniejszych kombinacjach i konfiguracjach, w istocie odnosiło się jedynie </w:t>
      </w:r>
      <w:r w:rsidRPr="003C0842">
        <w:lastRenderedPageBreak/>
        <w:t xml:space="preserve">do państw pokonanych. W odniesieniu do innych państw, tak członków LN, jak i pozostałych, można mówić o akceptowanym przez nie ograniczeniu zbrojeń lub redukcji posiadanego arsenału. Ujawniające się od samego początku wielkie różnice w podejściu do rozbrojenia choćby przez obie grupy państw, a więc rozbrojonych i zwycięskich, dodatkowo gmatwała sprawa bezpieczeństwa. Niezależnie od tysięcy zapisanych stron na temat współzależności rozbrojenia i bezpieczeństwa (rychło także arbitrażu) do zagospodarowania pozostaje subiektywne do nich podejście państw i narodów. </w:t>
      </w:r>
    </w:p>
    <w:p w:rsidR="00D95F23" w:rsidRPr="003C0842" w:rsidRDefault="00D95F23" w:rsidP="00111348">
      <w:pPr>
        <w:spacing w:line="360" w:lineRule="auto"/>
        <w:ind w:firstLine="709"/>
      </w:pPr>
      <w:r w:rsidRPr="003C0842">
        <w:t>Powszechnie akceptowano pogląd, że rozbrojenie nie mogło być poważnie rozważane bez udziału mocarstw, do których zaliczano Stany Zjednoczone, Wielką Brytanię, Japonię, Francję oraz mimo wszystko Rosję, a także Niemcy. Ogromne zainteresowanie tą sprawą, nieustannie kojarzoną z boleśnie pamiętaną „wielką wojną” powodowało, że formalne bojkotowanie rozbrojenia przez jakiekolwiek mocarstwo nie było możliwe. Nie przeszkadzało to jednak w indywidualizowaniu rozbrojenia i łączenia go z bezpieczeństwem pojmowanym „po swojemu”. Akceptacja współobywateli dla takiego podejścia była gwarantowana. Jeśli mówiono o bezpieczeństwie</w:t>
      </w:r>
      <w:r w:rsidR="00F93D2D" w:rsidRPr="003C0842">
        <w:t>,</w:t>
      </w:r>
      <w:r w:rsidRPr="003C0842">
        <w:t xml:space="preserve"> to </w:t>
      </w:r>
      <w:r w:rsidR="00F93D2D" w:rsidRPr="003C0842">
        <w:t>brano pod</w:t>
      </w:r>
      <w:r w:rsidRPr="003C0842">
        <w:t xml:space="preserve"> uwa</w:t>
      </w:r>
      <w:r w:rsidR="00F93D2D" w:rsidRPr="003C0842">
        <w:t>gę</w:t>
      </w:r>
      <w:r w:rsidRPr="003C0842">
        <w:t xml:space="preserve"> sytuację i potrzeby własne, jeśli zaś o rozbrojeniu – to w grę wchodzili inni, a już zwłaszcza sąsiedzi.</w:t>
      </w:r>
    </w:p>
    <w:p w:rsidR="00F96E15" w:rsidRPr="003C0842" w:rsidRDefault="00D95F23" w:rsidP="00111348">
      <w:pPr>
        <w:spacing w:line="360" w:lineRule="auto"/>
        <w:ind w:firstLine="709"/>
      </w:pPr>
      <w:r w:rsidRPr="003C0842">
        <w:t xml:space="preserve">Stale obecny subiektywizm, silnie powiązany z doświadczeniami przeszłości i kształtowaną polityką historyczną, był z natury rzeczy podtrzymywany i podsycany przez sfery wojskowe. One zaś odgrywały pierwszorzędną rolę we wszelkich pracach dotyczących rozbrojenia i bezpieczeństwa, zarówno w poszczególnych państwach, jak i delegacjach słanych do Genewy. Podczas obrad w mnożących się komisjach, komitetach, podczas narad w gronie państw o zbieżnych interesach i intencjach, ścierali się z oficerami mającymi odmienny punkt widzenia, którzy reprezentowali inne państwo, mniej lub bardziej ważny rodzaj broni, zawsze indywidualną doktrynę. Wytyczne do tych dyskusji rodziły się przy istotnie ważnej roli ambasad, poselstw, konsulatów, w których sprawy bezpieczeństwa i rozbrojenia odgrywały tradycyjnie ważną rolę. Przejawem tej tendencji był rozwój attachatów wojskowych, coraz częściej obsadzanych przez specjalistów z różnych rodzajów broni. Od ich narodzin mówiono, że są one częścią służby dyplomatycznej </w:t>
      </w:r>
      <w:r w:rsidRPr="003C0842">
        <w:rPr>
          <w:i/>
        </w:rPr>
        <w:t>de defence</w:t>
      </w:r>
      <w:r w:rsidRPr="003C0842">
        <w:t xml:space="preserve">, chociaż specjalnego rodzaju, bo podległą bezpośrednio ministrowi obrony (wojny etc.). </w:t>
      </w:r>
    </w:p>
    <w:p w:rsidR="00D95F23" w:rsidRPr="003C0842" w:rsidRDefault="00D95F23" w:rsidP="00111348">
      <w:pPr>
        <w:spacing w:line="360" w:lineRule="auto"/>
        <w:ind w:firstLine="709"/>
      </w:pPr>
      <w:r w:rsidRPr="003C0842">
        <w:t xml:space="preserve">Jednym ze skutków tego ogromnego zaangażowania – jakby powiedzieli ludzie wojska – „sił i środków”, jest istna góra materiału pisanego. Zalega on w różnych archiwach wszystkich państw zainteresowanych rozbrojeniem i bezpieczeństwem własnym i cudzym, w ich niemal nieskończonych zależnościach militarnych, gospodarczych i społecznych. Ową przysłowiową górę powiększają analizy własne sztabów, doniesienia poufne i wywiadowcze, </w:t>
      </w:r>
      <w:r w:rsidRPr="003C0842">
        <w:lastRenderedPageBreak/>
        <w:t>raporty prasowe, opinie innych resortów, w końcu też produkcja samej Ligi – jej organów, komisji, urzędników, a także petycji i listów wrogich i przyjaznych przesyłanych z całego świata.</w:t>
      </w:r>
    </w:p>
    <w:p w:rsidR="00D95F23" w:rsidRPr="003C0842" w:rsidRDefault="00D95F23" w:rsidP="00111348">
      <w:pPr>
        <w:spacing w:line="360" w:lineRule="auto"/>
        <w:ind w:firstLine="709"/>
      </w:pPr>
      <w:r w:rsidRPr="003C0842">
        <w:t>Bezpieczeństwo i rozbrojenie należały do obszarów budzących szczególnie silne emocje społeczne. Z natury rzeczy miała w tym udział prasa, później też radio. Dzienniki rządowe referowały te kwestie z uwzględnieniem oczekiwań i dążeń własnych delegacji. Racje tak widziane wpisywano w ogólną debatę rozbrojeniową</w:t>
      </w:r>
      <w:r w:rsidR="00F96E15" w:rsidRPr="003C0842">
        <w:t>,</w:t>
      </w:r>
      <w:r w:rsidRPr="003C0842">
        <w:t xml:space="preserve"> na ogół wyolbrzymiając sukcesy własne. Takiemu podejściu towarzyszyło pokazywanie niepowodzenia delegacji (państw) należących do innych </w:t>
      </w:r>
      <w:r w:rsidR="00F96E15" w:rsidRPr="003C0842">
        <w:t xml:space="preserve">konfiguracji wojskowych, ewentualnie </w:t>
      </w:r>
      <w:r w:rsidRPr="003C0842">
        <w:t xml:space="preserve">bloków. Problematyka rozbrojeniowa, z natury rzeczy, żywo zajmująca także periodyki partii opozycyjnych, była z powodzeniem wykorzystywana do podtrzymywania, pogłębiania i rozszerzania animozji, krytyki rządu, </w:t>
      </w:r>
      <w:r w:rsidR="004E51A9" w:rsidRPr="003C0842">
        <w:t>że</w:t>
      </w:r>
      <w:r w:rsidRPr="003C0842">
        <w:t xml:space="preserve"> źle reprezentu</w:t>
      </w:r>
      <w:r w:rsidR="004E51A9" w:rsidRPr="003C0842">
        <w:t>je</w:t>
      </w:r>
      <w:r w:rsidRPr="003C0842">
        <w:t xml:space="preserve"> interesy państwa, zwłaszcza w kontekście relacji z sąsiadami. Także dlatego propaganda podszyta strachem i brakiem zaufania doznawała silnych impulsów w kontekście szczegółowych dyskusji o rozbrojeniu i bezpieczeństwie. To paradoks.</w:t>
      </w:r>
    </w:p>
    <w:p w:rsidR="00BD56B3" w:rsidRDefault="00D95F23" w:rsidP="00111348">
      <w:pPr>
        <w:spacing w:line="360" w:lineRule="auto"/>
        <w:ind w:firstLine="709"/>
      </w:pPr>
      <w:r w:rsidRPr="003C0842">
        <w:t>Naturalnym i dominującym elementem prac rozbrojeniowych pod sztandarem LN pozostał egoizm państw, tak dużych</w:t>
      </w:r>
      <w:r w:rsidR="00F93D2D" w:rsidRPr="003C0842">
        <w:t>,</w:t>
      </w:r>
      <w:r w:rsidRPr="003C0842">
        <w:t xml:space="preserve"> jak i małych. Nie jest powodem krytyki szczególna ich troska o własne bezpieczeństwo, w wielu obszarach świata istotnie wystawianego na różne próby. Może właśnie dlatego w tym powszechnym, wszechogarniającym labiryncie jedynie u progu okresu międzywojennego pojawiały się śmielsze próby całościowego rozwiązania zagadnienia rozbrojenia (przede wszystkim kojarzone z lordem Robertem Cecilem i francuskim pułkownikiem Edouardem Requin), które bardzo szybko stały się częścią historycznego jedynie dorobku cywilizacji</w:t>
      </w:r>
      <w:r w:rsidRPr="003C0842">
        <w:rPr>
          <w:rStyle w:val="Odwoanieprzypisudolnego"/>
          <w:rFonts w:ascii="Times New Roman" w:hAnsi="Times New Roman"/>
          <w:sz w:val="24"/>
        </w:rPr>
        <w:footnoteReference w:id="396"/>
      </w:r>
      <w:r w:rsidRPr="003C0842">
        <w:t>.</w:t>
      </w:r>
    </w:p>
    <w:p w:rsidR="00D95F23" w:rsidRPr="003C0842" w:rsidRDefault="00D95F23" w:rsidP="00111348">
      <w:pPr>
        <w:spacing w:line="360" w:lineRule="auto"/>
        <w:ind w:firstLine="709"/>
      </w:pPr>
      <w:r w:rsidRPr="003C0842">
        <w:t>Podobny los spotkał osławiony protokół genewski z 1924 r. okrzyknięty przez jego entuzjastów „mag</w:t>
      </w:r>
      <w:r w:rsidR="004E51A9" w:rsidRPr="003C0842">
        <w:t>n</w:t>
      </w:r>
      <w:r w:rsidRPr="003C0842">
        <w:t xml:space="preserve">a carta narodowego bezpieczeństwa”. Nie dość jednak, że nie znalazł on uznania w kilku ważnych państwach (a nie tylko jak się pisze w Londynie), ale jeszcze pod wpływem delegacji francuskiej do bardzo trudnego duetu – bezpieczeństwa i rozbrojenia – doszedł człon trzeci: arbitraż. Był on niemniej konfliktogenny co dwa pierwsze, aczkolwiek dotyczył pokojowego rozwiązywania sporów ze wskazaniem na obowiązkową jurysdykcję STSM. Więcej nawet: arbitraż i pomoc wzajemną potraktowano w protokole genewskim przyjętym 2 października 1924 r. przez V Zgromadzenie LN jako podstawowy warunek </w:t>
      </w:r>
      <w:r w:rsidRPr="003C0842">
        <w:lastRenderedPageBreak/>
        <w:t xml:space="preserve">redukcji zbrojeń. </w:t>
      </w:r>
      <w:r w:rsidR="00A42F0D" w:rsidRPr="003C0842">
        <w:t>Z</w:t>
      </w:r>
      <w:r w:rsidRPr="003C0842">
        <w:t>apowiedź wyrażona w art. 17, że w poniedziałek 15 czerwca 1925 r. zbierze się w Genewie konferencja poświęcona redukcji zbrojeń</w:t>
      </w:r>
      <w:r w:rsidR="00A42F0D" w:rsidRPr="003C0842">
        <w:t xml:space="preserve"> uznać trzeba za nadużycie twórców protokołu wobec opinii społecznej</w:t>
      </w:r>
      <w:r w:rsidRPr="003C0842">
        <w:rPr>
          <w:rStyle w:val="Odwoanieprzypisudolnego"/>
          <w:rFonts w:ascii="Times New Roman" w:hAnsi="Times New Roman"/>
          <w:sz w:val="24"/>
        </w:rPr>
        <w:footnoteReference w:id="397"/>
      </w:r>
      <w:r w:rsidRPr="003C0842">
        <w:t>.</w:t>
      </w:r>
    </w:p>
    <w:p w:rsidR="00A42F0D" w:rsidRPr="003C0842" w:rsidRDefault="00D95F23" w:rsidP="00111348">
      <w:pPr>
        <w:spacing w:line="360" w:lineRule="auto"/>
        <w:ind w:firstLine="709"/>
      </w:pPr>
      <w:r w:rsidRPr="003C0842">
        <w:t xml:space="preserve">Iluzoryczność entuzjazmu otaczającego protokół genewski wiązać należy także z silnym odwoływaniem się do dobrej woli narodów, w tym raz po raz przypominanego rozbrojenia moralnego. Najwcześniej o „demilitaryzacji moralnej” mówili Francuzi, w tym Briand podczas konferencji waszyngtońskiej w końcu 1921 r., podnosząc odwetowe nastroje w Niemczech. Tym </w:t>
      </w:r>
      <w:r w:rsidR="004E51A9" w:rsidRPr="003C0842">
        <w:t>śladem</w:t>
      </w:r>
      <w:r w:rsidRPr="003C0842">
        <w:t xml:space="preserve"> poszła rezolucja III Zgromadzenia (27 </w:t>
      </w:r>
      <w:r w:rsidR="003A7285" w:rsidRPr="003C0842">
        <w:t>września</w:t>
      </w:r>
      <w:r w:rsidRPr="003C0842">
        <w:t xml:space="preserve"> 1922 r.), która rozbrojenie materialne warunkowała rozwojem atmosfery pełnego zaufania i bezpieczeństwa między państwami i narodami. </w:t>
      </w:r>
    </w:p>
    <w:p w:rsidR="00D95F23" w:rsidRPr="003C0842" w:rsidRDefault="00D95F23" w:rsidP="00111348">
      <w:pPr>
        <w:spacing w:line="360" w:lineRule="auto"/>
        <w:ind w:firstLine="709"/>
      </w:pPr>
      <w:r w:rsidRPr="003C0842">
        <w:t xml:space="preserve">Wątki </w:t>
      </w:r>
      <w:r w:rsidR="004E51A9" w:rsidRPr="003C0842">
        <w:t>z</w:t>
      </w:r>
      <w:r w:rsidRPr="003C0842">
        <w:t xml:space="preserve"> dyskusji nad protokołem genewskim, będącym przecież porozumieniem „w sprawie pokojowego rozstrzygania sporów międzynarodowych”</w:t>
      </w:r>
      <w:r w:rsidR="00A42F0D" w:rsidRPr="003C0842">
        <w:t>,</w:t>
      </w:r>
      <w:r w:rsidRPr="003C0842">
        <w:t xml:space="preserve"> znalazły charakterystyczne odbicie w prywatnym liście Julien</w:t>
      </w:r>
      <w:r w:rsidR="003A7285" w:rsidRPr="003C0842">
        <w:t>a</w:t>
      </w:r>
      <w:r w:rsidRPr="003C0842">
        <w:t xml:space="preserve"> Luchaire’a do Paula Mantoux. Powstał on po tygodniu od przyjęcia protokołu. Otóż </w:t>
      </w:r>
      <w:r w:rsidR="00640E48" w:rsidRPr="003C0842">
        <w:t xml:space="preserve">znany polityk i </w:t>
      </w:r>
      <w:r w:rsidRPr="003C0842">
        <w:t xml:space="preserve">członek delegacji </w:t>
      </w:r>
      <w:r w:rsidR="00640E48" w:rsidRPr="003C0842">
        <w:t xml:space="preserve">francuskiej </w:t>
      </w:r>
      <w:r w:rsidRPr="003C0842">
        <w:t>na V Zgromadzenie przedkładał dyrektorowi sekcji politycznej Sekretariatu sugestię włączenia do prac przyszłej konferencji rozbrojeniowej Komisji Współpracy Intelektualnej i forsowanego przez nią „rozbrojenia intelektualnego”. Chodziło o środki i sposoby eliminowania z publikacji oficjalnych, edukacji i kształcenia elementów negatywnie oddziałujących na współżycie narodów.</w:t>
      </w:r>
      <w:r w:rsidR="00A42F0D" w:rsidRPr="003C0842">
        <w:t xml:space="preserve"> Autor listu przestrzegał przed </w:t>
      </w:r>
      <w:r w:rsidRPr="003C0842">
        <w:t>lekceważ</w:t>
      </w:r>
      <w:r w:rsidR="00A42F0D" w:rsidRPr="003C0842">
        <w:t xml:space="preserve">eniem sprawy, która </w:t>
      </w:r>
      <w:r w:rsidRPr="003C0842">
        <w:t>zajmowała uwagę wielu osób, zwłaszcza skupionych wokół LN</w:t>
      </w:r>
      <w:r w:rsidR="00A42F0D" w:rsidRPr="003C0842">
        <w:t xml:space="preserve"> i </w:t>
      </w:r>
      <w:r w:rsidRPr="003C0842">
        <w:t>fundacj</w:t>
      </w:r>
      <w:r w:rsidR="00A42F0D" w:rsidRPr="003C0842">
        <w:t>i</w:t>
      </w:r>
      <w:r w:rsidRPr="003C0842">
        <w:t xml:space="preserve"> Carnégie</w:t>
      </w:r>
      <w:r w:rsidR="00A42F0D" w:rsidRPr="003C0842">
        <w:t>, która</w:t>
      </w:r>
      <w:r w:rsidRPr="003C0842">
        <w:t xml:space="preserve"> opublikowała </w:t>
      </w:r>
      <w:r w:rsidR="00A427AA" w:rsidRPr="003C0842">
        <w:t>specjalny tom z wypowiedziami wielu znakomitości. T</w:t>
      </w:r>
      <w:r w:rsidRPr="003C0842">
        <w:t>ematt</w:t>
      </w:r>
      <w:r w:rsidR="00A427AA" w:rsidRPr="003C0842">
        <w:t>en</w:t>
      </w:r>
      <w:r w:rsidRPr="003C0842">
        <w:t xml:space="preserve"> dyskutował Kongres Edukacji Moralnej, który obradował w Genewie</w:t>
      </w:r>
      <w:r w:rsidR="00A427AA" w:rsidRPr="003C0842">
        <w:t xml:space="preserve"> oraz </w:t>
      </w:r>
      <w:r w:rsidRPr="003C0842">
        <w:t xml:space="preserve">stowarzyszenia narodowe </w:t>
      </w:r>
      <w:r w:rsidR="00A427AA" w:rsidRPr="003C0842">
        <w:t>skupione w UIA</w:t>
      </w:r>
      <w:r w:rsidRPr="003C0842">
        <w:t>; w końcu sprawą zajęła się Komisja Współpracy Intelektualnej.</w:t>
      </w:r>
      <w:r w:rsidR="00A427AA" w:rsidRPr="003C0842">
        <w:t xml:space="preserve"> JulienLuchaire p</w:t>
      </w:r>
      <w:r w:rsidRPr="003C0842">
        <w:t>rzypomniał też opinie premierów Francji i Wielkiej Brytanii</w:t>
      </w:r>
      <w:r w:rsidR="00A427AA" w:rsidRPr="003C0842">
        <w:t xml:space="preserve"> przedstawione podczas V Zgromadzenia</w:t>
      </w:r>
      <w:r w:rsidRPr="003C0842">
        <w:t>, któ</w:t>
      </w:r>
      <w:r w:rsidR="00640E48" w:rsidRPr="003C0842">
        <w:t xml:space="preserve">rzy silnie opowiedzieli się za </w:t>
      </w:r>
      <w:r w:rsidRPr="003C0842">
        <w:t>koniecznością rozbrojenia moralnego</w:t>
      </w:r>
      <w:r w:rsidRPr="001E5F63">
        <w:t xml:space="preserve">. </w:t>
      </w:r>
      <w:r w:rsidR="00900BE3" w:rsidRPr="001E5F63">
        <w:t>„</w:t>
      </w:r>
      <w:r w:rsidRPr="001E5F63">
        <w:t xml:space="preserve">Rozbrojenie intelektualne jest wyraźnie częścią rozbrojenia moralnego, ale na tyle samodzielną, że pozwalającą pracować nad wyodrębnioną materią i </w:t>
      </w:r>
      <w:r w:rsidR="003A7285" w:rsidRPr="001E5F63">
        <w:t>za pomocą</w:t>
      </w:r>
      <w:r w:rsidRPr="001E5F63">
        <w:t>odmienn</w:t>
      </w:r>
      <w:r w:rsidR="00310036" w:rsidRPr="001E5F63">
        <w:t>ej</w:t>
      </w:r>
      <w:r w:rsidRPr="001E5F63">
        <w:t xml:space="preserve"> metod</w:t>
      </w:r>
      <w:r w:rsidR="00310036" w:rsidRPr="001E5F63">
        <w:t>y</w:t>
      </w:r>
      <w:r w:rsidRPr="001E5F63">
        <w:t>. Czyż nie byłoby wręcz wskazane, aby Komisja Współpracy Intelektualnej była reprezentowana na przyszłej konferencji rozbrojeniowej?</w:t>
      </w:r>
      <w:r w:rsidR="00900BE3" w:rsidRPr="001E5F63">
        <w:t>”</w:t>
      </w:r>
      <w:r w:rsidRPr="001E5F63">
        <w:rPr>
          <w:rStyle w:val="Odwoanieprzypisudolnego"/>
          <w:rFonts w:ascii="Times New Roman" w:hAnsi="Times New Roman"/>
          <w:sz w:val="24"/>
        </w:rPr>
        <w:footnoteReference w:id="398"/>
      </w:r>
      <w:r w:rsidR="00900BE3" w:rsidRPr="001E5F63">
        <w:t>.</w:t>
      </w:r>
    </w:p>
    <w:p w:rsidR="00D95F23" w:rsidRPr="003C0842" w:rsidRDefault="00D95F23" w:rsidP="00111348">
      <w:pPr>
        <w:spacing w:line="360" w:lineRule="auto"/>
        <w:ind w:firstLine="709"/>
      </w:pPr>
      <w:r w:rsidRPr="003C0842">
        <w:t xml:space="preserve">Dywagacje na temat bliskiego, pilnego, oczekiwanego rozbrojenia poprzez rychłe zwołanie konferencji rozbrojeniowej trwały ciągle. Najsilniej aktualizowały je państwa </w:t>
      </w:r>
      <w:r w:rsidRPr="003C0842">
        <w:lastRenderedPageBreak/>
        <w:t>rozbrojone przez traktaty kończące „wielką wojnę”. Zostały one zobowiązane do ścisłego przestrzegania przepisów dotyczących stanu ich sił zbrojnych</w:t>
      </w:r>
      <w:r w:rsidR="00FA10D4" w:rsidRPr="003C0842">
        <w:t>,</w:t>
      </w:r>
      <w:r w:rsidRPr="003C0842">
        <w:t xml:space="preserve"> „aby umożliwić przygotowanie ogólnego ograniczenia zbrojeń wszystkich narodów”. Pod naciskiem prezydenta Wilsona i gen. Taskera H. Blissa – głównego eksperta USA w sprawach wojskowych, zdołano przeforsować tezę, że narzucane rozbrojenie państwom centralnym jest wstępem do rozbrojenia powszechnego. Wielkość i wyposażenie armii miały być określone przez „potrzeby utrzymania porządku wewnętrznego”. W tym przekonaniu prezydent Wilson 29 stycznia 1919 r. ripostował na daleko idące oczekiwania Polski: „skoro Niemcy będą rozbrojone, to Polsce nie można pozwolić zbroić się, z wyjątkiem dla celów policyjnych”</w:t>
      </w:r>
      <w:r w:rsidRPr="003C0842">
        <w:rPr>
          <w:rStyle w:val="Odwoanieprzypisudolnego"/>
          <w:rFonts w:ascii="Times New Roman" w:hAnsi="Times New Roman"/>
          <w:sz w:val="24"/>
        </w:rPr>
        <w:footnoteReference w:id="399"/>
      </w:r>
      <w:r w:rsidRPr="003C0842">
        <w:t>. W podobnym duchu została sformułowana odpowiedź na uwagi rządu niemieckiego do traktatu pokojowego podpisanego przez Clemenceau 16 czerwca 1919 r. Napisano tam, że postanowienia dotyczące zbrojeń niemieckich „</w:t>
      </w:r>
      <w:r w:rsidR="00FA10D4" w:rsidRPr="003C0842">
        <w:t xml:space="preserve">[…] </w:t>
      </w:r>
      <w:r w:rsidRPr="003C0842">
        <w:t xml:space="preserve">są pierwszym krokiem ku powszechnemu zmniejszeniu i ograniczeniu zbrojeń”, które stanowią cel dążenia aliantów. Dodano też, że zrealizowanie tego celu będzie jednym z </w:t>
      </w:r>
      <w:r w:rsidR="00DC0CD0" w:rsidRPr="003C0842">
        <w:t>„</w:t>
      </w:r>
      <w:r w:rsidRPr="003C0842">
        <w:t>najpożyteczniejszych wyników wojny i najpierwszych zadań Ligi Narodów”</w:t>
      </w:r>
      <w:r w:rsidRPr="003C0842">
        <w:rPr>
          <w:rStyle w:val="Odwoanieprzypisudolnego"/>
          <w:rFonts w:ascii="Times New Roman" w:hAnsi="Times New Roman"/>
          <w:sz w:val="24"/>
        </w:rPr>
        <w:footnoteReference w:id="400"/>
      </w:r>
      <w:r w:rsidRPr="003C0842">
        <w:t>.</w:t>
      </w:r>
    </w:p>
    <w:p w:rsidR="00D95F23" w:rsidRPr="003C0842" w:rsidRDefault="00D95F23" w:rsidP="00111348">
      <w:pPr>
        <w:spacing w:line="360" w:lineRule="auto"/>
        <w:ind w:firstLine="709"/>
      </w:pPr>
      <w:r w:rsidRPr="003C0842">
        <w:t>Sformułowani</w:t>
      </w:r>
      <w:r w:rsidR="00DC0CD0" w:rsidRPr="003C0842">
        <w:t>omtym, utożsamianym z wolą zwycięzców, nadano wielki rozgłos, nagminnie łącząc go z</w:t>
      </w:r>
      <w:r w:rsidRPr="003C0842">
        <w:t>oczekiwani</w:t>
      </w:r>
      <w:r w:rsidR="00DC0CD0" w:rsidRPr="003C0842">
        <w:t>ami</w:t>
      </w:r>
      <w:r w:rsidRPr="003C0842">
        <w:t xml:space="preserve"> na działania Ligi Narodów</w:t>
      </w:r>
      <w:r w:rsidR="00DC0CD0" w:rsidRPr="003C0842">
        <w:t>.M</w:t>
      </w:r>
      <w:r w:rsidRPr="003C0842">
        <w:t xml:space="preserve">asowe poparcie </w:t>
      </w:r>
      <w:r w:rsidR="00DC0CD0" w:rsidRPr="003C0842">
        <w:t>w</w:t>
      </w:r>
      <w:r w:rsidRPr="003C0842">
        <w:t xml:space="preserve"> państwach pokonanych </w:t>
      </w:r>
      <w:r w:rsidR="00DC0CD0" w:rsidRPr="003C0842">
        <w:t xml:space="preserve">zjednała sobie możliwość (nieraz groźba) </w:t>
      </w:r>
      <w:r w:rsidRPr="003C0842">
        <w:t xml:space="preserve">remilitaryzacji, jeśli państwa zwycięskie będą uchylały się od wykonania przyjętych na siebie zobowiązań w tej dziedzinie. </w:t>
      </w:r>
    </w:p>
    <w:p w:rsidR="00D95F23" w:rsidRPr="003C0842" w:rsidRDefault="00D95F23" w:rsidP="00111348">
      <w:pPr>
        <w:spacing w:line="360" w:lineRule="auto"/>
        <w:ind w:firstLine="709"/>
      </w:pPr>
      <w:r w:rsidRPr="003C0842">
        <w:t>Przeciwnicy takiego</w:t>
      </w:r>
      <w:r w:rsidR="005F17B3" w:rsidRPr="003C0842">
        <w:t>,</w:t>
      </w:r>
      <w:r w:rsidRPr="003C0842">
        <w:t xml:space="preserve"> alternatywnego podejścia do procesu rozbrojeniowego</w:t>
      </w:r>
      <w:r w:rsidR="005F17B3" w:rsidRPr="003C0842">
        <w:t>, eksponowali</w:t>
      </w:r>
      <w:r w:rsidRPr="003C0842">
        <w:t xml:space="preserve"> rewizjonistyczne hasła państw </w:t>
      </w:r>
      <w:r w:rsidR="005F17B3" w:rsidRPr="003C0842">
        <w:t>je głoszących</w:t>
      </w:r>
      <w:r w:rsidRPr="003C0842">
        <w:t>, które były budowane na rozwiązaniach</w:t>
      </w:r>
      <w:r w:rsidR="005F17B3" w:rsidRPr="003C0842">
        <w:t xml:space="preserve"> zakładających użycie siły.</w:t>
      </w:r>
      <w:r w:rsidRPr="003C0842">
        <w:t xml:space="preserve"> Towarzyszyły </w:t>
      </w:r>
      <w:r w:rsidR="005F17B3" w:rsidRPr="003C0842">
        <w:t>temu</w:t>
      </w:r>
      <w:r w:rsidRPr="003C0842">
        <w:t xml:space="preserve"> spekulatywne wywody prawnicze, które przekon</w:t>
      </w:r>
      <w:r w:rsidR="005F17B3" w:rsidRPr="003C0842">
        <w:t>ywały</w:t>
      </w:r>
      <w:r w:rsidR="00BF3AED">
        <w:t xml:space="preserve"> </w:t>
      </w:r>
      <w:r w:rsidR="005F17B3" w:rsidRPr="003C0842">
        <w:t>głównie już</w:t>
      </w:r>
      <w:r w:rsidRPr="003C0842">
        <w:t xml:space="preserve"> przekonanych. Strony obstawały przy własnych tezach i argumentach, nie pozbawionych</w:t>
      </w:r>
      <w:r w:rsidR="005F17B3" w:rsidRPr="003C0842">
        <w:t xml:space="preserve"> zresztą </w:t>
      </w:r>
      <w:r w:rsidRPr="003C0842">
        <w:t>racji. Obóz francuski wstęp do części V traktatu wersalskiego oraz wyjaśnienia Clemenceau charakteryzował jako deklarację, co najwyżej nieformalną obietnicę i zapowiedź możliwości rozbrojenia, jeśli Niemcy spełnią warunki narzucone im traktatem wersalskim</w:t>
      </w:r>
      <w:r w:rsidRPr="003C0842">
        <w:rPr>
          <w:rStyle w:val="Odwoanieprzypisudolnego"/>
          <w:rFonts w:ascii="Times New Roman" w:hAnsi="Times New Roman"/>
          <w:sz w:val="24"/>
        </w:rPr>
        <w:footnoteReference w:id="401"/>
      </w:r>
      <w:r w:rsidRPr="003C0842">
        <w:t>. Niemniej silnie wskazywano na brak sprecyzowanego terminu</w:t>
      </w:r>
      <w:r w:rsidR="00FA10D4" w:rsidRPr="003C0842">
        <w:t>,</w:t>
      </w:r>
      <w:r w:rsidRPr="003C0842">
        <w:t xml:space="preserve"> do jakiego zwycięzcy mieli ograniczyć swoje arsenały. Miało też </w:t>
      </w:r>
      <w:r w:rsidRPr="003C0842">
        <w:lastRenderedPageBreak/>
        <w:t>nie ulegać żadnej wątpliwości, że LN podejmowała liczne działania</w:t>
      </w:r>
      <w:r w:rsidR="00FA10D4" w:rsidRPr="003C0842">
        <w:t>, których celem</w:t>
      </w:r>
      <w:r w:rsidR="00BF3AED">
        <w:t xml:space="preserve"> </w:t>
      </w:r>
      <w:r w:rsidR="00FA10D4" w:rsidRPr="003C0842">
        <w:t>były</w:t>
      </w:r>
      <w:r w:rsidRPr="003C0842">
        <w:t xml:space="preserve"> „przygotowania ogólnego ograniczenia zbrojeń”. </w:t>
      </w:r>
    </w:p>
    <w:p w:rsidR="00D95F23" w:rsidRPr="003C0842" w:rsidRDefault="00D95F23" w:rsidP="009B243B">
      <w:pPr>
        <w:spacing w:line="360" w:lineRule="auto"/>
      </w:pPr>
      <w:r w:rsidRPr="003C0842">
        <w:t xml:space="preserve">Stawiane zarzuty, że zapisy traktatów pokojowych, jak również art. 8 i 9 Paktu Ligi poświęcone rozbrojeniu, nie były realizowane – nie były prawdziwe. Poza wszystkim oczekiwania, nie tylko pokonanych, ale </w:t>
      </w:r>
      <w:r w:rsidR="005F17B3" w:rsidRPr="003C0842">
        <w:t xml:space="preserve">i </w:t>
      </w:r>
      <w:r w:rsidRPr="003C0842">
        <w:t>państw z grupy zwycięskich, przewyższają możliwości negocjacyjne. Wśród przeszkód wymieniano np. zalecenia art. 8 Paktu, który łączył wielkość sił zbrojnych z koniecznością za</w:t>
      </w:r>
      <w:r w:rsidR="00FA10D4" w:rsidRPr="003C0842">
        <w:t>pewnie</w:t>
      </w:r>
      <w:r w:rsidRPr="003C0842">
        <w:t>nia własnego bezpieczeństwa oraz de facto obowiązkiem udziału w akcjach międzynarodowych zgodnych z Paktem. Przy ustalaniu wielkości sił zbrojnych każdego państwa musiano też uwzględnić położenie geograficzne i jego specyficzne warunki. Wykonując wskazania art. 9 Paktu</w:t>
      </w:r>
      <w:r w:rsidR="00FA10D4" w:rsidRPr="003C0842">
        <w:t>,</w:t>
      </w:r>
      <w:r w:rsidRPr="003C0842">
        <w:t xml:space="preserve"> Rada LN już w kwietniu 1920 r. zajęła się powołaniem stałej komisji, która na bieżąco śledziła „wszystkie w ogóle sprawy wojskowe”. Stała Komisja Konsultacyjna do spraw Wojskowych Morskich i Lotniczych odbywała średnio 3</w:t>
      </w:r>
      <w:r w:rsidR="00FA10D4" w:rsidRPr="003C0842">
        <w:t>-</w:t>
      </w:r>
      <w:r w:rsidRPr="003C0842">
        <w:t>4 sesje w ciągu roku. Zważywszy, że każdy z członków Rady desygnował do jej składu trzy osoby (zwykle oficerów reprezentujących wojska lądowe, morskie i powietrzne)</w:t>
      </w:r>
      <w:r w:rsidR="00FA10D4" w:rsidRPr="003C0842">
        <w:t>,</w:t>
      </w:r>
      <w:r w:rsidRPr="003C0842">
        <w:t xml:space="preserve"> konsensus osiągano jedynie w kwestiach ogólnych i proceduralnych. </w:t>
      </w:r>
      <w:r w:rsidR="004414E9" w:rsidRPr="003C0842">
        <w:t>Chętnie uciekano się do pozorowania postępu przez tworzenie nowych komisji, komitetów, kolejnych gremiów. Taka jest geneza decyzji</w:t>
      </w:r>
      <w:r w:rsidR="00BF3AED">
        <w:t xml:space="preserve"> </w:t>
      </w:r>
      <w:r w:rsidRPr="003C0842">
        <w:t>Rad</w:t>
      </w:r>
      <w:r w:rsidR="004414E9" w:rsidRPr="003C0842">
        <w:t>y, która</w:t>
      </w:r>
      <w:r w:rsidRPr="003C0842">
        <w:t>25 lutego 1921 r. powołała do życia Tymczasową Komisję Mieszaną</w:t>
      </w:r>
      <w:r w:rsidR="00166F4D" w:rsidRPr="003C0842">
        <w:t xml:space="preserve"> (Commission Temporarie Mixte – CTM)</w:t>
      </w:r>
      <w:r w:rsidR="004414E9" w:rsidRPr="003C0842">
        <w:t>. Skupiała ona</w:t>
      </w:r>
      <w:r w:rsidRPr="003C0842">
        <w:t xml:space="preserve"> wojskowych</w:t>
      </w:r>
      <w:r w:rsidR="004414E9" w:rsidRPr="003C0842">
        <w:t xml:space="preserve"> oraz </w:t>
      </w:r>
      <w:r w:rsidRPr="003C0842">
        <w:t>ekspertów od spraw politycznych, gospodarczych i społecznych. Jej dorobek i kompetencje przejęła 3 października 1924 r. Komisja Koordynacyjna</w:t>
      </w:r>
      <w:r w:rsidR="004414E9" w:rsidRPr="003C0842">
        <w:t xml:space="preserve"> oraz </w:t>
      </w:r>
      <w:r w:rsidRPr="003C0842">
        <w:t>powołany równocześnie Komitet Rady, któremu postawiono zadanie przygotowania ram organizacyjno-programowych do zwołania Komisji Przygotowawczej do Konferencji Rozbrojeniowej (KPKR)</w:t>
      </w:r>
      <w:r w:rsidRPr="003C0842">
        <w:rPr>
          <w:rStyle w:val="Odwoanieprzypisudolnego"/>
          <w:rFonts w:ascii="Times New Roman" w:hAnsi="Times New Roman"/>
          <w:sz w:val="24"/>
        </w:rPr>
        <w:footnoteReference w:id="402"/>
      </w:r>
      <w:r w:rsidRPr="003C0842">
        <w:t>.</w:t>
      </w:r>
    </w:p>
    <w:p w:rsidR="00D95F23" w:rsidRPr="003C0842" w:rsidRDefault="00FA10D4" w:rsidP="00111348">
      <w:pPr>
        <w:spacing w:line="360" w:lineRule="auto"/>
        <w:ind w:firstLine="709"/>
      </w:pPr>
      <w:r w:rsidRPr="003C0842">
        <w:t>Ponad</w:t>
      </w:r>
      <w:r w:rsidR="00D95F23" w:rsidRPr="003C0842">
        <w:t>roczne prace Komitetu, złożonego wyłącznie z przedstawicieli państw reprezentowanych w Radzie, toczyły się pod ciśnieniem wydarzeń związanych ze zbliżaniem się Niemiec do Genewy. Filarem tego procesu było Locarno. Do już omówionych lub tylko zasygnalizowanych problemów te</w:t>
      </w:r>
      <w:r w:rsidR="004414E9" w:rsidRPr="003C0842">
        <w:t>j marszruty</w:t>
      </w:r>
      <w:r w:rsidR="00D95F23" w:rsidRPr="003C0842">
        <w:t xml:space="preserve"> dołączyć trzeba stale aktualizowane kwestie bezpieczeństwa i rozbrojenia. Ze względów zasadniczych, choć również taktyczno-propagandowych i oportunistycznych, były one traktowane jako najważniejsze zadanie Ligi, nierzadko sens jej istnienia. One to bowiem warunkowały realizację myśli przewodniej zawartej w pierwszych słowach preambuły Paktu. Powiedziano tam „o rozwoju współpracy międzynarodowej oraz zapewnieniu stronom układu pokoju i bezpieczeństwa”.</w:t>
      </w:r>
    </w:p>
    <w:p w:rsidR="00D95F23" w:rsidRPr="003C0842" w:rsidRDefault="00D95F23" w:rsidP="00111348">
      <w:pPr>
        <w:spacing w:line="360" w:lineRule="auto"/>
        <w:ind w:firstLine="709"/>
      </w:pPr>
      <w:r w:rsidRPr="003C0842">
        <w:lastRenderedPageBreak/>
        <w:t xml:space="preserve">Cele te otoczone były egalitarystyczną filozofią i płynącą z niej frazeologią. Genewa otwierała państwom pokonanym ogromne możliwości upowszechniania własnych żali, dowodzenia nierównoprawnego traktowania, gorszego statusu, hipokryzji. Tak jak niewyczerpane były źródła pretensji i oczekiwań, tak niezmierzone były groźby jednostronnego przekreślenia klauzul rozbrojeniowych traktatów pokojowych i wejście na szlak wyrównywania potencjału wojskowego, odpowiadającego potrzebom suwerennego państwa. Odwoływanie się do własnego, narodowego bezpieczeństwa wszędzie należało do </w:t>
      </w:r>
      <w:r w:rsidR="000766DE" w:rsidRPr="003C0842">
        <w:t>chwytliwych</w:t>
      </w:r>
      <w:r w:rsidRPr="003C0842">
        <w:t xml:space="preserve"> haseł. Był to też jeden z głównych </w:t>
      </w:r>
      <w:r w:rsidR="005F17B3" w:rsidRPr="003C0842">
        <w:t>elementów suwerenności</w:t>
      </w:r>
      <w:r w:rsidRPr="003C0842">
        <w:t xml:space="preserve">, </w:t>
      </w:r>
      <w:r w:rsidR="004414E9" w:rsidRPr="003C0842">
        <w:t>szczególnie się nadając</w:t>
      </w:r>
      <w:r w:rsidR="000766DE" w:rsidRPr="003C0842">
        <w:t>y</w:t>
      </w:r>
      <w:r w:rsidR="004414E9" w:rsidRPr="003C0842">
        <w:t xml:space="preserve"> do </w:t>
      </w:r>
      <w:r w:rsidRPr="003C0842">
        <w:t>populistyczne</w:t>
      </w:r>
      <w:r w:rsidR="004414E9" w:rsidRPr="003C0842">
        <w:t xml:space="preserve">j </w:t>
      </w:r>
      <w:r w:rsidR="000766DE" w:rsidRPr="003C0842">
        <w:t>eksploatacji.</w:t>
      </w:r>
    </w:p>
    <w:p w:rsidR="000766DE" w:rsidRPr="003C0842" w:rsidRDefault="00D95F23" w:rsidP="00111348">
      <w:pPr>
        <w:spacing w:line="360" w:lineRule="auto"/>
        <w:ind w:firstLine="709"/>
      </w:pPr>
      <w:r w:rsidRPr="003C0842">
        <w:t>Silny nacisk państw pokonanych, z najbardziej donośnym głosem niemieckim</w:t>
      </w:r>
      <w:r w:rsidR="00101315" w:rsidRPr="003C0842">
        <w:t>,</w:t>
      </w:r>
      <w:r w:rsidRPr="003C0842">
        <w:t xml:space="preserve"> wspierał się na założeniu, że każdy postęp w zakresie rozbrojenia jest równoczesnym osłabieniem przeciwników, szczególnie sąsiadów. Brane pod uwagę niepowodzenie rozbrojenia uzasadniałoby własne zbrojenia. Debaty rozbrojeniowe jawiły się jako swoista partia szachów, zdominowanych wszakże ruchami pozorującymi postęp. W interesie zwycięzców leżało takie prowadzenie </w:t>
      </w:r>
      <w:r w:rsidR="000766DE" w:rsidRPr="003C0842">
        <w:t xml:space="preserve">negocjacji, które uniemożliwiałoby </w:t>
      </w:r>
      <w:r w:rsidRPr="003C0842">
        <w:t>twierdzenie, że państwa koalicji nie wywiąz</w:t>
      </w:r>
      <w:r w:rsidR="000766DE" w:rsidRPr="003C0842">
        <w:t>ują</w:t>
      </w:r>
      <w:r w:rsidRPr="003C0842">
        <w:t xml:space="preserve"> się ze swoich obowiązków i nie realiz</w:t>
      </w:r>
      <w:r w:rsidR="000766DE" w:rsidRPr="003C0842">
        <w:t>ują</w:t>
      </w:r>
      <w:r w:rsidRPr="003C0842">
        <w:t xml:space="preserve"> celów wyznaczonych przez Pakt. </w:t>
      </w:r>
    </w:p>
    <w:p w:rsidR="00D95F23" w:rsidRPr="003C0842" w:rsidRDefault="00D95F23" w:rsidP="00111348">
      <w:pPr>
        <w:spacing w:line="360" w:lineRule="auto"/>
        <w:ind w:firstLine="709"/>
      </w:pPr>
      <w:r w:rsidRPr="003C0842">
        <w:t>Państwa rozbrojone, wspierane przez ludzi „dobrej woli”, w tym idealistów i pacyfistów, parły do wszczęcia jakichkolwiek, ale konkretnych negocjacji w ramach konferencji rozbrojeniowej. Pod ich naporem oraz w obliczu postanowionych już rozmów w Locarno, VI Zgromadzenie 25 września 1925 r. zwracało się z prośbą do Rady, aby w myśl 8 art. Paktu „przystąpiła do studiów przygotowawczych nad organizacją konferencji w sprawie redukcji i ograniczeń zbrojeń tak, aby – skoro tylko z punktu widzenia powszechnego bezpieczeństwa będą zapewnione zadowalające warunki, tak jak to przewiduje XIV rezolucja III Zgromadzenia – wspomniana konferencja została zwołana i ogólna redukcja i ograniczenie zbrojeń mogły być realizowane”</w:t>
      </w:r>
      <w:r w:rsidRPr="003C0842">
        <w:rPr>
          <w:rStyle w:val="Odwoanieprzypisudolnego"/>
          <w:rFonts w:ascii="Times New Roman" w:hAnsi="Times New Roman"/>
          <w:sz w:val="24"/>
        </w:rPr>
        <w:footnoteReference w:id="403"/>
      </w:r>
      <w:r w:rsidRPr="003C0842">
        <w:t>.</w:t>
      </w:r>
    </w:p>
    <w:p w:rsidR="00D95F23" w:rsidRPr="003C0842" w:rsidRDefault="00D95F23" w:rsidP="00111348">
      <w:pPr>
        <w:spacing w:line="360" w:lineRule="auto"/>
        <w:ind w:firstLine="709"/>
      </w:pPr>
      <w:r w:rsidRPr="003C0842">
        <w:t xml:space="preserve">Wyzierające ze słów tej rezolucji asekuranctwo liderów LN, którym spieszno było do zamknięcia najkrótszego dotąd Zgromadzenia, w niewielkim tylko stopniu zostało zarzucone podczas rozmów w Locarno. Cyzelowanie słów, wręcz </w:t>
      </w:r>
      <w:r w:rsidR="000766DE" w:rsidRPr="003C0842">
        <w:t xml:space="preserve">zdominowana </w:t>
      </w:r>
      <w:r w:rsidRPr="003C0842">
        <w:t>pustosłowi</w:t>
      </w:r>
      <w:r w:rsidR="000766DE" w:rsidRPr="003C0842">
        <w:t>em</w:t>
      </w:r>
      <w:r w:rsidRPr="003C0842">
        <w:t xml:space="preserve"> frazeologia</w:t>
      </w:r>
      <w:r w:rsidR="000766DE" w:rsidRPr="003C0842">
        <w:t>,</w:t>
      </w:r>
      <w:r w:rsidRPr="003C0842">
        <w:t xml:space="preserve"> przebija z dokumentu końcowego podpisanego 16 października 1925 r. Zauważyć trzeba jednak istotną nowość. Wprawdzie, jak trafnie zauważa Andrzej M. Brzeziński, Francuzi nie ustąpili w kwestii rozbrojenia, ale popełnili taktyczny błąd: „Niemcy </w:t>
      </w:r>
      <w:r w:rsidRPr="003C0842">
        <w:lastRenderedPageBreak/>
        <w:t>uzyskali sposobność do podjęcia legalnej akcji, której celem było wyrównanie statusu zbrojnego z państwami zwycięskimi”</w:t>
      </w:r>
      <w:r w:rsidRPr="003C0842">
        <w:rPr>
          <w:rStyle w:val="Odwoanieprzypisudolnego"/>
          <w:rFonts w:ascii="Times New Roman" w:hAnsi="Times New Roman"/>
          <w:sz w:val="24"/>
        </w:rPr>
        <w:footnoteReference w:id="404"/>
      </w:r>
      <w:r w:rsidRPr="003C0842">
        <w:t>. Status Niemiec uległ istotnej zmianie także ze względów zasadniczych. Trudno było bowiem prowadzić, nawet pozorowane rozmowy na temat bezpieczeństwa i rozbrojenia, bez czynnego udziału dużego państwa, faktycznego mocarstwa, położonego w sercu Europy, dysponującego wielkim potencjałem politycznym, gospodarczym i demograficznym.</w:t>
      </w:r>
    </w:p>
    <w:p w:rsidR="00D95F23" w:rsidRPr="003C0842" w:rsidRDefault="00D95F23" w:rsidP="00111348">
      <w:pPr>
        <w:spacing w:line="360" w:lineRule="auto"/>
        <w:ind w:firstLine="709"/>
      </w:pPr>
      <w:r w:rsidRPr="003C0842">
        <w:t>Uznanie międzynarodowej roli Niemiec towarzyszyło pracom nad składem Komisji Przygotowawczej do</w:t>
      </w:r>
      <w:r w:rsidR="00FA10D4" w:rsidRPr="003C0842">
        <w:t>Konferencji Rozbrojeniowej.</w:t>
      </w:r>
      <w:r w:rsidRPr="003C0842">
        <w:t xml:space="preserve"> Problem okazał się na tyle trudny, że najpierw Rada złożyła na barki Paul-Boncoura zadanie opracowania propozycji, nad którymi następnie dyskutowała w grudniu na posiedzeniach tajnych</w:t>
      </w:r>
      <w:r w:rsidRPr="003C0842">
        <w:rPr>
          <w:rStyle w:val="Odwoanieprzypisudolnego"/>
          <w:rFonts w:ascii="Times New Roman" w:hAnsi="Times New Roman"/>
          <w:sz w:val="24"/>
        </w:rPr>
        <w:footnoteReference w:id="405"/>
      </w:r>
      <w:r w:rsidRPr="003C0842">
        <w:t>. Propozycje Komitetu Rady uwzględniające racje prawne i geograficzne, zakładały udział Polski</w:t>
      </w:r>
      <w:r w:rsidR="002D10FB" w:rsidRPr="003C0842">
        <w:t xml:space="preserve"> –</w:t>
      </w:r>
      <w:r w:rsidRPr="003C0842">
        <w:t xml:space="preserve"> jako graniczącej z Rosją, Jugosławii – jako reprezentanta państw bałkańskich, Rumunii – jako państwa leżącego na</w:t>
      </w:r>
      <w:r w:rsidR="00C76E59" w:rsidRPr="003C0842">
        <w:t>d</w:t>
      </w:r>
      <w:r w:rsidRPr="003C0842">
        <w:t xml:space="preserve"> Morzem Czarnym i Holandii </w:t>
      </w:r>
      <w:r w:rsidR="002D10FB" w:rsidRPr="003C0842">
        <w:t xml:space="preserve">– </w:t>
      </w:r>
      <w:r w:rsidRPr="003C0842">
        <w:t xml:space="preserve">jako reprezentanta państw posiadających zamorskie kolonie, Finlandii – jako państwa bałtyckiego. Liczono się także z obecnością przedstawicieli Niemiec, Rosji i Stanów Zjednoczonych. Według tej propozycji Komisja Przygotowawcza miała liczyć 18 </w:t>
      </w:r>
      <w:r w:rsidR="00101315" w:rsidRPr="003C0842">
        <w:t>przedstawicieli państw</w:t>
      </w:r>
      <w:r w:rsidRPr="003C0842">
        <w:t xml:space="preserve">, w tym 10 </w:t>
      </w:r>
      <w:r w:rsidR="00101315" w:rsidRPr="003C0842">
        <w:t xml:space="preserve">jako </w:t>
      </w:r>
      <w:r w:rsidRPr="003C0842">
        <w:t>członków Rady</w:t>
      </w:r>
      <w:r w:rsidRPr="003C0842">
        <w:rPr>
          <w:rStyle w:val="Odwoanieprzypisudolnego"/>
          <w:rFonts w:ascii="Times New Roman" w:hAnsi="Times New Roman"/>
          <w:sz w:val="24"/>
        </w:rPr>
        <w:footnoteReference w:id="406"/>
      </w:r>
      <w:r w:rsidRPr="003C0842">
        <w:t>.</w:t>
      </w:r>
    </w:p>
    <w:p w:rsidR="00D95F23" w:rsidRPr="003C0842" w:rsidRDefault="00D95F23" w:rsidP="00111348">
      <w:pPr>
        <w:spacing w:line="360" w:lineRule="auto"/>
        <w:ind w:firstLine="709"/>
      </w:pPr>
      <w:r w:rsidRPr="003C0842">
        <w:t>Podane przez Komitet Rady kryteria musiały wywołać różne wątpliwości. Dał temu wyraz Quiñones de León z Hiszpanii</w:t>
      </w:r>
      <w:r w:rsidR="002D10FB" w:rsidRPr="003C0842">
        <w:t>,</w:t>
      </w:r>
      <w:r w:rsidRPr="003C0842">
        <w:t xml:space="preserve"> zastanawiając się, czy Portugalia nie znajduje się w analogicznej sytuacji co Holandia. Z kolei względy geograficzne skłoniły min. Scialoję do zaproponowania Turcji, której obecność wzmocniłaby reprezentację Azji. Hrabia Ishii i Chamberlain widzieliby w składzie Komisji Chiny, co jednak ze względu na ich sytuację wewnętrzną nie wydawało się możliwe. Delegat Wielkiej Brytanii zauważył też niefortunną sytuację, że Niemcy w składzie Komisji byliby adwokatami pewnej grupy państw. Sugerował dołączenie Węgier lub innego państwa rozbrojonego przez traktaty. Alberto Guani z Urugwaju upomniał się o kolejnego – po Brazylii i Urugwaju – przedstawiciela z Ameryki Łacińskiej, wskazując zwłaszcza na Meksyk, nie będący członkiem LN. Ripostował Chamberlain, któremu zbyt liczna obecność w Komisji państw nie będących członkami LN nie wydawała się słuszna. Podobnie sądził min. Benesz, który obawiał się, że w sensie liczbowym członkowie Rady zostaną zmajoryzowani przez reprezentantów innych państw. </w:t>
      </w:r>
      <w:r w:rsidRPr="003C0842">
        <w:lastRenderedPageBreak/>
        <w:t>Min</w:t>
      </w:r>
      <w:r w:rsidR="002D10FB" w:rsidRPr="003C0842">
        <w:t>ister</w:t>
      </w:r>
      <w:r w:rsidRPr="003C0842">
        <w:t xml:space="preserve"> Unden ze Szwecji obstawał, aby Niemcy w Komisji nie reprezentowały jednak państw rozbrojeniowych. Poparł go Chamberlai</w:t>
      </w:r>
      <w:r w:rsidR="00C76E59" w:rsidRPr="003C0842">
        <w:t>n i wskazał na Bułgarię. Paul-Bo</w:t>
      </w:r>
      <w:r w:rsidRPr="003C0842">
        <w:t>ncour ustąpił</w:t>
      </w:r>
      <w:r w:rsidR="002D10FB" w:rsidRPr="003C0842">
        <w:t>,</w:t>
      </w:r>
      <w:r w:rsidRPr="003C0842">
        <w:t xml:space="preserve"> chociaż wzmocniło to obóz anglosasko-niemiecki. Dłuższą chwilę dyskutowano nad formą zaproszenia Niemiec, Stanów Zjednoczonych i Rosji. Chamberlaina nie martwiła możliwość odmowy udziału w pracach Komisji ze strony rządu rosyjskiego. Zastanawiał się natomiast nad konsekwencjami takiego kroku ze strony Ameryki. Nie wykluczano nawet szantażu i odmowę udziału w prowadzonych wówczas rozmowach dotyczących rozbrojenia morskiego, które były kontynuacją konferencji waszyngtońskiej</w:t>
      </w:r>
      <w:r w:rsidRPr="003C0842">
        <w:rPr>
          <w:rStyle w:val="Odwoanieprzypisudolnego"/>
          <w:rFonts w:ascii="Times New Roman" w:hAnsi="Times New Roman"/>
          <w:sz w:val="24"/>
        </w:rPr>
        <w:footnoteReference w:id="407"/>
      </w:r>
      <w:r w:rsidRPr="003C0842">
        <w:t>.</w:t>
      </w:r>
    </w:p>
    <w:p w:rsidR="00D95F23" w:rsidRPr="003C0842" w:rsidRDefault="00101315" w:rsidP="00111348">
      <w:pPr>
        <w:spacing w:line="360" w:lineRule="auto"/>
        <w:ind w:firstLine="709"/>
      </w:pPr>
      <w:r w:rsidRPr="003C0842">
        <w:t>Przedstawiona</w:t>
      </w:r>
      <w:r w:rsidR="00D95F23" w:rsidRPr="003C0842">
        <w:t xml:space="preserve"> nieco szerzej </w:t>
      </w:r>
      <w:r w:rsidRPr="003C0842">
        <w:t>wymiana opinii</w:t>
      </w:r>
      <w:r w:rsidR="00D95F23" w:rsidRPr="003C0842">
        <w:t xml:space="preserve"> podczas tajnego spotkaniu Rady uzmysławia i uwypukla wielką złożoność każdego elementu wchodzącego w zakres pojęcia rozbrojenie, nawet jeśli w grę nie wchodziły kwestie merytoryczne, jak chociażby wielkość sił zbrojnych i jego rodzajów, rezerw wyszkolonych i sił paramilitarnych, budżetów.</w:t>
      </w:r>
    </w:p>
    <w:p w:rsidR="00D95F23" w:rsidRPr="003C0842" w:rsidRDefault="00D95F23" w:rsidP="00111348">
      <w:pPr>
        <w:spacing w:line="360" w:lineRule="auto"/>
        <w:ind w:firstLine="709"/>
      </w:pPr>
      <w:r w:rsidRPr="003C0842">
        <w:t xml:space="preserve">Uzgodnione wnioski znalazły się na sesji publicznej, gdzie 12 grudnia 1925 r. doszło do utworzenia Komisji Przygotowawczej do Konferencji Rozbrojeniowej. Propagandowy głównie sens miał zapis, że pierwsza sesja odbędzie się już 15 lutego 1926 r. Przygotowania do Nadzwyczajnego Zgromadzenia związanego z przyjęciem Niemiec okazały się najważniejsze i dostatecznie ambarasujące. Niejasne były też stanowiska dwóch pozaligowych mocarstw – Stanów Zjednoczonych i </w:t>
      </w:r>
      <w:r w:rsidR="00101315" w:rsidRPr="003C0842">
        <w:t>ZSRR</w:t>
      </w:r>
      <w:r w:rsidRPr="003C0842">
        <w:t>. Bez ich aktywnego udziału wszczynanie globalnie zarysowanych prac rozbrojeniowych to okazja do krytyki i kpin. Z drugiej strony „ociąganie” się dwóch wielkich mocarstw z poparciem dla inicjatyw rozbrojeniowych Ligi mogło mieć także polityczną cenę. Świeżej nadal pamięci o „wielkiej wojnie” towarzyszyło eksponowanie własnych</w:t>
      </w:r>
      <w:r w:rsidR="00222733" w:rsidRPr="003C0842">
        <w:t>,</w:t>
      </w:r>
      <w:r w:rsidRPr="003C0842">
        <w:t xml:space="preserve"> autonomicznych względem Genewy działań rozbrojeniowych. Wśród nich były nawet </w:t>
      </w:r>
      <w:r w:rsidR="00101315" w:rsidRPr="003C0842">
        <w:t xml:space="preserve">– jak to już wiemy </w:t>
      </w:r>
      <w:r w:rsidR="00164234" w:rsidRPr="003C0842">
        <w:t>–</w:t>
      </w:r>
      <w:r w:rsidRPr="003C0842">
        <w:t xml:space="preserve">osobne konferencje rozbrojeniowe zorganizowane w Waszyngtonie i Moskwie, niemal w jednakowym czasie. Można je uznać za swoistą dywersję wobec Ligi i jej głównych zadań w wydaniu wielkich państw, kwestionujących sens jej istnienia. </w:t>
      </w:r>
    </w:p>
    <w:p w:rsidR="00D95F23" w:rsidRPr="003C0842" w:rsidRDefault="00D95F23" w:rsidP="00111348">
      <w:pPr>
        <w:spacing w:line="360" w:lineRule="auto"/>
        <w:ind w:firstLine="709"/>
      </w:pPr>
      <w:r w:rsidRPr="003C0842">
        <w:t>Dla stosunków niemiecko-rosyjskich, Europy i Ligi</w:t>
      </w:r>
      <w:r w:rsidR="00222733" w:rsidRPr="003C0842">
        <w:t>,</w:t>
      </w:r>
      <w:r w:rsidRPr="003C0842">
        <w:t xml:space="preserve"> specjalne znaczenie miała konferencja w Moskwie (tylko 7 delegacji</w:t>
      </w:r>
      <w:r w:rsidR="00DD6CDC" w:rsidRPr="003C0842">
        <w:t>!</w:t>
      </w:r>
      <w:r w:rsidRPr="003C0842">
        <w:t>), ważna z powodu pojawienia się radykalnych propozycji radzieckich, m.in. zmniejszenia sił lądowych o 75%, określenie wielkości wydatków na wojsko, a także polskiego głosu wołającego o „rozbrojenie moralne”</w:t>
      </w:r>
      <w:r w:rsidRPr="003C0842">
        <w:rPr>
          <w:rStyle w:val="Odwoanieprzypisudolnego"/>
          <w:rFonts w:ascii="Times New Roman" w:hAnsi="Times New Roman"/>
          <w:sz w:val="24"/>
        </w:rPr>
        <w:footnoteReference w:id="408"/>
      </w:r>
      <w:r w:rsidRPr="003C0842">
        <w:t xml:space="preserve">. </w:t>
      </w:r>
      <w:r w:rsidRPr="003C0842">
        <w:lastRenderedPageBreak/>
        <w:t>Nieporównanie większy rozgłos</w:t>
      </w:r>
      <w:r w:rsidR="00101315" w:rsidRPr="003C0842">
        <w:t xml:space="preserve"> miała</w:t>
      </w:r>
      <w:r w:rsidRPr="003C0842">
        <w:t xml:space="preserve"> konferencja waszyngtońska otwarta 11 listopada 1921 r.</w:t>
      </w:r>
      <w:r w:rsidR="002D10FB" w:rsidRPr="003C0842">
        <w:t>,</w:t>
      </w:r>
      <w:r w:rsidRPr="003C0842">
        <w:t xml:space="preserve"> w rocznicę rozejmu z Niemcami. Chociaż główne jej cele leżały na Dalekim Wschodzie i Oceanie Spokojnym, to jednak zdołano też podpisać 6 lutego 1922 r. układ ograniczający zbrojenia morskie. Obejmował on 5 mocarstw – USA, </w:t>
      </w:r>
      <w:r w:rsidR="003008B2" w:rsidRPr="003C0842">
        <w:t>Wielkiej</w:t>
      </w:r>
      <w:r w:rsidRPr="003C0842">
        <w:t xml:space="preserve"> Brytanię, Japonię, Francję i Włochy, których potencjał gospodarczy określał udział w podziale tonażu flot liniowych w propor</w:t>
      </w:r>
      <w:r w:rsidR="002D10FB" w:rsidRPr="003C0842">
        <w:t>cjach (odpowiednio) 5</w:t>
      </w:r>
      <w:r w:rsidR="002D10FB" w:rsidRPr="003C0842">
        <w:rPr>
          <w:spacing w:val="20"/>
        </w:rPr>
        <w:t>:5:3:</w:t>
      </w:r>
      <w:r w:rsidR="002D10FB" w:rsidRPr="003C0842">
        <w:t>1,7</w:t>
      </w:r>
      <w:r w:rsidR="002D10FB" w:rsidRPr="003C0842">
        <w:rPr>
          <w:spacing w:val="20"/>
        </w:rPr>
        <w:t>5:</w:t>
      </w:r>
      <w:r w:rsidRPr="003C0842">
        <w:t>1,75. Gospodarze reklamowali wyniki porozumienia jako wielki sukces wytyczający światu drogę do efektywnego rozbrojenia</w:t>
      </w:r>
      <w:r w:rsidRPr="003C0842">
        <w:rPr>
          <w:rStyle w:val="Odwoanieprzypisudolnego"/>
          <w:rFonts w:ascii="Times New Roman" w:hAnsi="Times New Roman"/>
          <w:sz w:val="24"/>
        </w:rPr>
        <w:footnoteReference w:id="409"/>
      </w:r>
      <w:r w:rsidRPr="003C0842">
        <w:t xml:space="preserve">. </w:t>
      </w:r>
    </w:p>
    <w:p w:rsidR="00D95F23" w:rsidRPr="003C0842" w:rsidRDefault="00D95F23" w:rsidP="00111348">
      <w:pPr>
        <w:spacing w:line="360" w:lineRule="auto"/>
        <w:ind w:firstLine="709"/>
      </w:pPr>
      <w:r w:rsidRPr="003C0842">
        <w:t xml:space="preserve">Dyplomacja Stanów Zjednoczonych nie skrywała, że jest za wydzieleniem problematyki morskiej z ogólnego programu prac nad rozbrojeniem. Rachuby na pozytywne wyniki w obszarze dostępnym dla niewielkiej liczby państw były bardziej realistyczne niż w przypadku sił lądowych. Sekretarz </w:t>
      </w:r>
      <w:r w:rsidR="00413C94" w:rsidRPr="003C0842">
        <w:t>s</w:t>
      </w:r>
      <w:r w:rsidRPr="003C0842">
        <w:t>tanu Kellogg</w:t>
      </w:r>
      <w:r w:rsidR="002D10FB" w:rsidRPr="003C0842">
        <w:t>,</w:t>
      </w:r>
      <w:r w:rsidRPr="003C0842">
        <w:t xml:space="preserve"> informując 30 stycznia 1926 r. o planowanym udziale Stanów Zjednoczonych w Konferencji Przygotowawczej</w:t>
      </w:r>
      <w:r w:rsidR="002D10FB" w:rsidRPr="003C0842">
        <w:t>,</w:t>
      </w:r>
      <w:r w:rsidRPr="003C0842">
        <w:t xml:space="preserve"> podkreślał, głównie pro foro interno, jej wstępny, właśnie przygotowawczy charakter. Ponadczasową wymowę miało stwierdzenie, że Stany</w:t>
      </w:r>
      <w:r w:rsidR="002D10FB" w:rsidRPr="003C0842">
        <w:t>,</w:t>
      </w:r>
      <w:r w:rsidRPr="003C0842">
        <w:t xml:space="preserve"> nie będąc członkiem Ligi</w:t>
      </w:r>
      <w:r w:rsidR="00222733" w:rsidRPr="003C0842">
        <w:t>,</w:t>
      </w:r>
      <w:r w:rsidRPr="003C0842">
        <w:t xml:space="preserve"> nie mogą angażować się w rozwiązania, które wymuszałyby posłużenie się procedurą ligową, jej instytucjami czy agendami. Zastrzeżenia te były </w:t>
      </w:r>
      <w:r w:rsidR="00DD6CDC" w:rsidRPr="003C0842">
        <w:t>przyjmowane ze</w:t>
      </w:r>
      <w:r w:rsidR="00222733" w:rsidRPr="003C0842">
        <w:t>świadomością</w:t>
      </w:r>
      <w:r w:rsidRPr="003C0842">
        <w:t xml:space="preserve"> dużego wyczulenia amerykańskiej opinii publicznej na tle ich izolacjonizmu, a już szczególnie kontaktów z LN. </w:t>
      </w:r>
    </w:p>
    <w:p w:rsidR="00D95F23" w:rsidRPr="003C0842" w:rsidRDefault="00D95F23" w:rsidP="00111348">
      <w:pPr>
        <w:spacing w:line="360" w:lineRule="auto"/>
        <w:ind w:firstLine="709"/>
      </w:pPr>
      <w:r w:rsidRPr="003C0842">
        <w:t xml:space="preserve">Do niechętnego Lidze społeczeństwa wysyłano też sygnały, że całkowicie bezpieczna i najsilniejsza na świecie Ameryka mogłaby nawet ograniczyć swoje zbrojenia, co zmniejszyłoby podatki. Ponadto ograniczenie zbrojeń </w:t>
      </w:r>
      <w:r w:rsidR="00222733" w:rsidRPr="003C0842">
        <w:t xml:space="preserve">miało </w:t>
      </w:r>
      <w:r w:rsidRPr="003C0842">
        <w:t>ułatwi</w:t>
      </w:r>
      <w:r w:rsidR="00222733" w:rsidRPr="003C0842">
        <w:t>ć</w:t>
      </w:r>
      <w:r w:rsidRPr="003C0842">
        <w:t xml:space="preserve"> sytuację dłużników z Europy</w:t>
      </w:r>
      <w:r w:rsidR="00222733" w:rsidRPr="003C0842">
        <w:t>,</w:t>
      </w:r>
      <w:r w:rsidRPr="003C0842">
        <w:t xml:space="preserve"> mających kłopoty ze spłatą pożyczek na prowadzenie wojny. Wpłynęłoby to na wzrost dobrobytu USA i jego obywateli. Nie zmienia to zarazem faktu, który podnosi PrzemysławŻurawski vel Grajewski, że Stany Zjednoczone musiały zapewnić sobie w dyskusjach nad rozbrojeniem „pod każdym względem pozycję mocarstwa pierwszej rangi”. Cel ten chciano osiągnąć najmniejszym kosztem w sferze społecznej, silnie uczulonej na różne „ułomności” Ligi, choćby równościową frazeologią</w:t>
      </w:r>
      <w:r w:rsidRPr="003C0842">
        <w:rPr>
          <w:rStyle w:val="Odwoanieprzypisudolnego"/>
          <w:rFonts w:ascii="Times New Roman" w:hAnsi="Times New Roman"/>
          <w:sz w:val="24"/>
        </w:rPr>
        <w:footnoteReference w:id="410"/>
      </w:r>
      <w:r w:rsidRPr="003C0842">
        <w:t>.</w:t>
      </w:r>
    </w:p>
    <w:p w:rsidR="00D95F23" w:rsidRPr="003C0842" w:rsidRDefault="00D95F23" w:rsidP="00111348">
      <w:pPr>
        <w:spacing w:line="360" w:lineRule="auto"/>
        <w:ind w:firstLine="709"/>
      </w:pPr>
      <w:r w:rsidRPr="003C0842">
        <w:t xml:space="preserve">Egalitaryzm wywołujący w Stanach alergiczne nierzadko reakcje był jednocześnie ulubionym sloganem Niemców, którzy parli do rozpoczęcia dyskusji rozbrojeniowych. Były one upowszechniane z </w:t>
      </w:r>
      <w:r w:rsidR="00222733" w:rsidRPr="003C0842">
        <w:t>rachubami</w:t>
      </w:r>
      <w:r w:rsidRPr="003C0842">
        <w:t xml:space="preserve"> na lepszą przyszłość rozumianą przeróżnie, najczęściej jednak w duchu powrotu „dawnych czasów”. Tęsknoty te personifikował feldmarszałek i monarchista Hindenburg, który w kwietniu 1925 r. został wybrany</w:t>
      </w:r>
      <w:r w:rsidR="002D10FB" w:rsidRPr="003C0842">
        <w:t xml:space="preserve"> na</w:t>
      </w:r>
      <w:r w:rsidRPr="003C0842">
        <w:t xml:space="preserve"> prezydent</w:t>
      </w:r>
      <w:r w:rsidR="002D10FB" w:rsidRPr="003C0842">
        <w:t>a</w:t>
      </w:r>
      <w:r w:rsidRPr="003C0842">
        <w:t xml:space="preserve"> Republiki </w:t>
      </w:r>
      <w:r w:rsidRPr="003C0842">
        <w:lastRenderedPageBreak/>
        <w:t xml:space="preserve">Weimarskiej. Jak o tym napisano już wyżej uchodził on we frankofońskich kręgach Sekretariatu </w:t>
      </w:r>
      <w:r w:rsidR="002D10FB" w:rsidRPr="003C0842">
        <w:t>za</w:t>
      </w:r>
      <w:r w:rsidRPr="003C0842">
        <w:t xml:space="preserve"> „wcielenie pruskiego honoru wojskowego”. Sukcesy jednego z najbardziej znanych wojskowych z lat I wojny światowej zaświadczały o stosunku wyborców do munduru i utożsamianego z nim militaryzmu. W czasie kampanii wyborczej i przez kolejne lata prezydentury feldmarszałka wynoszono na piedestał bohaterstwo żołnierza walczącego do ostatka, dzięki czemu armia zdołała ochronić ojczyznę przed obcą inwazją. Jeśli pojawiała się przegrana, t</w:t>
      </w:r>
      <w:r w:rsidR="005C54FE" w:rsidRPr="003C0842">
        <w:t>o jako skutek „ciosu w plecy” (</w:t>
      </w:r>
      <w:r w:rsidR="005C54FE" w:rsidRPr="003C0842">
        <w:rPr>
          <w:i/>
        </w:rPr>
        <w:t>D</w:t>
      </w:r>
      <w:r w:rsidRPr="003C0842">
        <w:rPr>
          <w:i/>
        </w:rPr>
        <w:t>olchstoss</w:t>
      </w:r>
      <w:r w:rsidRPr="003C0842">
        <w:t>) zadanego przez cywilów, ze wskazaniem na socjaldemokratów, bolszewików, a zwłaszcza Żydów</w:t>
      </w:r>
      <w:r w:rsidRPr="003C0842">
        <w:rPr>
          <w:rStyle w:val="Odwoanieprzypisudolnego"/>
          <w:rFonts w:ascii="Times New Roman" w:hAnsi="Times New Roman"/>
          <w:sz w:val="24"/>
        </w:rPr>
        <w:footnoteReference w:id="411"/>
      </w:r>
      <w:r w:rsidRPr="003C0842">
        <w:t>.</w:t>
      </w:r>
    </w:p>
    <w:p w:rsidR="00BD56B3" w:rsidRDefault="00D95F23" w:rsidP="00111348">
      <w:pPr>
        <w:spacing w:line="360" w:lineRule="auto"/>
        <w:ind w:firstLine="709"/>
      </w:pPr>
      <w:r w:rsidRPr="003C0842">
        <w:t>Niemcy zabiegali o traktowanie rozbrojenia jako kwestii technicznej. Świat, Europa, a zwłaszcza sąsiedzi mieli dostosować siły wojskowe do poziomu narzuconego przez traktaty pokojowe. Lansowano również inne projekty, w których zmiany zawsze prowadziły do podniesienia stanów liczbowych armii państw rozbrojonych. Przykładu dostarcza propozycja gen. Adolfa Montgelasa, hrabiego i dyplomaty, który w styczniu 1926 r. na łamach „Der Deutsche Gedanke” proponował istotną redukcję sił wojskowych państw ważnych z niemieckiego punktu widzenia. Pod hasłem równości Niemcy uzyskać mieli podwojenie stanu swojej armii do poziomu zredukowanej armii francuskiej. Bardzo poważnie też miały być zredukowane siły francuskie sojuszników, których stany miały być obliczane proporcjonalnie do liczby ludności.</w:t>
      </w:r>
    </w:p>
    <w:p w:rsidR="00D95F23" w:rsidRPr="003C0842" w:rsidRDefault="00D95F23" w:rsidP="00111348">
      <w:pPr>
        <w:spacing w:line="360" w:lineRule="auto"/>
        <w:ind w:firstLine="709"/>
      </w:pPr>
    </w:p>
    <w:p w:rsidR="00D95F23" w:rsidRPr="003C0842" w:rsidRDefault="00D95F23" w:rsidP="00111348">
      <w:pPr>
        <w:spacing w:line="360" w:lineRule="auto"/>
        <w:ind w:firstLine="709"/>
      </w:pPr>
      <w:r w:rsidRPr="003C0842">
        <w:t>Planowany stan sił zbrojnych w wybranych państwach w 1926 r.</w:t>
      </w:r>
      <w:r w:rsidRPr="003C0842">
        <w:rPr>
          <w:rStyle w:val="Odwoanieprzypisudolnego"/>
          <w:rFonts w:ascii="Times New Roman" w:hAnsi="Times New Roman"/>
          <w:sz w:val="24"/>
        </w:rPr>
        <w:footnoteReference w:id="412"/>
      </w:r>
    </w:p>
    <w:p w:rsidR="00D95F23" w:rsidRPr="003C0842" w:rsidRDefault="00D95F23" w:rsidP="00111348">
      <w:pPr>
        <w:spacing w:line="360" w:lineRule="auto"/>
        <w:ind w:firstLine="709"/>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053"/>
        <w:gridCol w:w="2161"/>
        <w:gridCol w:w="2449"/>
        <w:gridCol w:w="1874"/>
      </w:tblGrid>
      <w:tr w:rsidR="00D95F23" w:rsidRPr="003C0842">
        <w:tc>
          <w:tcPr>
            <w:tcW w:w="2053" w:type="dxa"/>
            <w:vAlign w:val="center"/>
          </w:tcPr>
          <w:p w:rsidR="00D95F23" w:rsidRPr="003C0842" w:rsidRDefault="00D95F23" w:rsidP="002D10FB">
            <w:pPr>
              <w:spacing w:line="360" w:lineRule="auto"/>
              <w:ind w:firstLine="0"/>
              <w:jc w:val="center"/>
            </w:pPr>
            <w:r w:rsidRPr="003C0842">
              <w:t>Państwo</w:t>
            </w:r>
          </w:p>
        </w:tc>
        <w:tc>
          <w:tcPr>
            <w:tcW w:w="2161" w:type="dxa"/>
            <w:vAlign w:val="center"/>
          </w:tcPr>
          <w:p w:rsidR="00D95F23" w:rsidRPr="003C0842" w:rsidRDefault="00D95F23" w:rsidP="002D10FB">
            <w:pPr>
              <w:spacing w:line="360" w:lineRule="auto"/>
              <w:ind w:firstLine="0"/>
              <w:jc w:val="center"/>
            </w:pPr>
            <w:r w:rsidRPr="003C0842">
              <w:t>Ludność</w:t>
            </w:r>
            <w:r w:rsidR="002D10FB" w:rsidRPr="003C0842">
              <w:br/>
              <w:t>[</w:t>
            </w:r>
            <w:r w:rsidRPr="003C0842">
              <w:t>w mln</w:t>
            </w:r>
            <w:r w:rsidR="002D10FB" w:rsidRPr="003C0842">
              <w:t>]</w:t>
            </w:r>
          </w:p>
        </w:tc>
        <w:tc>
          <w:tcPr>
            <w:tcW w:w="2449" w:type="dxa"/>
            <w:vAlign w:val="center"/>
          </w:tcPr>
          <w:p w:rsidR="00D95F23" w:rsidRPr="003C0842" w:rsidRDefault="00D95F23" w:rsidP="002D10FB">
            <w:pPr>
              <w:spacing w:line="360" w:lineRule="auto"/>
              <w:ind w:firstLine="0"/>
              <w:jc w:val="center"/>
            </w:pPr>
            <w:r w:rsidRPr="003C0842">
              <w:t>Stan sił zbrojnych 1926 r.</w:t>
            </w:r>
          </w:p>
        </w:tc>
        <w:tc>
          <w:tcPr>
            <w:tcW w:w="1874" w:type="dxa"/>
            <w:vAlign w:val="center"/>
          </w:tcPr>
          <w:p w:rsidR="002D10FB" w:rsidRPr="003C0842" w:rsidRDefault="00D95F23" w:rsidP="002D10FB">
            <w:pPr>
              <w:spacing w:line="360" w:lineRule="auto"/>
              <w:ind w:firstLine="0"/>
              <w:jc w:val="center"/>
            </w:pPr>
            <w:r w:rsidRPr="003C0842">
              <w:t xml:space="preserve">Zmiana </w:t>
            </w:r>
          </w:p>
          <w:p w:rsidR="00D95F23" w:rsidRPr="003C0842" w:rsidRDefault="002D10FB" w:rsidP="002D10FB">
            <w:pPr>
              <w:spacing w:line="360" w:lineRule="auto"/>
              <w:ind w:firstLine="0"/>
              <w:jc w:val="center"/>
            </w:pPr>
            <w:r w:rsidRPr="003C0842">
              <w:t>[</w:t>
            </w:r>
            <w:r w:rsidR="00D95F23" w:rsidRPr="003C0842">
              <w:t>%</w:t>
            </w:r>
            <w:r w:rsidRPr="003C0842">
              <w:t>]</w:t>
            </w:r>
          </w:p>
        </w:tc>
      </w:tr>
      <w:tr w:rsidR="00D95F23" w:rsidRPr="003C0842">
        <w:tc>
          <w:tcPr>
            <w:tcW w:w="2053" w:type="dxa"/>
          </w:tcPr>
          <w:p w:rsidR="00D95F23" w:rsidRPr="003C0842" w:rsidRDefault="00D95F23" w:rsidP="002D10FB">
            <w:pPr>
              <w:spacing w:line="360" w:lineRule="auto"/>
              <w:ind w:firstLine="0"/>
            </w:pPr>
            <w:r w:rsidRPr="003C0842">
              <w:t>Niemcy</w:t>
            </w:r>
          </w:p>
          <w:p w:rsidR="00D95F23" w:rsidRPr="003C0842" w:rsidRDefault="00D95F23" w:rsidP="002D10FB">
            <w:pPr>
              <w:spacing w:line="360" w:lineRule="auto"/>
              <w:ind w:firstLine="0"/>
            </w:pPr>
            <w:r w:rsidRPr="003C0842">
              <w:t>Francja*</w:t>
            </w:r>
          </w:p>
          <w:p w:rsidR="00D95F23" w:rsidRPr="003C0842" w:rsidRDefault="00D95F23" w:rsidP="002D10FB">
            <w:pPr>
              <w:spacing w:line="360" w:lineRule="auto"/>
              <w:ind w:firstLine="0"/>
            </w:pPr>
            <w:r w:rsidRPr="003C0842">
              <w:t>Włochy</w:t>
            </w:r>
          </w:p>
          <w:p w:rsidR="00D95F23" w:rsidRPr="003C0842" w:rsidRDefault="00D95F23" w:rsidP="002D10FB">
            <w:pPr>
              <w:spacing w:line="360" w:lineRule="auto"/>
              <w:ind w:firstLine="0"/>
            </w:pPr>
            <w:r w:rsidRPr="003C0842">
              <w:t>Belgia*</w:t>
            </w:r>
          </w:p>
          <w:p w:rsidR="00D95F23" w:rsidRPr="003C0842" w:rsidRDefault="00D95F23" w:rsidP="002D10FB">
            <w:pPr>
              <w:spacing w:line="360" w:lineRule="auto"/>
              <w:ind w:firstLine="0"/>
            </w:pPr>
            <w:r w:rsidRPr="003C0842">
              <w:t>Czechosł</w:t>
            </w:r>
            <w:r w:rsidR="002D10FB" w:rsidRPr="003C0842">
              <w:t>owacja</w:t>
            </w:r>
          </w:p>
          <w:p w:rsidR="00D95F23" w:rsidRPr="003C0842" w:rsidRDefault="00D95F23" w:rsidP="002D10FB">
            <w:pPr>
              <w:spacing w:line="360" w:lineRule="auto"/>
              <w:ind w:firstLine="0"/>
            </w:pPr>
            <w:r w:rsidRPr="003C0842">
              <w:t>Polska</w:t>
            </w:r>
          </w:p>
          <w:p w:rsidR="00D95F23" w:rsidRPr="003C0842" w:rsidRDefault="00D95F23" w:rsidP="002D10FB">
            <w:pPr>
              <w:spacing w:line="360" w:lineRule="auto"/>
              <w:ind w:firstLine="0"/>
            </w:pPr>
            <w:r w:rsidRPr="003C0842">
              <w:t>Jugosławia</w:t>
            </w:r>
          </w:p>
          <w:p w:rsidR="00D95F23" w:rsidRPr="003C0842" w:rsidRDefault="00D95F23" w:rsidP="002D10FB">
            <w:pPr>
              <w:spacing w:line="360" w:lineRule="auto"/>
              <w:ind w:firstLine="0"/>
            </w:pPr>
            <w:r w:rsidRPr="003C0842">
              <w:t>Rumunia</w:t>
            </w:r>
          </w:p>
        </w:tc>
        <w:tc>
          <w:tcPr>
            <w:tcW w:w="2161" w:type="dxa"/>
          </w:tcPr>
          <w:p w:rsidR="00D95F23" w:rsidRPr="003C0842" w:rsidRDefault="00D95F23" w:rsidP="00111348">
            <w:pPr>
              <w:spacing w:line="360" w:lineRule="auto"/>
              <w:jc w:val="center"/>
            </w:pPr>
            <w:r w:rsidRPr="003C0842">
              <w:t>60</w:t>
            </w:r>
          </w:p>
          <w:p w:rsidR="00D95F23" w:rsidRPr="003C0842" w:rsidRDefault="00D95F23" w:rsidP="00111348">
            <w:pPr>
              <w:spacing w:line="360" w:lineRule="auto"/>
              <w:jc w:val="center"/>
            </w:pPr>
            <w:r w:rsidRPr="003C0842">
              <w:t>60 (40,5)</w:t>
            </w:r>
          </w:p>
          <w:p w:rsidR="00D95F23" w:rsidRPr="003C0842" w:rsidRDefault="00D95F23" w:rsidP="00111348">
            <w:pPr>
              <w:spacing w:line="360" w:lineRule="auto"/>
              <w:jc w:val="center"/>
            </w:pPr>
            <w:r w:rsidRPr="003C0842">
              <w:t>40</w:t>
            </w:r>
          </w:p>
          <w:p w:rsidR="00D95F23" w:rsidRPr="003C0842" w:rsidRDefault="00D95F23" w:rsidP="00111348">
            <w:pPr>
              <w:spacing w:line="360" w:lineRule="auto"/>
              <w:jc w:val="center"/>
            </w:pPr>
            <w:r w:rsidRPr="003C0842">
              <w:t>14,5</w:t>
            </w:r>
          </w:p>
          <w:p w:rsidR="00D95F23" w:rsidRPr="003C0842" w:rsidRDefault="00D95F23" w:rsidP="00111348">
            <w:pPr>
              <w:spacing w:line="360" w:lineRule="auto"/>
              <w:jc w:val="center"/>
            </w:pPr>
            <w:r w:rsidRPr="003C0842">
              <w:t>13,5</w:t>
            </w:r>
          </w:p>
          <w:p w:rsidR="00D95F23" w:rsidRPr="003C0842" w:rsidRDefault="00D95F23" w:rsidP="00111348">
            <w:pPr>
              <w:spacing w:line="360" w:lineRule="auto"/>
              <w:jc w:val="center"/>
            </w:pPr>
            <w:r w:rsidRPr="003C0842">
              <w:t>27</w:t>
            </w:r>
          </w:p>
          <w:p w:rsidR="00D95F23" w:rsidRPr="003C0842" w:rsidRDefault="00D95F23" w:rsidP="00111348">
            <w:pPr>
              <w:spacing w:line="360" w:lineRule="auto"/>
              <w:jc w:val="center"/>
            </w:pPr>
            <w:r w:rsidRPr="003C0842">
              <w:t>12</w:t>
            </w:r>
          </w:p>
          <w:p w:rsidR="00D95F23" w:rsidRPr="003C0842" w:rsidRDefault="00D95F23" w:rsidP="00111348">
            <w:pPr>
              <w:spacing w:line="360" w:lineRule="auto"/>
              <w:jc w:val="center"/>
            </w:pPr>
            <w:r w:rsidRPr="003C0842">
              <w:t>17,4</w:t>
            </w:r>
          </w:p>
        </w:tc>
        <w:tc>
          <w:tcPr>
            <w:tcW w:w="2449" w:type="dxa"/>
          </w:tcPr>
          <w:p w:rsidR="00D95F23" w:rsidRPr="003C0842" w:rsidRDefault="00D95F23" w:rsidP="00111348">
            <w:pPr>
              <w:spacing w:line="360" w:lineRule="auto"/>
              <w:jc w:val="center"/>
            </w:pPr>
            <w:r w:rsidRPr="003C0842">
              <w:t>200000</w:t>
            </w:r>
          </w:p>
          <w:p w:rsidR="00D95F23" w:rsidRPr="003C0842" w:rsidRDefault="00D95F23" w:rsidP="00111348">
            <w:pPr>
              <w:spacing w:line="360" w:lineRule="auto"/>
              <w:jc w:val="center"/>
            </w:pPr>
            <w:r w:rsidRPr="003C0842">
              <w:t>200000</w:t>
            </w:r>
          </w:p>
          <w:p w:rsidR="00D95F23" w:rsidRPr="003C0842" w:rsidRDefault="00D95F23" w:rsidP="00111348">
            <w:pPr>
              <w:spacing w:line="360" w:lineRule="auto"/>
              <w:jc w:val="center"/>
            </w:pPr>
            <w:r w:rsidRPr="003C0842">
              <w:t>133000</w:t>
            </w:r>
          </w:p>
          <w:p w:rsidR="00D95F23" w:rsidRPr="003C0842" w:rsidRDefault="00D95F23" w:rsidP="00111348">
            <w:pPr>
              <w:spacing w:line="360" w:lineRule="auto"/>
              <w:jc w:val="center"/>
            </w:pPr>
            <w:r w:rsidRPr="003C0842">
              <w:t>48000</w:t>
            </w:r>
          </w:p>
          <w:p w:rsidR="00D95F23" w:rsidRPr="003C0842" w:rsidRDefault="00D95F23" w:rsidP="00111348">
            <w:pPr>
              <w:spacing w:line="360" w:lineRule="auto"/>
              <w:jc w:val="center"/>
            </w:pPr>
            <w:r w:rsidRPr="003C0842">
              <w:t>45000</w:t>
            </w:r>
          </w:p>
          <w:p w:rsidR="00D95F23" w:rsidRPr="003C0842" w:rsidRDefault="00D95F23" w:rsidP="00111348">
            <w:pPr>
              <w:spacing w:line="360" w:lineRule="auto"/>
              <w:jc w:val="center"/>
            </w:pPr>
            <w:r w:rsidRPr="003C0842">
              <w:t>90000</w:t>
            </w:r>
          </w:p>
          <w:p w:rsidR="00D95F23" w:rsidRPr="003C0842" w:rsidRDefault="00D95F23" w:rsidP="00111348">
            <w:pPr>
              <w:spacing w:line="360" w:lineRule="auto"/>
              <w:jc w:val="center"/>
            </w:pPr>
            <w:r w:rsidRPr="003C0842">
              <w:t>40000</w:t>
            </w:r>
          </w:p>
          <w:p w:rsidR="00D95F23" w:rsidRPr="003C0842" w:rsidRDefault="00D95F23" w:rsidP="00111348">
            <w:pPr>
              <w:spacing w:line="360" w:lineRule="auto"/>
              <w:jc w:val="center"/>
            </w:pPr>
            <w:r w:rsidRPr="003C0842">
              <w:t>58 000</w:t>
            </w:r>
          </w:p>
        </w:tc>
        <w:tc>
          <w:tcPr>
            <w:tcW w:w="1874" w:type="dxa"/>
          </w:tcPr>
          <w:p w:rsidR="00D95F23" w:rsidRPr="003C0842" w:rsidRDefault="00D95F23" w:rsidP="00111348">
            <w:pPr>
              <w:spacing w:line="360" w:lineRule="auto"/>
              <w:jc w:val="center"/>
            </w:pPr>
            <w:r w:rsidRPr="003C0842">
              <w:t>+100</w:t>
            </w:r>
          </w:p>
          <w:p w:rsidR="00D95F23" w:rsidRPr="003C0842" w:rsidRDefault="00D95F23" w:rsidP="00111348">
            <w:pPr>
              <w:spacing w:line="360" w:lineRule="auto"/>
              <w:jc w:val="center"/>
            </w:pPr>
            <w:r w:rsidRPr="003C0842">
              <w:t>–285</w:t>
            </w:r>
          </w:p>
          <w:p w:rsidR="00D95F23" w:rsidRPr="003C0842" w:rsidRDefault="00D95F23" w:rsidP="00111348">
            <w:pPr>
              <w:spacing w:line="360" w:lineRule="auto"/>
              <w:jc w:val="center"/>
            </w:pPr>
            <w:r w:rsidRPr="003C0842">
              <w:t>–</w:t>
            </w:r>
          </w:p>
          <w:p w:rsidR="00D95F23" w:rsidRPr="003C0842" w:rsidRDefault="00D95F23" w:rsidP="00111348">
            <w:pPr>
              <w:spacing w:line="360" w:lineRule="auto"/>
              <w:jc w:val="center"/>
            </w:pPr>
            <w:r w:rsidRPr="003C0842">
              <w:t>–154</w:t>
            </w:r>
          </w:p>
          <w:p w:rsidR="00D95F23" w:rsidRPr="003C0842" w:rsidRDefault="00D95F23" w:rsidP="00111348">
            <w:pPr>
              <w:spacing w:line="360" w:lineRule="auto"/>
              <w:jc w:val="center"/>
            </w:pPr>
            <w:r w:rsidRPr="003C0842">
              <w:t>–444</w:t>
            </w:r>
          </w:p>
          <w:p w:rsidR="00D95F23" w:rsidRPr="003C0842" w:rsidRDefault="00D95F23" w:rsidP="00111348">
            <w:pPr>
              <w:spacing w:line="360" w:lineRule="auto"/>
              <w:jc w:val="center"/>
            </w:pPr>
            <w:r w:rsidRPr="003C0842">
              <w:t>–333</w:t>
            </w:r>
          </w:p>
          <w:p w:rsidR="00D95F23" w:rsidRPr="003C0842" w:rsidRDefault="00D95F23" w:rsidP="00111348">
            <w:pPr>
              <w:spacing w:line="360" w:lineRule="auto"/>
              <w:jc w:val="center"/>
            </w:pPr>
            <w:r w:rsidRPr="003C0842">
              <w:t>–400</w:t>
            </w:r>
          </w:p>
          <w:p w:rsidR="00D95F23" w:rsidRPr="003C0842" w:rsidRDefault="00D95F23" w:rsidP="00111348">
            <w:pPr>
              <w:spacing w:line="360" w:lineRule="auto"/>
              <w:jc w:val="center"/>
            </w:pPr>
            <w:r w:rsidRPr="003C0842">
              <w:t>–344</w:t>
            </w:r>
          </w:p>
        </w:tc>
      </w:tr>
    </w:tbl>
    <w:p w:rsidR="00D95F23" w:rsidRPr="003C0842" w:rsidRDefault="00D95F23" w:rsidP="00111348">
      <w:pPr>
        <w:spacing w:line="360" w:lineRule="auto"/>
        <w:ind w:firstLine="709"/>
      </w:pPr>
    </w:p>
    <w:p w:rsidR="00D95F23" w:rsidRPr="003C0842" w:rsidRDefault="00D95F23" w:rsidP="00111348">
      <w:pPr>
        <w:spacing w:line="360" w:lineRule="auto"/>
        <w:ind w:firstLine="709"/>
      </w:pPr>
      <w:r w:rsidRPr="003C0842">
        <w:lastRenderedPageBreak/>
        <w:t>* W przypadku Francji i Belgii liczba ludności została obliczona łącznie z 1/3 ludności kolonii.</w:t>
      </w:r>
    </w:p>
    <w:p w:rsidR="00D95F23" w:rsidRPr="003C0842" w:rsidRDefault="00D95F23" w:rsidP="00111348">
      <w:pPr>
        <w:spacing w:line="360" w:lineRule="auto"/>
        <w:ind w:firstLine="709"/>
      </w:pPr>
    </w:p>
    <w:p w:rsidR="00D95F23" w:rsidRPr="003C0842" w:rsidRDefault="00D95F23" w:rsidP="00111348">
      <w:pPr>
        <w:spacing w:line="360" w:lineRule="auto"/>
        <w:ind w:firstLine="709"/>
      </w:pPr>
      <w:r w:rsidRPr="003C0842">
        <w:t xml:space="preserve">Dyskusje o zbliżonym wydźwięku toczyły się na różnychpłaszczyznach. Ich ogląd z genewskiego punktu widzenia uwypukla niemieckie naciski na efektywne ruszenie procesu rozbrojeniowego. Pojawiające się trudności były w państwach pokonanych pokazywane jako hipokryzję zwycięzców, którzy znaleźli dla siebie obłudny parawan </w:t>
      </w:r>
      <w:r w:rsidR="00CE1EC8" w:rsidRPr="003C0842">
        <w:t>genewski</w:t>
      </w:r>
      <w:r w:rsidRPr="003C0842">
        <w:t>. Pisano i mówiono o sabotowaniu nie tylko art. 8 Paktu, ale i klauzul traktatu pokojowego, mającego utrzym</w:t>
      </w:r>
      <w:r w:rsidR="00CE1EC8" w:rsidRPr="003C0842">
        <w:t>ać</w:t>
      </w:r>
      <w:r w:rsidRPr="003C0842">
        <w:t xml:space="preserve"> Niemców w stałym poniżeniu.</w:t>
      </w:r>
    </w:p>
    <w:p w:rsidR="00D95F23" w:rsidRPr="003C0842" w:rsidRDefault="00D95F23" w:rsidP="00111348">
      <w:pPr>
        <w:spacing w:line="360" w:lineRule="auto"/>
        <w:ind w:firstLine="709"/>
      </w:pPr>
      <w:r w:rsidRPr="003C0842">
        <w:t xml:space="preserve">Kierowana pod adresem LN krytyka była o tyle chybiona, że Liga – jak to już wiadomo – „swojej” polityki nie miała. Jej działania były wypadkową dążeń i celów członków, stosownie do </w:t>
      </w:r>
      <w:r w:rsidR="00676021" w:rsidRPr="003C0842">
        <w:t xml:space="preserve">ich </w:t>
      </w:r>
      <w:r w:rsidRPr="003C0842">
        <w:t>siły i wpływów. A że rozbieżności między mocarstwami wystąpiły od samego początku, także w sposobie pojmowania bezpieczeństwa i rozbrojenia, to już wiadomo. Ponad indywidualne plany i cele wybijała się trudność fundamentalna: skupienie przy stole obrad możliwie największej liczby państw, w tym wszystkie uważane przez sąsiadów za nieprzyjazne, groźne. Spośród nich wyjątkowe miejsce zajmował Związek Radziecki. Jego relacje z Niemcami należały od Rapallo do dobrych. Ważnymspoiwem była porównywalna</w:t>
      </w:r>
      <w:r w:rsidR="00CE1EC8" w:rsidRPr="003C0842">
        <w:t xml:space="preserve"> i podkreślana</w:t>
      </w:r>
      <w:r w:rsidRPr="003C0842">
        <w:t xml:space="preserve"> wrogość do systemu wersalskiego. Łączyła je też silna propaganda rozbrojeniowa. Berlin i Moskwa prześcigały się w pokazywaniu hipokryzji mocarstw, które osiągnąwszy przewagę w 1918 r., także kłamliwymi obietnicami w dziedzinie rozbrojenia, starały się osiągnięty stan zakonserwować wszelkimi sposobami.</w:t>
      </w:r>
    </w:p>
    <w:p w:rsidR="00CE1EC8" w:rsidRPr="003C0842" w:rsidRDefault="00D95F23" w:rsidP="00111348">
      <w:pPr>
        <w:widowControl w:val="0"/>
        <w:autoSpaceDE w:val="0"/>
        <w:autoSpaceDN w:val="0"/>
        <w:adjustRightInd w:val="0"/>
        <w:spacing w:line="360" w:lineRule="auto"/>
        <w:ind w:firstLine="709"/>
      </w:pPr>
      <w:r w:rsidRPr="003C0842">
        <w:t>Waga</w:t>
      </w:r>
      <w:r w:rsidR="00FC7CE4" w:rsidRPr="003C0842">
        <w:t>,</w:t>
      </w:r>
      <w:r w:rsidRPr="003C0842">
        <w:t xml:space="preserve"> jaką państwa te przywiązywały do pacyfistycznej propagandy</w:t>
      </w:r>
      <w:r w:rsidR="00FC7CE4" w:rsidRPr="003C0842">
        <w:t>,</w:t>
      </w:r>
      <w:r w:rsidRPr="003C0842">
        <w:t xml:space="preserve"> sugerowała, że zaproszenie do udziału w Komisji Przygotowawczej zostanie w Moskwie przyjęte życzliwie. W nocie Cziczerina z 7 kwietnia 1926 r. przekazano jednak odpowiedź odmowną. Powodem był spór ze Szwajcarią z powodu zabójstwa 10 maja 1923 r. w Lozannie dyplomaty radzieckiego Wacława Worowskiego. Uniewinniający wyrok dla zabójcy uznano w Moskwie za prowokację. Szwajcaria została objęta całkowitym bojkotem. Twierdzono, że państwo to nie jest wstanie zagwarantować bezpieczeństwa obcym dyplomatom. </w:t>
      </w:r>
    </w:p>
    <w:p w:rsidR="008E3E92" w:rsidRPr="003C0842" w:rsidRDefault="00D95F23" w:rsidP="00111348">
      <w:pPr>
        <w:widowControl w:val="0"/>
        <w:autoSpaceDE w:val="0"/>
        <w:autoSpaceDN w:val="0"/>
        <w:adjustRightInd w:val="0"/>
        <w:spacing w:line="360" w:lineRule="auto"/>
        <w:ind w:firstLine="709"/>
      </w:pPr>
      <w:r w:rsidRPr="003C0842">
        <w:t>W tej politycznej zawierusze zaskoczeniem było forsowanie przez min. Chamberlaina zwołania Komisji Przygotowawczej, czemu towarzyszył „stanowczy sprzeciw czynienia jakichkolwiek ustępstw Sowietom”. Franciszek Sokal</w:t>
      </w:r>
      <w:r w:rsidR="00FC7CE4" w:rsidRPr="003C0842">
        <w:t>, komentując zaistniałą sytuację,</w:t>
      </w:r>
      <w:r w:rsidRPr="003C0842">
        <w:t xml:space="preserve"> napisał, że jednym z celów polityki </w:t>
      </w:r>
      <w:r w:rsidRPr="001E5F63">
        <w:t xml:space="preserve">brytyjskiej </w:t>
      </w:r>
      <w:r w:rsidR="00900BE3" w:rsidRPr="001E5F63">
        <w:t>„</w:t>
      </w:r>
      <w:r w:rsidRPr="001E5F63">
        <w:t xml:space="preserve">jest oddalenie zachodu od Rosji, a więc tym samym i Ligi Narodów </w:t>
      </w:r>
      <w:r w:rsidR="00FC7CE4" w:rsidRPr="001E5F63">
        <w:t>[…]</w:t>
      </w:r>
      <w:r w:rsidRPr="001E5F63">
        <w:t xml:space="preserve">. W gruncie rzeczy Anglia nigdy szczerze nie pragnęła udziału Rosji w Komitecie Przygotowawczym i wykorzystała drugorzędny w istocie rzeczy zatarg </w:t>
      </w:r>
      <w:r w:rsidRPr="001E5F63">
        <w:lastRenderedPageBreak/>
        <w:t>sowiecko-szwajcarski, aby ostatecznie Ligę od Rosji oddalić</w:t>
      </w:r>
      <w:r w:rsidR="00900BE3" w:rsidRPr="001E5F63">
        <w:t>”</w:t>
      </w:r>
      <w:r w:rsidRPr="001E5F63">
        <w:rPr>
          <w:rStyle w:val="Odwoanieprzypisudolnego"/>
          <w:rFonts w:ascii="Times New Roman" w:hAnsi="Times New Roman"/>
          <w:sz w:val="24"/>
        </w:rPr>
        <w:footnoteReference w:id="413"/>
      </w:r>
      <w:r w:rsidR="00FC7CE4" w:rsidRPr="001E5F63">
        <w:t>.</w:t>
      </w:r>
    </w:p>
    <w:p w:rsidR="00D95F23" w:rsidRPr="003C0842" w:rsidRDefault="00D95F23" w:rsidP="00111348">
      <w:pPr>
        <w:widowControl w:val="0"/>
        <w:autoSpaceDE w:val="0"/>
        <w:autoSpaceDN w:val="0"/>
        <w:adjustRightInd w:val="0"/>
        <w:spacing w:line="360" w:lineRule="auto"/>
        <w:ind w:firstLine="709"/>
      </w:pPr>
      <w:r w:rsidRPr="003C0842">
        <w:t>Tak widziana aktywność brytyjska wynikła ze sceptycyzmu wobec prac Komisji Przygotowawczej oraz zdwojonej nieufności admiralicji i Air Ministra. Angielscy eksperci nie tylko odmawiali poruszania pewnych kwestii w obecności delegacji radzieckiej, ale także w Międzynarodowym Biurze Pracy. „Uważają, że informacje ich będą w pierwszej mierze wykorzystane przez tychże delegatów w Moskwie itd.”</w:t>
      </w:r>
      <w:r w:rsidRPr="003C0842">
        <w:rPr>
          <w:rStyle w:val="Odwoanieprzypisudolnego"/>
          <w:rFonts w:ascii="Times New Roman" w:hAnsi="Times New Roman"/>
          <w:sz w:val="24"/>
        </w:rPr>
        <w:footnoteReference w:id="414"/>
      </w:r>
      <w:r w:rsidRPr="003C0842">
        <w:t>.</w:t>
      </w:r>
    </w:p>
    <w:p w:rsidR="00D95F23" w:rsidRPr="003C0842" w:rsidRDefault="00AB05DF" w:rsidP="00111348">
      <w:pPr>
        <w:widowControl w:val="0"/>
        <w:autoSpaceDE w:val="0"/>
        <w:autoSpaceDN w:val="0"/>
        <w:adjustRightInd w:val="0"/>
        <w:spacing w:line="360" w:lineRule="auto"/>
        <w:ind w:firstLine="709"/>
      </w:pPr>
      <w:r w:rsidRPr="003C0842">
        <w:t xml:space="preserve">Do rozbrojenia nikomu </w:t>
      </w:r>
      <w:r w:rsidR="00FC7CE4" w:rsidRPr="003C0842">
        <w:t xml:space="preserve">się </w:t>
      </w:r>
      <w:r w:rsidRPr="003C0842">
        <w:t xml:space="preserve">nie spieszyło. </w:t>
      </w:r>
      <w:r w:rsidR="00D95F23" w:rsidRPr="003C0842">
        <w:t xml:space="preserve">Rząd Szwajcarii </w:t>
      </w:r>
      <w:r w:rsidRPr="003C0842">
        <w:t xml:space="preserve">mógł więc ponawiać </w:t>
      </w:r>
      <w:r w:rsidR="00D95F23" w:rsidRPr="003C0842">
        <w:t>zapewnienia, że członkowie delegacji radzieckiej będą korzystali z takich samych praw i prerogatyw jak inni uczestnicy zaangażowani w prace Ligi. Nieustępliwość radziecka</w:t>
      </w:r>
      <w:r w:rsidRPr="003C0842">
        <w:t xml:space="preserve"> została </w:t>
      </w:r>
      <w:r w:rsidR="00D95F23" w:rsidRPr="003C0842">
        <w:t>zlikwidowana dopiero 14 kwietnia 1927 r. porozumieniem między Szwajcarią</w:t>
      </w:r>
      <w:r w:rsidR="00B84AE0" w:rsidRPr="003C0842">
        <w:t xml:space="preserve"> i ZSRR. Negatywnie na </w:t>
      </w:r>
      <w:r w:rsidR="00D95F23" w:rsidRPr="003C0842">
        <w:t>międzynarodową pozycję LN</w:t>
      </w:r>
      <w:r w:rsidR="00B84AE0" w:rsidRPr="003C0842">
        <w:t xml:space="preserve"> wpływały też inne inicjatywy zdominowane moskiewskim punktem widzenia.</w:t>
      </w:r>
      <w:r w:rsidR="000F486B">
        <w:t xml:space="preserve"> </w:t>
      </w:r>
      <w:r w:rsidR="00D95F23" w:rsidRPr="003C0842">
        <w:t>Do takich zaliczyć trzeba radziecko-litewski traktat o nieagresji podpisany 28 września 1926 r. Litwa</w:t>
      </w:r>
      <w:r w:rsidR="00B84AE0" w:rsidRPr="003C0842">
        <w:t>,</w:t>
      </w:r>
      <w:r w:rsidR="00D95F23" w:rsidRPr="003C0842">
        <w:t xml:space="preserve"> będąc członkiem Ligi</w:t>
      </w:r>
      <w:r w:rsidR="00B84AE0" w:rsidRPr="003C0842">
        <w:t>,</w:t>
      </w:r>
      <w:r w:rsidR="000F486B">
        <w:t xml:space="preserve"> </w:t>
      </w:r>
      <w:r w:rsidR="00B84AE0" w:rsidRPr="003C0842">
        <w:t>zgodziła się na</w:t>
      </w:r>
      <w:r w:rsidR="00D95F23" w:rsidRPr="003C0842">
        <w:t xml:space="preserve"> „niemiecką” wykładnię swych zobowiązań, bez oglądania się na tekst Paktu. Rozumie się, że pójście po linii traktatu radziecko-niemieckiego podpisanego w Berlinie 24 kwietnia 1926 r. było krytykowane, gdyż targnięto się na jeden z fundamentów Ligi jako organizacji zbiorowego bezpieczeństwa. Na piedestale pozostawało stare pytanie: czy obowiązek neutralności na wypadek niesprowokowanej agresji przewidziany przez układ berliński jest zgodny z obowiązkami członka Ligi, którym Litwa była</w:t>
      </w:r>
      <w:r w:rsidR="00FC7CE4" w:rsidRPr="003C0842">
        <w:t>,</w:t>
      </w:r>
      <w:r w:rsidR="00D95F23" w:rsidRPr="003C0842">
        <w:t xml:space="preserve"> a Niemcy miały wkrótce być?</w:t>
      </w:r>
      <w:r w:rsidR="00D95F23" w:rsidRPr="003C0842">
        <w:rPr>
          <w:rStyle w:val="Odwoanieprzypisudolnego"/>
          <w:rFonts w:ascii="Times New Roman" w:hAnsi="Times New Roman"/>
          <w:sz w:val="24"/>
        </w:rPr>
        <w:footnoteReference w:id="415"/>
      </w:r>
    </w:p>
    <w:p w:rsidR="008E3E92" w:rsidRPr="003C0842" w:rsidRDefault="00D95F23" w:rsidP="00111348">
      <w:pPr>
        <w:spacing w:line="360" w:lineRule="auto"/>
        <w:ind w:firstLine="709"/>
      </w:pPr>
      <w:r w:rsidRPr="003C0842">
        <w:t xml:space="preserve">Przedłużająca się nieobecność ZSRR w Genewie przyczyniała się do tego, że niełatwy start Komisji Przygotowawczej stawał się dodatkowo trudny. </w:t>
      </w:r>
      <w:r w:rsidR="00B84AE0" w:rsidRPr="003C0842">
        <w:t xml:space="preserve">Wśród ważkich powodów wskazać trzeba na </w:t>
      </w:r>
      <w:r w:rsidRPr="003C0842">
        <w:t>tzw. klauzul</w:t>
      </w:r>
      <w:r w:rsidR="00B84AE0" w:rsidRPr="003C0842">
        <w:t>ę rosyjską</w:t>
      </w:r>
      <w:r w:rsidRPr="003C0842">
        <w:t>. Państwa europejskie</w:t>
      </w:r>
      <w:r w:rsidR="00AB05DF" w:rsidRPr="003C0842">
        <w:t>,</w:t>
      </w:r>
      <w:r w:rsidRPr="003C0842">
        <w:t xml:space="preserve"> graniczące ze Związkiem Radzieckim zapowiadały, że nie mogą podejmować efektywnych kroków rozbrojeniowych dopóki nie będzie znane stanowisko ich wielkiego sąsiada. Z zapałem </w:t>
      </w:r>
      <w:r w:rsidR="008E3E92" w:rsidRPr="003C0842">
        <w:t xml:space="preserve">rozważano warianty </w:t>
      </w:r>
      <w:r w:rsidRPr="003C0842">
        <w:t>koniecznego moratorium na wykonanie konwencji rozbrojeniowej przez takie państwa</w:t>
      </w:r>
      <w:r w:rsidR="00B209BB" w:rsidRPr="003C0842">
        <w:t>,</w:t>
      </w:r>
      <w:r w:rsidRPr="003C0842">
        <w:t xml:space="preserve"> jak Łotwa, Estonia, Finlandia, Polska i Rumunia. Oczekiwały one zresztą specjalnego </w:t>
      </w:r>
      <w:r w:rsidRPr="003C0842">
        <w:lastRenderedPageBreak/>
        <w:t>traktowania z powodu ich sytuacji geopolitycznej, co przewidywał art. 8 Paktu, który mówił o położeniu geograficznym i specyficznych warunków każdego państwa</w:t>
      </w:r>
      <w:r w:rsidRPr="003C0842">
        <w:rPr>
          <w:rStyle w:val="Odwoanieprzypisudolnego"/>
          <w:rFonts w:ascii="Times New Roman" w:hAnsi="Times New Roman"/>
          <w:sz w:val="24"/>
        </w:rPr>
        <w:footnoteReference w:id="416"/>
      </w:r>
      <w:r w:rsidRPr="003C0842">
        <w:t xml:space="preserve">. </w:t>
      </w:r>
    </w:p>
    <w:p w:rsidR="00CC2BC8" w:rsidRPr="003C0842" w:rsidRDefault="00D95F23" w:rsidP="00111348">
      <w:pPr>
        <w:spacing w:line="360" w:lineRule="auto"/>
        <w:ind w:firstLine="709"/>
      </w:pPr>
      <w:r w:rsidRPr="003C0842">
        <w:t>Odwoływanie się do „sytuacji specjalnej” było poważnym hamulcem nawet teoretycznych rozważań o bezpieczeństwie i rozbrojeniu. Cóż dopiero gdy kwestie te starano się konkretyzować i konfrontować z rzeczywistością. Zapowiedź Cziczerina z kwietnia 1926 r. o możliwej absencji ZSRR w pracach rozbrojeniowych „t</w:t>
      </w:r>
      <w:r w:rsidR="00AB05DF" w:rsidRPr="003C0842">
        <w:t>ak zwanej</w:t>
      </w:r>
      <w:r w:rsidRPr="003C0842">
        <w:t xml:space="preserve"> Ligi Narodów” zwiększała generalny pesymizm, </w:t>
      </w:r>
      <w:r w:rsidR="00AB05DF" w:rsidRPr="003C0842">
        <w:t xml:space="preserve">czyniąc wrażenie </w:t>
      </w:r>
      <w:r w:rsidRPr="003C0842">
        <w:t>popłoch</w:t>
      </w:r>
      <w:r w:rsidR="00AB05DF" w:rsidRPr="003C0842">
        <w:t>u</w:t>
      </w:r>
      <w:r w:rsidRPr="003C0842">
        <w:t xml:space="preserve"> wśród państw rozbrojonych. Zarysowa</w:t>
      </w:r>
      <w:r w:rsidR="00AB05DF" w:rsidRPr="003C0842">
        <w:t>ne już szanse na zainicjowanie negocjacji</w:t>
      </w:r>
      <w:r w:rsidRPr="003C0842">
        <w:t xml:space="preserve"> oddalały się tym wyraźniej, że równolegle toczyła się batalia dotycząca rekonstrukcji Rady. Silnie bronione stanowiska Brazylii i Hiszpanii z jednej strony oraz Niemiec z drugiej nie były dobrym prognostykiem dla inauguracji 18 maja 1926 r. prac Komisji Przygotowawczej. Przedstawiciele 20 państw wskazanych przez Radę jako szczególnie zainteresowanych bezpieczeństwem i rozbrojeniem nie odnieśli sukcesu. </w:t>
      </w:r>
    </w:p>
    <w:p w:rsidR="003008B2" w:rsidRPr="003C0842" w:rsidRDefault="00D95F23" w:rsidP="00111348">
      <w:pPr>
        <w:spacing w:line="360" w:lineRule="auto"/>
        <w:ind w:firstLine="709"/>
      </w:pPr>
      <w:r w:rsidRPr="003C0842">
        <w:t>Podczas trwających tydzie</w:t>
      </w:r>
      <w:r w:rsidR="00AB05DF" w:rsidRPr="003C0842">
        <w:t>ń na</w:t>
      </w:r>
      <w:r w:rsidRPr="003C0842">
        <w:t>rad, którym przewodniczył Holender Jonkheer Louden</w:t>
      </w:r>
      <w:r w:rsidR="00AB05DF" w:rsidRPr="003C0842">
        <w:t>, zgoda panowała tak długo, jak długo delegaci obracali się w sferzepojęć ogólnych</w:t>
      </w:r>
      <w:r w:rsidR="00CC2BC8" w:rsidRPr="003C0842">
        <w:t>, procedury i spraw organizacyjnych. Już jednak zajęcie się zależnością między bezpieczeństwem i rozbrojeniem podzieliło uczestników debaty. P</w:t>
      </w:r>
      <w:r w:rsidRPr="003C0842">
        <w:t xml:space="preserve">oszczególne państwa zaprezentowały swoje, na ogół znane stanowiska. Była to </w:t>
      </w:r>
      <w:r w:rsidR="00CC2BC8" w:rsidRPr="003C0842">
        <w:t xml:space="preserve">swoista </w:t>
      </w:r>
      <w:r w:rsidRPr="003C0842">
        <w:t xml:space="preserve">manifestacja odmiennego podejścia i rozumienia procesu rozbrojeniowego. </w:t>
      </w:r>
    </w:p>
    <w:p w:rsidR="00D95F23" w:rsidRPr="003C0842" w:rsidRDefault="00D95F23" w:rsidP="00111348">
      <w:pPr>
        <w:spacing w:line="360" w:lineRule="auto"/>
        <w:ind w:firstLine="709"/>
      </w:pPr>
      <w:r w:rsidRPr="003C0842">
        <w:t>Dla Francji, jej sojuszników i państw o skromniejszym potencjale, warunkiem rozbrojenia (de facto ograniczenia zbrojeń, ewentualnie ich redukcji!) było bezpieczeństwo, czyli wysokie prawdopodobieństwo, zgoła pewność, że do napaści nie dojdzie. Istotne znaczenie mia</w:t>
      </w:r>
      <w:r w:rsidR="00B209BB" w:rsidRPr="003C0842">
        <w:t>ły dla nich także problemy poza</w:t>
      </w:r>
      <w:r w:rsidRPr="003C0842">
        <w:t>wojskowe, jak potencjał gospodarczy i demograficzny, położenie geopolityczne czy infrastruktura (drogi, koleje)</w:t>
      </w:r>
      <w:r w:rsidRPr="003C0842">
        <w:rPr>
          <w:rStyle w:val="Odwoanieprzypisudolnego"/>
          <w:rFonts w:ascii="Times New Roman" w:hAnsi="Times New Roman"/>
          <w:sz w:val="24"/>
        </w:rPr>
        <w:footnoteReference w:id="417"/>
      </w:r>
      <w:r w:rsidRPr="003C0842">
        <w:t>. Francuski strach przed odwetem nakazywał przypominanie o ułomności Ligi pozbawionej „egzekutywy”, czyli możliwości siłowej reakcji w ramach akcji zbiorowej. Dlatego też kroki rozbrojeniowe – twierdzono w Paryżu – powinn</w:t>
      </w:r>
      <w:r w:rsidR="00B209BB" w:rsidRPr="003C0842">
        <w:t>y</w:t>
      </w:r>
      <w:r w:rsidRPr="003C0842">
        <w:t xml:space="preserve"> poprzedzać stworzenie w ramach LN mechanizmu szybkiego, automatycznego reagowania na agresję. W tej grupie spraw przewijały się też </w:t>
      </w:r>
      <w:r w:rsidRPr="003C0842">
        <w:lastRenderedPageBreak/>
        <w:t>uwagi wskazujące na szczególną sytuację danego państwa wynikającą z doświadczeń przeszłości, co przybrało z czasem charakter tzw. klauzuli historycznej, nadmiernie nie eksploatowanej, ale stale obecnej w świadomości, nieraz materiałach na użytek wewnętrzny.</w:t>
      </w:r>
    </w:p>
    <w:p w:rsidR="003C3816" w:rsidRPr="003C0842" w:rsidRDefault="00D95F23" w:rsidP="00111348">
      <w:pPr>
        <w:spacing w:line="360" w:lineRule="auto"/>
        <w:ind w:firstLine="709"/>
      </w:pPr>
      <w:r w:rsidRPr="003C0842">
        <w:t xml:space="preserve">Liczna delegacja niemiecka </w:t>
      </w:r>
      <w:r w:rsidR="008E3E92" w:rsidRPr="003C0842">
        <w:t xml:space="preserve">poszukiwała wspólnego języka </w:t>
      </w:r>
      <w:r w:rsidRPr="003C0842">
        <w:t>z W</w:t>
      </w:r>
      <w:r w:rsidR="003008B2" w:rsidRPr="003C0842">
        <w:t>ielką</w:t>
      </w:r>
      <w:r w:rsidRPr="003C0842">
        <w:t xml:space="preserve"> Brytanią, Stanami Zjednoczonymi i Szwecją, w kilku kwestiach także z Japonią i Włochami. Według ich poglądu to właśnie budowa porozumienia w sprawie rozbrojenia da w efekcie wzrost bezpieczeństwa międzynarodowego. Starano się przekonać, że francuskie „poczucie niedostatku bezpieczeństwa” może odsunąć, nawet zniweczyć każdy projekt dotyczący rozbrojenia. Przewodniczący delegacji niemieckiej hr</w:t>
      </w:r>
      <w:r w:rsidR="00B209BB" w:rsidRPr="003C0842">
        <w:t>.</w:t>
      </w:r>
      <w:r w:rsidRPr="003C0842">
        <w:t xml:space="preserve"> Johann von Bernstorff, znany w Genewie lider niemieckiego ruchu proligowego, kilkakrotnie odwoływał się do oczekiwań „całkowicie rozbrojonych” Niemiec na działanie zapowiadane w części V traktatu wersalskiego. </w:t>
      </w:r>
      <w:r w:rsidR="003008B2" w:rsidRPr="003C0842">
        <w:t>Występował na gruncie genewskimz tezą, podzielaną przez ogół Niemców oraz nieliczne, ale zaangażowane koła pacyfistów</w:t>
      </w:r>
      <w:r w:rsidRPr="003C0842">
        <w:t>, że państwa uchylające się od efektywnych prac rozbrojeniowych chcą utrzymać swoją przewagę wojskową. Tymczasem, także z uwzględnieniem zasad obowiązujących w LN</w:t>
      </w:r>
      <w:r w:rsidR="003008B2" w:rsidRPr="003C0842">
        <w:t>,</w:t>
      </w:r>
      <w:r w:rsidRPr="003C0842">
        <w:t xml:space="preserve"> ideą przewodnią procesu rozbrojeniowego musi być równouprawnienie</w:t>
      </w:r>
      <w:r w:rsidRPr="003C0842">
        <w:rPr>
          <w:rStyle w:val="Odwoanieprzypisudolnego"/>
          <w:rFonts w:ascii="Times New Roman" w:hAnsi="Times New Roman"/>
          <w:sz w:val="24"/>
        </w:rPr>
        <w:footnoteReference w:id="418"/>
      </w:r>
      <w:r w:rsidRPr="003C0842">
        <w:t xml:space="preserve">. </w:t>
      </w:r>
    </w:p>
    <w:p w:rsidR="00D95F23" w:rsidRPr="003C0842" w:rsidRDefault="00D95F23" w:rsidP="00111348">
      <w:pPr>
        <w:spacing w:line="360" w:lineRule="auto"/>
        <w:ind w:firstLine="709"/>
      </w:pPr>
      <w:r w:rsidRPr="003C0842">
        <w:t xml:space="preserve">Owo </w:t>
      </w:r>
      <w:r w:rsidRPr="003C0842">
        <w:rPr>
          <w:i/>
        </w:rPr>
        <w:t>Gleichberechtigung</w:t>
      </w:r>
      <w:r w:rsidRPr="003C0842">
        <w:t xml:space="preserve"> (</w:t>
      </w:r>
      <w:r w:rsidRPr="003C0842">
        <w:rPr>
          <w:i/>
        </w:rPr>
        <w:t>equality</w:t>
      </w:r>
      <w:r w:rsidRPr="003C0842">
        <w:t xml:space="preserve">, </w:t>
      </w:r>
      <w:r w:rsidRPr="003C0842">
        <w:rPr>
          <w:i/>
        </w:rPr>
        <w:t>égalité</w:t>
      </w:r>
      <w:r w:rsidRPr="003C0842">
        <w:t xml:space="preserve">) było jednym z najczęściej pojawiających się określeń w wystąpieniach delegatów i ekspertów niemieckich. Odnieść to trzeba nie tylko do obrad Komisji Przygotowawczej, później samej Konferencji Rozbrojeniowej, ale w ogóle </w:t>
      </w:r>
      <w:r w:rsidR="00B209BB" w:rsidRPr="003C0842">
        <w:t xml:space="preserve">do </w:t>
      </w:r>
      <w:r w:rsidRPr="003C0842">
        <w:t xml:space="preserve">aktywności Niemców tak na forum międzynarodowym, jak i w propagandzie wewnętrznej. Jeśli Francja mimo nacisków </w:t>
      </w:r>
      <w:r w:rsidR="003008B2" w:rsidRPr="003C0842">
        <w:t>W</w:t>
      </w:r>
      <w:r w:rsidR="00FC0EDF" w:rsidRPr="003C0842">
        <w:t>ielkiej</w:t>
      </w:r>
      <w:r w:rsidRPr="003C0842">
        <w:t xml:space="preserve"> Brytanii nie chciała słyszeć o zmniejszeniu stanu liczbowego wojsk lądowych (najliczniejszych wśród państw uczestniczących w obradach), to można było wykpiwać jej lęki przed Reichswehrą, jeśli nawet – jak mówiono w Paryżu</w:t>
      </w:r>
      <w:r w:rsidR="00164234" w:rsidRPr="003C0842">
        <w:t>–</w:t>
      </w:r>
      <w:r w:rsidRPr="003C0842">
        <w:t xml:space="preserve"> było to 100 tys. dowódców, jeśli wskazywano, że wydatki wojskowe Republiki Weimarskiej sięgały budżetu „starej armii”.</w:t>
      </w:r>
    </w:p>
    <w:p w:rsidR="003C3816" w:rsidRPr="003C0842" w:rsidRDefault="00D95F23" w:rsidP="00111348">
      <w:pPr>
        <w:spacing w:line="360" w:lineRule="auto"/>
        <w:ind w:firstLine="709"/>
      </w:pPr>
      <w:r w:rsidRPr="003C0842">
        <w:t xml:space="preserve">Znikome efekty merytoryczne </w:t>
      </w:r>
      <w:r w:rsidR="00B209BB" w:rsidRPr="003C0842">
        <w:t xml:space="preserve">1. </w:t>
      </w:r>
      <w:r w:rsidRPr="003C0842">
        <w:t>Sesji Komisji Przygotowawczej (18-26 maja i 26-27 września 1926 r.) zostały jednak uznane w Niemczech za korzystne z ogólniejszego punktu widzenia. Niemieck</w:t>
      </w:r>
      <w:r w:rsidR="00FC0EDF" w:rsidRPr="003C0842">
        <w:t>a optyka</w:t>
      </w:r>
      <w:r w:rsidRPr="003C0842">
        <w:t xml:space="preserve"> przebił</w:t>
      </w:r>
      <w:r w:rsidR="00FC0EDF" w:rsidRPr="003C0842">
        <w:t>a</w:t>
      </w:r>
      <w:r w:rsidRPr="003C0842">
        <w:t xml:space="preserve"> się do opinii światowej jako zbieżn</w:t>
      </w:r>
      <w:r w:rsidR="00FC0EDF" w:rsidRPr="003C0842">
        <w:t>a</w:t>
      </w:r>
      <w:r w:rsidRPr="003C0842">
        <w:t xml:space="preserve"> z postulatami anglo-amerykańsko-skandynawskimi. Także obóz przeciwny</w:t>
      </w:r>
      <w:r w:rsidR="00FC0EDF" w:rsidRPr="003C0842">
        <w:t>,</w:t>
      </w:r>
      <w:r w:rsidRPr="003C0842">
        <w:t xml:space="preserve"> krytykując i odrzucając niemiecki</w:t>
      </w:r>
      <w:r w:rsidR="00FC0EDF" w:rsidRPr="003C0842">
        <w:t>e projekty</w:t>
      </w:r>
      <w:r w:rsidRPr="003C0842">
        <w:t xml:space="preserve"> powszechnego i całkowitego rozbrojenia</w:t>
      </w:r>
      <w:r w:rsidR="00FC0EDF" w:rsidRPr="003C0842">
        <w:t>,</w:t>
      </w:r>
      <w:r w:rsidRPr="003C0842">
        <w:t xml:space="preserve"> z natury rzeczy upowszechniał argumenty Berlina</w:t>
      </w:r>
      <w:r w:rsidR="00FC0EDF" w:rsidRPr="003C0842">
        <w:t>. N</w:t>
      </w:r>
      <w:r w:rsidRPr="003C0842">
        <w:t>ie zawsze</w:t>
      </w:r>
      <w:r w:rsidR="00FC0EDF" w:rsidRPr="003C0842">
        <w:t>, także w opinii zewnętrznej, były one</w:t>
      </w:r>
      <w:r w:rsidRPr="003C0842">
        <w:t xml:space="preserve"> pozbawione racji</w:t>
      </w:r>
      <w:r w:rsidR="00FC0EDF" w:rsidRPr="003C0842">
        <w:t xml:space="preserve">. Na ogół godzono się jednak, że uwzględniając stan stosunków politycznych </w:t>
      </w:r>
      <w:r w:rsidR="001F1951" w:rsidRPr="003C0842">
        <w:t xml:space="preserve">orazspołeczną </w:t>
      </w:r>
      <w:r w:rsidR="001F1951" w:rsidRPr="003C0842">
        <w:lastRenderedPageBreak/>
        <w:t xml:space="preserve">gotowość na </w:t>
      </w:r>
      <w:r w:rsidRPr="003C0842">
        <w:t>rozbrojeni</w:t>
      </w:r>
      <w:r w:rsidR="001F1951" w:rsidRPr="003C0842">
        <w:t>e, były to jedynie hasła</w:t>
      </w:r>
      <w:r w:rsidR="00164234" w:rsidRPr="003C0842">
        <w:t>–</w:t>
      </w:r>
      <w:r w:rsidRPr="003C0842">
        <w:t xml:space="preserve"> demagogiczne</w:t>
      </w:r>
      <w:r w:rsidR="001F1951" w:rsidRPr="003C0842">
        <w:t xml:space="preserve"> i cyniczne zarazem</w:t>
      </w:r>
      <w:r w:rsidRPr="003C0842">
        <w:t xml:space="preserve">. </w:t>
      </w:r>
      <w:r w:rsidR="001F1951" w:rsidRPr="003C0842">
        <w:t>W trwającej walce o przychylność światowej opinii publicznej</w:t>
      </w:r>
      <w:r w:rsidRPr="003C0842">
        <w:t xml:space="preserve"> delegacja niemiecka skutecznie unikała osamotnienia. Jeśli sprzeciwiała się propozycji ograniczenia budżetów wojskowych jako metody </w:t>
      </w:r>
      <w:r w:rsidR="006759D3" w:rsidRPr="003C0842">
        <w:t>zmniejszenia</w:t>
      </w:r>
      <w:r w:rsidRPr="003C0842">
        <w:t xml:space="preserve"> zbrojeń, to stała u boku przedstawicieli Argentyny, Holandii, Japonii, Szwecji, USA, </w:t>
      </w:r>
      <w:r w:rsidR="003C3816" w:rsidRPr="003C0842">
        <w:t xml:space="preserve">wspieranych przez </w:t>
      </w:r>
      <w:r w:rsidRPr="003C0842">
        <w:t>Angli</w:t>
      </w:r>
      <w:r w:rsidR="003C3816" w:rsidRPr="003C0842">
        <w:t>ę</w:t>
      </w:r>
      <w:r w:rsidRPr="003C0842">
        <w:t xml:space="preserve"> i Włoch</w:t>
      </w:r>
      <w:r w:rsidR="003C3816" w:rsidRPr="003C0842">
        <w:t>y</w:t>
      </w:r>
      <w:r w:rsidRPr="003C0842">
        <w:t xml:space="preserve">. Państwa te, mniej lub bardziej jawnie widziały potrzebę unowocześnienia uzbrojenia i sprzętu wojskowego własnych armii. </w:t>
      </w:r>
    </w:p>
    <w:p w:rsidR="00D95F23" w:rsidRPr="003C0842" w:rsidRDefault="00D95F23" w:rsidP="00111348">
      <w:pPr>
        <w:spacing w:line="360" w:lineRule="auto"/>
        <w:ind w:firstLine="709"/>
      </w:pPr>
      <w:r w:rsidRPr="003C0842">
        <w:t xml:space="preserve">Charakterystyczny dla </w:t>
      </w:r>
      <w:r w:rsidR="003C3816" w:rsidRPr="003C0842">
        <w:t>inauguracyjnej</w:t>
      </w:r>
      <w:r w:rsidRPr="003C0842">
        <w:t xml:space="preserve"> sesji Komisji Przygotowawczej był spór </w:t>
      </w:r>
      <w:r w:rsidR="003C3816" w:rsidRPr="003C0842">
        <w:t xml:space="preserve">dotyczący </w:t>
      </w:r>
      <w:r w:rsidRPr="003C0842">
        <w:t>ogranicz</w:t>
      </w:r>
      <w:r w:rsidR="003C3816" w:rsidRPr="003C0842">
        <w:t>eńw</w:t>
      </w:r>
      <w:r w:rsidRPr="003C0842">
        <w:t xml:space="preserve"> lotnictw</w:t>
      </w:r>
      <w:r w:rsidR="003C3816" w:rsidRPr="003C0842">
        <w:t>ie</w:t>
      </w:r>
      <w:r w:rsidRPr="003C0842">
        <w:t xml:space="preserve"> wojskow</w:t>
      </w:r>
      <w:r w:rsidR="003C3816" w:rsidRPr="003C0842">
        <w:t>ym</w:t>
      </w:r>
      <w:r w:rsidRPr="003C0842">
        <w:t>. Francuzi twierdzili, że podział na lotnictwo cywilne i wojskowe jest nie</w:t>
      </w:r>
      <w:r w:rsidR="003C3816" w:rsidRPr="003C0842">
        <w:t>słuszny</w:t>
      </w:r>
      <w:r w:rsidRPr="003C0842">
        <w:t>. Budowane w Niemczech samoloty cywilne</w:t>
      </w:r>
      <w:r w:rsidR="003C3816" w:rsidRPr="003C0842">
        <w:t xml:space="preserve"> były łatwe do przekształcenia w samoloty bojowe. O</w:t>
      </w:r>
      <w:r w:rsidRPr="003C0842">
        <w:t xml:space="preserve">dpowiadały </w:t>
      </w:r>
      <w:r w:rsidR="003C3816" w:rsidRPr="003C0842">
        <w:t xml:space="preserve">też </w:t>
      </w:r>
      <w:r w:rsidRPr="003C0842">
        <w:t>najnowszym wymogom maszyn wojskowych. Tak w tej, jak i w dziesiątkach innych kwestii konsensusu nie osiągnięto ani wówczas, ani później. Większością głosów przyjęto stanowisko, że istotnie granice między lotnictwem cywilnym i wojskowym są bardzo płynne. Jak bardzo płynne miała orzec komisja złożona ze specjalistów</w:t>
      </w:r>
      <w:r w:rsidRPr="003C0842">
        <w:rPr>
          <w:rStyle w:val="Odwoanieprzypisudolnego"/>
          <w:rFonts w:ascii="Times New Roman" w:hAnsi="Times New Roman"/>
          <w:sz w:val="24"/>
        </w:rPr>
        <w:footnoteReference w:id="419"/>
      </w:r>
      <w:r w:rsidRPr="003C0842">
        <w:t>.</w:t>
      </w:r>
    </w:p>
    <w:p w:rsidR="00D95F23" w:rsidRPr="003C0842" w:rsidRDefault="00D95F23" w:rsidP="00111348">
      <w:pPr>
        <w:spacing w:line="360" w:lineRule="auto"/>
        <w:ind w:firstLine="709"/>
      </w:pPr>
      <w:r w:rsidRPr="003C0842">
        <w:t>Eksponowanie przez Niemcy prawa każdego narodu do równego z innymi bezpieczeństwa, w tym eliminacji z wszystkich arsenałów broni zakazanej przez traktaty pokojowe (ciężka artyleria, czołgi, gazy bojowe, lotnictwo wojskowe)</w:t>
      </w:r>
      <w:r w:rsidR="003C3816" w:rsidRPr="003C0842">
        <w:t>,</w:t>
      </w:r>
      <w:r w:rsidRPr="003C0842">
        <w:t xml:space="preserve"> nie było żadną nowością ani niespodzianką. Pojawiające się projekty znajdowały także w obozie przeciwnym przyjazną ocenę jako mogące stanowić zaczyn do dalszych negocjacji. Zdawano sobie sprawę z</w:t>
      </w:r>
      <w:r w:rsidR="00B209BB" w:rsidRPr="003C0842">
        <w:t>e</w:t>
      </w:r>
      <w:r w:rsidRPr="003C0842">
        <w:t xml:space="preserve"> współpracy</w:t>
      </w:r>
      <w:r w:rsidR="003C3816" w:rsidRPr="003C0842">
        <w:t xml:space="preserve"> niemiecko-brytyjskiej, zw</w:t>
      </w:r>
      <w:r w:rsidRPr="003C0842">
        <w:t>a</w:t>
      </w:r>
      <w:r w:rsidR="003C3816" w:rsidRPr="003C0842">
        <w:t xml:space="preserve">żywszy na rozchodzące się od początku </w:t>
      </w:r>
      <w:r w:rsidRPr="003C0842">
        <w:t>trakty rozbrojeniowe Londynu i Paryża. Kiedy mówiono i pisano – jak czynił to Franciszek Sokal w raporcie z 2 czerwca 1926 r., że wystąpienia niemieckie były „całkowicie uzgodnione” z angielskimi</w:t>
      </w:r>
      <w:r w:rsidRPr="003C0842">
        <w:rPr>
          <w:rStyle w:val="Odwoanieprzypisudolnego"/>
          <w:rFonts w:ascii="Times New Roman" w:hAnsi="Times New Roman"/>
          <w:sz w:val="24"/>
        </w:rPr>
        <w:footnoteReference w:id="420"/>
      </w:r>
      <w:r w:rsidR="00B209BB" w:rsidRPr="003C0842">
        <w:t xml:space="preserve"> –</w:t>
      </w:r>
      <w:r w:rsidRPr="003C0842">
        <w:t xml:space="preserve"> to uwypuklano, że</w:t>
      </w:r>
      <w:r w:rsidR="00AE32AC" w:rsidRPr="003C0842">
        <w:t xml:space="preserve"> to</w:t>
      </w:r>
      <w:r w:rsidRPr="003C0842">
        <w:t xml:space="preserve"> nie tylko Niemcy i ewentualnie inne państwa „rewizjonistyczne” są zawadą w budowie bezpieczniejszego świata. Różnice zdań, także w sprawach zasadniczych występowały między państwami niegdyś złączonymi dzięki </w:t>
      </w:r>
      <w:r w:rsidRPr="003C0842">
        <w:rPr>
          <w:i/>
        </w:rPr>
        <w:t>entente cordiale</w:t>
      </w:r>
      <w:r w:rsidRPr="003C0842">
        <w:t>. Konflikty interesów w obrębie mocarstw kultywujących własne tradycje militarne i specyficzne dla nich oręża, nakładały się na nie mniej głębokie i ostre spory państw średnich i mniejszych, czyniąc z rozbrojenia iście gordyjski węzeł.</w:t>
      </w:r>
    </w:p>
    <w:p w:rsidR="00C03ED5" w:rsidRPr="003C0842" w:rsidRDefault="00D95F23" w:rsidP="00111348">
      <w:pPr>
        <w:spacing w:line="360" w:lineRule="auto"/>
        <w:ind w:firstLine="709"/>
      </w:pPr>
      <w:r w:rsidRPr="003C0842">
        <w:t xml:space="preserve">Patową sytuację, i to już u zarania pracy komisji mającej przygotować konferencję rozbrojeniową uwypuklała </w:t>
      </w:r>
      <w:r w:rsidR="001F1951" w:rsidRPr="003C0842">
        <w:t xml:space="preserve">zgoła </w:t>
      </w:r>
      <w:r w:rsidRPr="003C0842">
        <w:t>dramatyczn</w:t>
      </w:r>
      <w:r w:rsidR="001F1951" w:rsidRPr="003C0842">
        <w:t>a</w:t>
      </w:r>
      <w:r w:rsidRPr="003C0842">
        <w:t xml:space="preserve"> alternatywa: jeśli inni nie będą chcieli się rozbroić, to Niemcy nabędą moralne prawo żądania dla siebie swobody w określeniu środków </w:t>
      </w:r>
      <w:r w:rsidRPr="003C0842">
        <w:lastRenderedPageBreak/>
        <w:t xml:space="preserve">potrzebnych do obrony swojego państwa. Jak bardzo pogląd ten odzwierciedlał zapatrywania Niemców świadczy broszura firmowana przez liderów </w:t>
      </w:r>
      <w:r w:rsidR="001F1951" w:rsidRPr="003C0842">
        <w:t>ruchu proligowego (</w:t>
      </w:r>
      <w:r w:rsidRPr="003C0842">
        <w:t>DLfV</w:t>
      </w:r>
      <w:r w:rsidR="001F1951" w:rsidRPr="003C0842">
        <w:t>)</w:t>
      </w:r>
      <w:r w:rsidRPr="003C0842">
        <w:t>, którzy w podniosłych dniach włączania się Niemiec w prace genewskie jednoznacznie połączyli redukcję zbrojeń w państwach zwycięskich ze stanem i siłą armii niemieckiej. Upowszechnienie tego stanowiska wywołało protesty Deutscher Friedenskartell, którego DLfV była członkiem. Wnioskowano o pozbycie się stowarzyszenia głoszącego poglądy sprzeczne z fundamentem Kartelu</w:t>
      </w:r>
      <w:r w:rsidR="00C03ED5" w:rsidRPr="003C0842">
        <w:rPr>
          <w:rStyle w:val="Odwoanieprzypisudolnego"/>
          <w:rFonts w:ascii="Times New Roman" w:hAnsi="Times New Roman"/>
          <w:sz w:val="24"/>
        </w:rPr>
        <w:footnoteReference w:id="421"/>
      </w:r>
      <w:r w:rsidR="00C03ED5" w:rsidRPr="003C0842">
        <w:t>.</w:t>
      </w:r>
    </w:p>
    <w:p w:rsidR="00D95F23" w:rsidRPr="003C0842" w:rsidRDefault="00AE32AC" w:rsidP="00111348">
      <w:pPr>
        <w:widowControl w:val="0"/>
        <w:autoSpaceDE w:val="0"/>
        <w:autoSpaceDN w:val="0"/>
        <w:adjustRightInd w:val="0"/>
        <w:spacing w:line="360" w:lineRule="auto"/>
        <w:ind w:firstLine="709"/>
      </w:pPr>
      <w:r w:rsidRPr="003C0842">
        <w:t>P</w:t>
      </w:r>
      <w:r w:rsidR="00D95F23" w:rsidRPr="003C0842">
        <w:t>rotesty Kartelu nie bardzo przekonywały</w:t>
      </w:r>
      <w:r w:rsidR="00B209BB" w:rsidRPr="003C0842">
        <w:t>,</w:t>
      </w:r>
      <w:r w:rsidR="00D95F23" w:rsidRPr="003C0842">
        <w:t xml:space="preserve"> skoro z „karą” dla DLfV nie spieszono się</w:t>
      </w:r>
      <w:r w:rsidRPr="003C0842">
        <w:t>, by w końcu nadać jej łagodną formę. Firmowane</w:t>
      </w:r>
      <w:r w:rsidR="00B209BB" w:rsidRPr="003C0842">
        <w:t xml:space="preserve"> bowiem</w:t>
      </w:r>
      <w:r w:rsidRPr="003C0842">
        <w:t xml:space="preserve"> przez nich stanowisko mieściło się w rozpowszechnionym w państwach pokonanych rozumieniu równouprawnienia. </w:t>
      </w:r>
      <w:r w:rsidR="00D95F23" w:rsidRPr="003C0842">
        <w:t>Było</w:t>
      </w:r>
      <w:r w:rsidRPr="003C0842">
        <w:t xml:space="preserve"> ono</w:t>
      </w:r>
      <w:r w:rsidR="00D95F23" w:rsidRPr="003C0842">
        <w:t xml:space="preserve"> t</w:t>
      </w:r>
      <w:r w:rsidRPr="003C0842">
        <w:t>eż</w:t>
      </w:r>
      <w:r w:rsidR="00D95F23" w:rsidRPr="003C0842">
        <w:t xml:space="preserve"> zbliżone do stanowiska rządu</w:t>
      </w:r>
      <w:r w:rsidR="00315248" w:rsidRPr="003C0842">
        <w:t xml:space="preserve">. Nie </w:t>
      </w:r>
      <w:r w:rsidR="00C03ED5" w:rsidRPr="003C0842">
        <w:t>miał</w:t>
      </w:r>
      <w:r w:rsidR="00315248" w:rsidRPr="003C0842">
        <w:t xml:space="preserve"> złudzeń także</w:t>
      </w:r>
      <w:r w:rsidR="00D95F23" w:rsidRPr="003C0842">
        <w:t xml:space="preserve"> min. Stresemann</w:t>
      </w:r>
      <w:r w:rsidR="00315248" w:rsidRPr="003C0842">
        <w:t>, który</w:t>
      </w:r>
      <w:r w:rsidR="00D95F23" w:rsidRPr="003C0842">
        <w:t xml:space="preserve"> z trybuny VII Zgromadzenia</w:t>
      </w:r>
      <w:r w:rsidR="00C03ED5" w:rsidRPr="003C0842">
        <w:t>mówił</w:t>
      </w:r>
      <w:r w:rsidR="00D95F23" w:rsidRPr="003C0842">
        <w:t xml:space="preserve">: </w:t>
      </w:r>
      <w:r w:rsidR="00900BE3" w:rsidRPr="003C0842">
        <w:t>„</w:t>
      </w:r>
      <w:r w:rsidR="00900BE3" w:rsidRPr="001E5F63">
        <w:t>N</w:t>
      </w:r>
      <w:r w:rsidR="00D95F23" w:rsidRPr="001E5F63">
        <w:t>ie możemy napiętnować wojny, a równocześnie w dalszym ciągu opierać nasze bezpieczeństwo na utrzymaniu zbrojeń. Siła moralna, przez którą Liga Narodów będzie musiała działać, zależeć będzie i w przyszłości od czynów urzeczywistnionych w tej dziedzinie. Znajdujemy się w obliczu solennego przyrzeczenia, danego całemu światu, a które stanowi podstawę genezy Ligi Narodów. W myśl tego przyrzeczenia rozbrojenie narodów pokonanych podczas wojny miało być warunkiem poprzedzającym rozbrojenie ogólne. Jeżeli przywiązujecie – a nie wątpię, że to właśnie czynicie – pewną wagę tej wierze w wielkie idee, to nie zachwiejcie wiary w święty charakter tego aktu narodzenia Ligi Narodów</w:t>
      </w:r>
      <w:r w:rsidR="00900BE3" w:rsidRPr="001E5F63">
        <w:t>”</w:t>
      </w:r>
      <w:r w:rsidR="00D95F23" w:rsidRPr="001E5F63">
        <w:rPr>
          <w:rStyle w:val="Odwoanieprzypisudolnego"/>
          <w:rFonts w:ascii="Times New Roman" w:hAnsi="Times New Roman"/>
          <w:sz w:val="24"/>
        </w:rPr>
        <w:footnoteReference w:id="422"/>
      </w:r>
      <w:r w:rsidR="00D95F23" w:rsidRPr="001E5F63">
        <w:t>.</w:t>
      </w:r>
    </w:p>
    <w:p w:rsidR="00D95F23" w:rsidRPr="003C0842" w:rsidRDefault="00D95F23" w:rsidP="00714076">
      <w:pPr>
        <w:widowControl w:val="0"/>
        <w:autoSpaceDE w:val="0"/>
        <w:autoSpaceDN w:val="0"/>
        <w:adjustRightInd w:val="0"/>
        <w:spacing w:line="360" w:lineRule="auto"/>
        <w:ind w:firstLine="709"/>
      </w:pPr>
      <w:r w:rsidRPr="003C0842">
        <w:t xml:space="preserve">Zasadniczo udany z niemieckiego punktu widzenia rozruch prac mających wymusić ogólne rozbrojenie łączyć należy z porozumieniem między ZSRR i Szwajcarią. Nie bez znaczenia było to, że spór kończyła </w:t>
      </w:r>
      <w:r w:rsidR="00483ACB" w:rsidRPr="003C0842">
        <w:t>umowa, która została</w:t>
      </w:r>
      <w:r w:rsidRPr="003C0842">
        <w:t xml:space="preserve"> podpisana 14 kwietnia 1927 r. w Berlinie, stolicy państwa mającego ze Związkiem Radzieckim stosunki szczególne. </w:t>
      </w:r>
      <w:r w:rsidR="00483ACB" w:rsidRPr="003C0842">
        <w:t>Smaczku dodawały</w:t>
      </w:r>
      <w:r w:rsidRPr="003C0842">
        <w:t xml:space="preserve"> obchodzone właśnie uroczystości upamiętniające pięciole</w:t>
      </w:r>
      <w:r w:rsidR="00483ACB" w:rsidRPr="003C0842">
        <w:t>cie podpisania umowy w Rapallo oraz</w:t>
      </w:r>
      <w:r w:rsidRPr="003C0842">
        <w:t xml:space="preserve"> trwałość układu berlińskiego sprzed roku. Był to zarazem czas napiętych stosunków brytyjsko-radzieckich, zerwanych 26 maja. Berlin nie poparł Londyn</w:t>
      </w:r>
      <w:r w:rsidR="00714076" w:rsidRPr="003C0842">
        <w:t>u</w:t>
      </w:r>
      <w:r w:rsidR="00B209BB" w:rsidRPr="003C0842">
        <w:t>,</w:t>
      </w:r>
      <w:r w:rsidR="00714076" w:rsidRPr="003C0842">
        <w:t xml:space="preserve"> m</w:t>
      </w:r>
      <w:r w:rsidR="00B209BB" w:rsidRPr="003C0842">
        <w:t xml:space="preserve">iędzy </w:t>
      </w:r>
      <w:r w:rsidR="00714076" w:rsidRPr="003C0842">
        <w:t>in</w:t>
      </w:r>
      <w:r w:rsidR="00B209BB" w:rsidRPr="003C0842">
        <w:t>nymi</w:t>
      </w:r>
      <w:r w:rsidR="00714076" w:rsidRPr="003C0842">
        <w:t xml:space="preserve"> licząc na </w:t>
      </w:r>
      <w:r w:rsidRPr="003C0842">
        <w:t>wsparcie dyplomacji radzieckiej, której postulaty dotyczące powszechnego rozbrojenia były znane i tak samo ignorowane jak niemieckie. W nowej sytuacji zyskały one jednak wielką trybunę udostępnioną przez LN</w:t>
      </w:r>
      <w:r w:rsidR="00714076" w:rsidRPr="003C0842">
        <w:t>,</w:t>
      </w:r>
      <w:r w:rsidRPr="003C0842">
        <w:t xml:space="preserve"> będącą</w:t>
      </w:r>
      <w:r w:rsidR="00714076" w:rsidRPr="003C0842">
        <w:t xml:space="preserve"> – wedle rozpowszechnionej wiedzy </w:t>
      </w:r>
      <w:r w:rsidR="00164234" w:rsidRPr="003C0842">
        <w:t>–</w:t>
      </w:r>
      <w:r w:rsidRPr="003C0842">
        <w:t xml:space="preserve"> </w:t>
      </w:r>
      <w:r w:rsidRPr="003C0842">
        <w:lastRenderedPageBreak/>
        <w:t>centrum światowej propagandy</w:t>
      </w:r>
      <w:r w:rsidRPr="003C0842">
        <w:rPr>
          <w:rStyle w:val="Odwoanieprzypisudolnego"/>
          <w:rFonts w:ascii="Times New Roman" w:hAnsi="Times New Roman"/>
          <w:sz w:val="24"/>
        </w:rPr>
        <w:footnoteReference w:id="423"/>
      </w:r>
      <w:r w:rsidRPr="003C0842">
        <w:t>.</w:t>
      </w:r>
    </w:p>
    <w:p w:rsidR="00B209BB" w:rsidRPr="003C0842" w:rsidRDefault="00B209BB" w:rsidP="00714076">
      <w:pPr>
        <w:widowControl w:val="0"/>
        <w:autoSpaceDE w:val="0"/>
        <w:autoSpaceDN w:val="0"/>
        <w:adjustRightInd w:val="0"/>
        <w:spacing w:line="360" w:lineRule="auto"/>
        <w:ind w:firstLine="709"/>
      </w:pPr>
    </w:p>
    <w:p w:rsidR="00BD56B3" w:rsidRDefault="00D95F23" w:rsidP="00111348">
      <w:pPr>
        <w:spacing w:line="360" w:lineRule="auto"/>
        <w:ind w:firstLine="709"/>
        <w:rPr>
          <w:b/>
        </w:rPr>
      </w:pPr>
      <w:r w:rsidRPr="003C0842">
        <w:rPr>
          <w:b/>
        </w:rPr>
        <w:t>3. „Gra w mniejszości”</w:t>
      </w:r>
    </w:p>
    <w:p w:rsidR="00D95F23" w:rsidRPr="003C0842" w:rsidRDefault="00D95F23" w:rsidP="00111348">
      <w:pPr>
        <w:spacing w:line="360" w:lineRule="auto"/>
        <w:ind w:firstLine="709"/>
      </w:pPr>
    </w:p>
    <w:p w:rsidR="00315248" w:rsidRPr="003C0842" w:rsidRDefault="00D95F23" w:rsidP="00111348">
      <w:pPr>
        <w:spacing w:line="360" w:lineRule="auto"/>
        <w:ind w:firstLine="709"/>
      </w:pPr>
      <w:r w:rsidRPr="003C0842">
        <w:t>Hasło obrony mniejszości</w:t>
      </w:r>
      <w:r w:rsidR="00714076" w:rsidRPr="003C0842">
        <w:t>,</w:t>
      </w:r>
      <w:r w:rsidRPr="003C0842">
        <w:t xml:space="preserve"> odseparowanych od narodowego pnia przez traktat wersalski</w:t>
      </w:r>
      <w:r w:rsidR="00714076" w:rsidRPr="003C0842">
        <w:t>,</w:t>
      </w:r>
      <w:r w:rsidRPr="003C0842">
        <w:t xml:space="preserve"> znajdowało w Niemczech wyjątkowo silny oddźwięk. Tradycja bliskich więzi ukształtowana i hołubiona za czasów II Rzeszy uległa konsolidacji. Była to jedna z reakcji na niesprawiedliwy i drakoński układ narzucony przez zwycięzców. Wszyscy Niemcy, czy to w granicach własnego państwa</w:t>
      </w:r>
      <w:r w:rsidR="00B209BB" w:rsidRPr="003C0842">
        <w:t>,</w:t>
      </w:r>
      <w:r w:rsidRPr="003C0842">
        <w:t xml:space="preserve"> czy też innego, byli (bardziej niż wcześniej) traktowani na równi, jako członkowie wspólnoty (</w:t>
      </w:r>
      <w:r w:rsidRPr="003C0842">
        <w:rPr>
          <w:i/>
        </w:rPr>
        <w:t>Volksgemeinschaft</w:t>
      </w:r>
      <w:r w:rsidRPr="003C0842">
        <w:t xml:space="preserve">). To jeden z powodów, że gorąco dyskutowany w Paryżu w 1919 r. problem ochrony mniejszości narodowych (de facto: językowych, wyznaniowych i rasowych) znalazł wśród Niemców </w:t>
      </w:r>
      <w:r w:rsidR="00714076" w:rsidRPr="003C0842">
        <w:t>gorących</w:t>
      </w:r>
      <w:r w:rsidRPr="003C0842">
        <w:t xml:space="preserve"> zwolenników. W obliczu strat terytorialnych, zwłaszcza na rzecz Polski i Czechosłowacji, obawy o los zamieszkujących tam kilku milionów Niemców</w:t>
      </w:r>
      <w:r w:rsidR="00714076" w:rsidRPr="003C0842">
        <w:t>,</w:t>
      </w:r>
      <w:r w:rsidRPr="003C0842">
        <w:t xml:space="preserve"> były dobrze umotywowane i prezentowane w sposób przekonujący. </w:t>
      </w:r>
    </w:p>
    <w:p w:rsidR="00D95F23" w:rsidRPr="003C0842" w:rsidRDefault="00D95F23" w:rsidP="00111348">
      <w:pPr>
        <w:spacing w:line="360" w:lineRule="auto"/>
        <w:ind w:firstLine="709"/>
      </w:pPr>
      <w:r w:rsidRPr="003C0842">
        <w:t xml:space="preserve">System ochrony mniejszości, zapowiedziany w traktacie wersalskim i doprecyzowany w układzie narzuconym 28 marca 1919 r. Polsce przez mocarstwa, miał zapewnić współżycie równych sobie obywateli bez różnicy języka, religii i rasy. Analogiczne lub podobne zobowiązania musiały przyjąć także </w:t>
      </w:r>
      <w:r w:rsidR="00315248" w:rsidRPr="003C0842">
        <w:t xml:space="preserve">inne </w:t>
      </w:r>
      <w:r w:rsidRPr="003C0842">
        <w:t xml:space="preserve">państwa </w:t>
      </w:r>
      <w:r w:rsidR="00315248" w:rsidRPr="003C0842">
        <w:t xml:space="preserve">nowoutworzone lub </w:t>
      </w:r>
      <w:r w:rsidRPr="003C0842">
        <w:t>„wydatnie powiększone”, jak Czechosłowacja, Grecja, Rumunia i Jugosławia oraz państwa pokonane. W sumie systemem objęto 16 państw mających około 16 mln obywateli zaliczanych do mniejszości. Stanowiło to około połowy wszystkich mieszkańców Europy, którzy należeli do jednej z trzech grup mniejszościowych. Znaczyło to, że drugie 16 mln osób zamieszkujących państwa wolne od takich zobowiązań nie mogły liczyć, że ich ewentualne niesprawiedliwe traktowanie będ</w:t>
      </w:r>
      <w:r w:rsidR="00714076" w:rsidRPr="003C0842">
        <w:t>zie „obchodziło”</w:t>
      </w:r>
      <w:r w:rsidRPr="003C0842">
        <w:t xml:space="preserve"> Radę LN. Dotyczyło to także mniejszości zamieszkujących Niemcy</w:t>
      </w:r>
      <w:r w:rsidR="00B209BB" w:rsidRPr="003C0842">
        <w:t>, gdyż</w:t>
      </w:r>
      <w:r w:rsidRPr="003C0842">
        <w:t xml:space="preserve"> ich zobowiązania ograniczono jedynie do niemieckiej części Górnego Śląska. W stosunku do pozostałych państw pokonanych było to pozytywne wyróżnienie</w:t>
      </w:r>
      <w:r w:rsidRPr="003C0842">
        <w:rPr>
          <w:rStyle w:val="Odwoanieprzypisudolnego"/>
          <w:rFonts w:ascii="Times New Roman" w:hAnsi="Times New Roman"/>
          <w:sz w:val="24"/>
        </w:rPr>
        <w:footnoteReference w:id="424"/>
      </w:r>
      <w:r w:rsidRPr="003C0842">
        <w:t>.</w:t>
      </w:r>
    </w:p>
    <w:p w:rsidR="00315248" w:rsidRPr="003C0842" w:rsidRDefault="00D95F23" w:rsidP="00111348">
      <w:pPr>
        <w:spacing w:line="360" w:lineRule="auto"/>
        <w:ind w:firstLine="709"/>
      </w:pPr>
      <w:r w:rsidRPr="003C0842">
        <w:lastRenderedPageBreak/>
        <w:t>Toczące się w okresie międzywojennym boje wokół mniejszości miały rozliczne źródła, w tym także o charakterze formalno-prawnym. Chodziło więc o to, że gwarantem praw mniejszości była Rada LN, chociaż Pakt Ligi o tych zobowiązaniach nic nie mówił. Rodziło to wątpliwości o miejsce tych problemów w rankingu zadań Ligi. Spierano się też o zakres ochrony</w:t>
      </w:r>
      <w:r w:rsidR="00714076" w:rsidRPr="003C0842">
        <w:t>. S</w:t>
      </w:r>
      <w:r w:rsidRPr="003C0842">
        <w:t>am</w:t>
      </w:r>
      <w:r w:rsidR="00714076" w:rsidRPr="003C0842">
        <w:t>e</w:t>
      </w:r>
      <w:r w:rsidRPr="003C0842">
        <w:t xml:space="preserve"> mniejszości </w:t>
      </w:r>
      <w:r w:rsidR="00714076" w:rsidRPr="003C0842">
        <w:t xml:space="preserve">oczekiwały </w:t>
      </w:r>
      <w:r w:rsidRPr="003C0842">
        <w:t>swoistej protekcji</w:t>
      </w:r>
      <w:r w:rsidR="00714076" w:rsidRPr="003C0842">
        <w:t xml:space="preserve"> ze strony czynnika międzynarodowego.</w:t>
      </w:r>
      <w:r w:rsidRPr="003C0842">
        <w:t xml:space="preserve">Bez wchodzenia w szczegóły trzeba stwierdzić, że ochrona mniejszości nie mogła być zaliczana do pierwotnych, ani też głównych zadań Ligi. Na forum genewskim pojawiła się jako produkt traktatów mówiących o równym traktowaniu mniejszości z pozostałymi obywatelami danego państwa. </w:t>
      </w:r>
    </w:p>
    <w:p w:rsidR="00D95F23" w:rsidRPr="003C0842" w:rsidRDefault="00D95F23" w:rsidP="00111348">
      <w:pPr>
        <w:spacing w:line="360" w:lineRule="auto"/>
        <w:ind w:firstLine="709"/>
      </w:pPr>
      <w:r w:rsidRPr="003C0842">
        <w:t xml:space="preserve">Ważnym ograniczeniem branego pod uwagę </w:t>
      </w:r>
      <w:r w:rsidR="00315248" w:rsidRPr="003C0842">
        <w:t xml:space="preserve">napływu </w:t>
      </w:r>
      <w:r w:rsidRPr="003C0842">
        <w:t xml:space="preserve">skarg </w:t>
      </w:r>
      <w:r w:rsidR="00315248" w:rsidRPr="003C0842">
        <w:t>o błahej treści, demagogicznych lub o wydźwięku politycznym,</w:t>
      </w:r>
      <w:r w:rsidRPr="003C0842">
        <w:t xml:space="preserve"> był obowiązek referowania danej petycji przez </w:t>
      </w:r>
      <w:r w:rsidR="00315248" w:rsidRPr="003C0842">
        <w:t xml:space="preserve">konkretnego </w:t>
      </w:r>
      <w:r w:rsidRPr="003C0842">
        <w:t>członka Rady</w:t>
      </w:r>
      <w:r w:rsidR="00253A6C" w:rsidRPr="003C0842">
        <w:t>, który tym samym przyjmował na siebie rolę „oskarżyciela”, de facto uznającego petycję za uzasadnioną</w:t>
      </w:r>
      <w:r w:rsidRPr="003C0842">
        <w:t>.</w:t>
      </w:r>
      <w:r w:rsidR="00253A6C" w:rsidRPr="003C0842">
        <w:t xml:space="preserve"> Procedura ta konfliktowała</w:t>
      </w:r>
      <w:r w:rsidRPr="003C0842">
        <w:t xml:space="preserve"> jego stosunki z oskarżanym państwem. Niedogodność tę eliminowało ustanowienie tzw. Komitetu Trzech, złożonego z przewodniczącego Rady i dwóch jej członków, którzy nadesłaną skargę nie byli bezpośrednio zainteresowani.</w:t>
      </w:r>
    </w:p>
    <w:p w:rsidR="00537A42" w:rsidRPr="003C0842" w:rsidRDefault="00D95F23" w:rsidP="00111348">
      <w:pPr>
        <w:spacing w:line="360" w:lineRule="auto"/>
        <w:ind w:firstLine="709"/>
      </w:pPr>
      <w:r w:rsidRPr="003C0842">
        <w:t>Pod nieobecność Niemiec na straży interesów mniejszości narodowych, które znalazły się w granicach państw nowo powstałych lub wyraźnie powiększonych</w:t>
      </w:r>
      <w:r w:rsidR="00537A42" w:rsidRPr="003C0842">
        <w:t xml:space="preserve">, </w:t>
      </w:r>
      <w:r w:rsidRPr="003C0842">
        <w:t xml:space="preserve">stanęła </w:t>
      </w:r>
      <w:r w:rsidR="003008B2" w:rsidRPr="003C0842">
        <w:t>Wielkiej</w:t>
      </w:r>
      <w:r w:rsidRPr="003C0842">
        <w:t xml:space="preserve"> Brytania. Lloyd George</w:t>
      </w:r>
      <w:r w:rsidR="00D1553E" w:rsidRPr="003C0842">
        <w:t>,</w:t>
      </w:r>
      <w:r w:rsidRPr="003C0842">
        <w:t xml:space="preserve"> będąc do października 1922 r. premierem</w:t>
      </w:r>
      <w:r w:rsidR="00537A42" w:rsidRPr="003C0842">
        <w:t>,</w:t>
      </w:r>
      <w:r w:rsidRPr="003C0842">
        <w:t xml:space="preserve"> w imię równowagi na kontynencie</w:t>
      </w:r>
      <w:r w:rsidR="00537A42" w:rsidRPr="003C0842">
        <w:t>,</w:t>
      </w:r>
      <w:r w:rsidRPr="003C0842">
        <w:t xml:space="preserve"> kontynuował politykę ochrony Niemiec przed </w:t>
      </w:r>
      <w:r w:rsidR="00537A42" w:rsidRPr="003C0842">
        <w:t>maksymalistyczn</w:t>
      </w:r>
      <w:r w:rsidR="00542379" w:rsidRPr="003C0842">
        <w:t xml:space="preserve">ymiplanami </w:t>
      </w:r>
      <w:r w:rsidRPr="003C0842">
        <w:t>Francji. Swoistymi ofiarami tej polityki były także państwa będące w orbicie wpływów</w:t>
      </w:r>
      <w:r w:rsidR="00542379" w:rsidRPr="003C0842">
        <w:t xml:space="preserve"> Paryża, jak</w:t>
      </w:r>
      <w:r w:rsidRPr="003C0842">
        <w:t xml:space="preserve"> Polska, Czechosłowacja, Rumunia i Jugosławia, a więc cztery z pięciu państw, którym zwycięskie mocarstwa narzuciły traktaty mniejszościowe. One też z różnych powodów stawały się przedmiotem zwykle trudnej debaty w organach Ligi, zwłaszcza na forum Zgromadzeń i jego komisji. </w:t>
      </w:r>
    </w:p>
    <w:p w:rsidR="00D95F23" w:rsidRPr="003C0842" w:rsidRDefault="00D95F23" w:rsidP="00111348">
      <w:pPr>
        <w:spacing w:line="360" w:lineRule="auto"/>
        <w:ind w:firstLine="709"/>
      </w:pPr>
      <w:r w:rsidRPr="003C0842">
        <w:t xml:space="preserve">Za symptomatyczne można uznać to, żeRobert Cecil </w:t>
      </w:r>
      <w:r w:rsidR="00537A42" w:rsidRPr="003C0842">
        <w:t>– jeden z najaktywniejszych polityków brytyjskich w Lidze,</w:t>
      </w:r>
      <w:r w:rsidRPr="003C0842">
        <w:t xml:space="preserve"> rozpoczął dyskusję nad zobowiązaniami wobec mniejszości już podczas inauguracyjnego Zgromadzenia. Upomniał się o egzekwowanie ustalonych podczas konferencji pokojowej w Paryżu norm przez państwa </w:t>
      </w:r>
      <w:r w:rsidR="00537A42" w:rsidRPr="003C0842">
        <w:t>wówczas przyjmowane</w:t>
      </w:r>
      <w:r w:rsidRPr="003C0842">
        <w:t xml:space="preserve"> jak Litwę, Łotwę i Estonię</w:t>
      </w:r>
      <w:r w:rsidRPr="003C0842">
        <w:rPr>
          <w:rStyle w:val="Odwoanieprzypisudolnego"/>
          <w:rFonts w:ascii="Times New Roman" w:hAnsi="Times New Roman"/>
          <w:sz w:val="24"/>
        </w:rPr>
        <w:footnoteReference w:id="425"/>
      </w:r>
      <w:r w:rsidRPr="003C0842">
        <w:t>. Państwa te, najbardziej Łotwa, broniły się</w:t>
      </w:r>
      <w:r w:rsidR="00D1553E" w:rsidRPr="003C0842">
        <w:t>,</w:t>
      </w:r>
      <w:r w:rsidRPr="003C0842">
        <w:t xml:space="preserve"> podkreślając, że są gotowe przyjąć sugerowane im rozwiązania</w:t>
      </w:r>
      <w:r w:rsidR="00D1553E" w:rsidRPr="003C0842">
        <w:t>,</w:t>
      </w:r>
      <w:r w:rsidRPr="003C0842">
        <w:t xml:space="preserve"> jeśli zastosują się do tego także pozostali członkowie Ligi. Postawiony przy tej okazji problem – powszechności ochrony w kontekście </w:t>
      </w:r>
      <w:r w:rsidRPr="003C0842">
        <w:lastRenderedPageBreak/>
        <w:t>zasadniczej równości państwczłonków, nigdy nie został rozwiąz</w:t>
      </w:r>
      <w:r w:rsidR="00D1553E" w:rsidRPr="003C0842">
        <w:t>any, chociaż był ponawiany wiele</w:t>
      </w:r>
      <w:r w:rsidRPr="003C0842">
        <w:t xml:space="preserve">kroć. </w:t>
      </w:r>
      <w:r w:rsidR="00542379" w:rsidRPr="003C0842">
        <w:t>Także d</w:t>
      </w:r>
      <w:r w:rsidRPr="003C0842">
        <w:t>ominia – jedno z nich</w:t>
      </w:r>
      <w:r w:rsidR="00537A42" w:rsidRPr="003C0842">
        <w:t xml:space="preserve"> Afrykę Południową</w:t>
      </w:r>
      <w:r w:rsidRPr="003C0842">
        <w:t xml:space="preserve"> reprezentował właśnie lord Cecil</w:t>
      </w:r>
      <w:r w:rsidR="00164234" w:rsidRPr="003C0842">
        <w:t>–</w:t>
      </w:r>
      <w:r w:rsidRPr="003C0842">
        <w:t xml:space="preserve"> broniły się skutecznie. Zasłaniały się rezolucją III Zgromadzenia, w której 21 września 1922 r. zawarto nadzieję, że państwa wolne od zobowiązań będą stosowały wobec mniejszości analogiczne zasady sprawiedliwości i tolerancji</w:t>
      </w:r>
      <w:r w:rsidR="00D1553E" w:rsidRPr="003C0842">
        <w:t>,</w:t>
      </w:r>
      <w:r w:rsidRPr="003C0842">
        <w:t xml:space="preserve"> jakie wynikają z traktatów mniejszościowych i praktyki stosowanej przez Radę</w:t>
      </w:r>
      <w:r w:rsidRPr="003C0842">
        <w:rPr>
          <w:rStyle w:val="Odwoanieprzypisudolnego"/>
          <w:rFonts w:ascii="Times New Roman" w:hAnsi="Times New Roman"/>
          <w:sz w:val="24"/>
        </w:rPr>
        <w:footnoteReference w:id="426"/>
      </w:r>
      <w:r w:rsidRPr="003C0842">
        <w:t>.</w:t>
      </w:r>
    </w:p>
    <w:p w:rsidR="00D95F23" w:rsidRPr="003C0842" w:rsidRDefault="00D95F23" w:rsidP="00111348">
      <w:pPr>
        <w:spacing w:line="360" w:lineRule="auto"/>
        <w:ind w:firstLine="709"/>
      </w:pPr>
      <w:r w:rsidRPr="003C0842">
        <w:t xml:space="preserve">Przedstawiciele </w:t>
      </w:r>
      <w:r w:rsidR="003008B2" w:rsidRPr="003C0842">
        <w:t>Wielkiej</w:t>
      </w:r>
      <w:r w:rsidRPr="003C0842">
        <w:t xml:space="preserve"> Brytanii i dominiów kilkakrotnie rozpoczynali debatę mniejszościową w sytuacji, kiedy kwestii tej podczas Zgromadzenia nie podnoszono</w:t>
      </w:r>
      <w:r w:rsidR="00AD7D75" w:rsidRPr="003C0842">
        <w:rPr>
          <w:rStyle w:val="Odwoanieprzypisudolnego"/>
          <w:rFonts w:ascii="Times New Roman" w:hAnsi="Times New Roman"/>
          <w:sz w:val="24"/>
        </w:rPr>
        <w:footnoteReference w:id="427"/>
      </w:r>
      <w:r w:rsidRPr="003C0842">
        <w:t xml:space="preserve">. Tak było w latach 1922-1924, kiedy w roli tej wystąpił </w:t>
      </w:r>
      <w:r w:rsidR="00AD7D75" w:rsidRPr="003C0842">
        <w:t>cieszący się powszechnym szacunkiem prof</w:t>
      </w:r>
      <w:r w:rsidR="00D1553E" w:rsidRPr="003C0842">
        <w:t>esor</w:t>
      </w:r>
      <w:r w:rsidR="00AD7D75" w:rsidRPr="003C0842">
        <w:t xml:space="preserve"> Oksfordu </w:t>
      </w:r>
      <w:r w:rsidRPr="003C0842">
        <w:t>Gilbert Murray</w:t>
      </w:r>
      <w:r w:rsidRPr="003C0842">
        <w:rPr>
          <w:rStyle w:val="Odwoanieprzypisudolnego"/>
          <w:rFonts w:ascii="Times New Roman" w:hAnsi="Times New Roman"/>
          <w:sz w:val="24"/>
        </w:rPr>
        <w:footnoteReference w:id="428"/>
      </w:r>
      <w:r w:rsidRPr="003C0842">
        <w:t xml:space="preserve">. </w:t>
      </w:r>
      <w:r w:rsidR="00AD7D75" w:rsidRPr="003C0842">
        <w:t xml:space="preserve">Należał on też do wpływowych osobistości w UIA, gdzie </w:t>
      </w:r>
      <w:r w:rsidRPr="003C0842">
        <w:t>najwięcej kontrowersji od samego początku wzbudzał</w:t>
      </w:r>
      <w:r w:rsidR="00AD7D75" w:rsidRPr="003C0842">
        <w:t>y plany utworzenia</w:t>
      </w:r>
      <w:r w:rsidRPr="003C0842">
        <w:t xml:space="preserve"> „specjaln</w:t>
      </w:r>
      <w:r w:rsidR="00AD7D75" w:rsidRPr="003C0842">
        <w:t>ej</w:t>
      </w:r>
      <w:r w:rsidRPr="003C0842">
        <w:t xml:space="preserve"> komisj</w:t>
      </w:r>
      <w:r w:rsidR="00AD7D75" w:rsidRPr="003C0842">
        <w:t>i</w:t>
      </w:r>
      <w:r w:rsidRPr="003C0842">
        <w:t xml:space="preserve"> mniejszościow</w:t>
      </w:r>
      <w:r w:rsidR="00AD7D75" w:rsidRPr="003C0842">
        <w:t>ej</w:t>
      </w:r>
      <w:r w:rsidRPr="003C0842">
        <w:t xml:space="preserve">”. </w:t>
      </w:r>
      <w:r w:rsidR="00AD7D75" w:rsidRPr="003C0842">
        <w:t>Jej z</w:t>
      </w:r>
      <w:r w:rsidRPr="003C0842">
        <w:t xml:space="preserve">ałożenia programowe powstały </w:t>
      </w:r>
      <w:r w:rsidR="00AD7D75" w:rsidRPr="003C0842">
        <w:t>już w połowie listopada 1921 r. z inicjatywy</w:t>
      </w:r>
      <w:r w:rsidRPr="003C0842">
        <w:t xml:space="preserve"> sir Willoughby Dickinsona. Problematykę mniejszościową, widzianą również w kontekście rywalizacji kościołów</w:t>
      </w:r>
      <w:r w:rsidRPr="003C0842">
        <w:rPr>
          <w:rStyle w:val="Odwoanieprzypisudolnego"/>
          <w:rFonts w:ascii="Times New Roman" w:hAnsi="Times New Roman"/>
          <w:sz w:val="24"/>
        </w:rPr>
        <w:footnoteReference w:id="429"/>
      </w:r>
      <w:r w:rsidRPr="003C0842">
        <w:t>, zgłębiał podczas podróży studyjnej, odwiedzając Czechosłowację, Austrię, Jugosławię, Rumunię i Węgry. Sytuację mniejszości w państwach sukcesyjnych Austro-Węgier ocenił krytycznie i na ogół negatywnie. Dostrzegał w tym poważne niebezpieczeństwo dla pokoju w Europie. Mocarstwa – zdaniem sir Willoughby Dickinsona – nie zgodziłyby się na utworzenie nowych państw takich jak Czechosłowacja, lub też na znaczne powiększenie np. Serbii i Rumunii, gdyby nie były przekonane, że zlikwidowane zostanie „zamieszanie narodowościowe”, które przywiodło Austro-Węgry do ruiny. Jednak w Pradze, Bukareszcie i Belgradzie – kontynuował Dickinson – władze państwowe, z obawy przed odwetem tak dumnych i zdolnych narodów</w:t>
      </w:r>
      <w:r w:rsidR="00D1553E" w:rsidRPr="003C0842">
        <w:t>,</w:t>
      </w:r>
      <w:r w:rsidRPr="003C0842">
        <w:t xml:space="preserve"> jak Niemcy i Węgrzy</w:t>
      </w:r>
      <w:r w:rsidR="00A50F9B" w:rsidRPr="003C0842">
        <w:t>,</w:t>
      </w:r>
      <w:r w:rsidRPr="003C0842">
        <w:t xml:space="preserve"> nie były skłonne do tolerancyjnego traktowania mniejszości. Jednym ze sposobów skutecznego zaradzenia istniejącej sytuacji miało być powołanie specjalnej, niezależnej od </w:t>
      </w:r>
      <w:r w:rsidRPr="003C0842">
        <w:lastRenderedPageBreak/>
        <w:t>LN</w:t>
      </w:r>
      <w:r w:rsidR="00A50F9B" w:rsidRPr="003C0842">
        <w:t>,</w:t>
      </w:r>
      <w:r w:rsidRPr="003C0842">
        <w:t xml:space="preserve"> komisji d</w:t>
      </w:r>
      <w:r w:rsidR="00D1553E" w:rsidRPr="003C0842">
        <w:t>o</w:t>
      </w:r>
      <w:r w:rsidRPr="003C0842">
        <w:t xml:space="preserve"> badania niesprawiedliwości oraz wskazywania środków zaradczych. Zainteresowane rządy miały być następnie proszone przez Ligę Narodów o uwzględnianie u</w:t>
      </w:r>
      <w:r w:rsidR="00EB7D38" w:rsidRPr="003C0842">
        <w:t>wag komisji. St</w:t>
      </w:r>
      <w:r w:rsidRPr="003C0842">
        <w:t>owarzys</w:t>
      </w:r>
      <w:r w:rsidR="00EB7D38" w:rsidRPr="003C0842">
        <w:t>zeniom „proligowym”</w:t>
      </w:r>
      <w:r w:rsidRPr="003C0842">
        <w:t xml:space="preserve"> przypadałaby odpowiedzialna misja uświadamiania o prawach mniejszości i obowiązku pokojowego współżycia</w:t>
      </w:r>
      <w:r w:rsidRPr="003C0842">
        <w:rPr>
          <w:rStyle w:val="Odwoanieprzypisudolnego"/>
          <w:rFonts w:ascii="Times New Roman" w:hAnsi="Times New Roman"/>
          <w:sz w:val="24"/>
        </w:rPr>
        <w:footnoteReference w:id="430"/>
      </w:r>
      <w:r w:rsidRPr="003C0842">
        <w:t>.</w:t>
      </w:r>
    </w:p>
    <w:p w:rsidR="00A50F9B" w:rsidRPr="003C0842" w:rsidRDefault="00EB7D38" w:rsidP="00111348">
      <w:pPr>
        <w:spacing w:line="360" w:lineRule="auto"/>
        <w:ind w:firstLine="709"/>
      </w:pPr>
      <w:r w:rsidRPr="003C0842">
        <w:t>Konflikty i spory dotyczące spraw mniejszości towarzyszyły niemal wszystkim s</w:t>
      </w:r>
      <w:r w:rsidR="00D95F23" w:rsidRPr="003C0842">
        <w:t>potkaniom</w:t>
      </w:r>
      <w:r w:rsidRPr="003C0842">
        <w:t>gremiów UIA</w:t>
      </w:r>
      <w:r w:rsidR="00D95F23" w:rsidRPr="003C0842">
        <w:t>. Siłą napędową były</w:t>
      </w:r>
      <w:r w:rsidRPr="003C0842">
        <w:t xml:space="preserve"> z reguły</w:t>
      </w:r>
      <w:r w:rsidR="00D95F23" w:rsidRPr="003C0842">
        <w:t xml:space="preserve"> mniejszoś</w:t>
      </w:r>
      <w:r w:rsidRPr="003C0842">
        <w:t>ć</w:t>
      </w:r>
      <w:r w:rsidR="00D95F23" w:rsidRPr="003C0842">
        <w:t xml:space="preserve"> niemiecka i węgierska. Podczas posiedzenia Rady Generalnej UIA w Wiedniu w październiku 1921 r. doszło wręcz do kłótni w sprawie oceny warunków życia mniejszości niemieckiej w Czechosłowacji. Konflikt ten rozgorzał na nowo podczas ogólnego Zgromadzenia UIA w Pradze </w:t>
      </w:r>
      <w:r w:rsidRPr="003C0842">
        <w:t>(</w:t>
      </w:r>
      <w:r w:rsidR="00D95F23" w:rsidRPr="003C0842">
        <w:t>3-7 czerwca 1922 r.</w:t>
      </w:r>
      <w:r w:rsidRPr="003C0842">
        <w:t>).</w:t>
      </w:r>
      <w:r w:rsidR="00D95F23" w:rsidRPr="003C0842">
        <w:t xml:space="preserve"> Do ataków Węgrów na rząd w Pradze dołączył hr</w:t>
      </w:r>
      <w:r w:rsidR="00D1553E" w:rsidRPr="003C0842">
        <w:t>.</w:t>
      </w:r>
      <w:r w:rsidR="00D95F23" w:rsidRPr="003C0842">
        <w:t xml:space="preserve"> Bernstorff, krytykujący postępowanie rządu polskiego. Sekundował mu pastor Keller. Zaatakowani bronili się</w:t>
      </w:r>
      <w:r w:rsidR="00D1553E" w:rsidRPr="003C0842">
        <w:t>,</w:t>
      </w:r>
      <w:r w:rsidR="00D95F23" w:rsidRPr="003C0842">
        <w:t xml:space="preserve"> wskazując na zapisy konstytucji, które gwarantowały równe prawa wszystkim obywatelom bez różnicy rasy, wyznania i języka. Dyskusja szczegółowa</w:t>
      </w:r>
      <w:r w:rsidRPr="003C0842">
        <w:t>,</w:t>
      </w:r>
      <w:r w:rsidR="00D95F23" w:rsidRPr="003C0842">
        <w:t xml:space="preserve"> przeniesiona do podkomisji („czeskiej” i polskiej)</w:t>
      </w:r>
      <w:r w:rsidRPr="003C0842">
        <w:t>,</w:t>
      </w:r>
      <w:r w:rsidR="00D95F23" w:rsidRPr="003C0842">
        <w:t xml:space="preserve"> nie zbliżyła stanowisk. Nie powiodła się mediacja przewodniczącego UIA prof. Ruyssena. Oliwy do ognia dolał projekt rezolucji końcowej, w której domagano się </w:t>
      </w:r>
      <w:r w:rsidR="003B3226" w:rsidRPr="003C0842">
        <w:t>zasadniczej</w:t>
      </w:r>
      <w:r w:rsidR="00D95F23" w:rsidRPr="003C0842">
        <w:t xml:space="preserve"> pomocy</w:t>
      </w:r>
      <w:r w:rsidR="003B3226" w:rsidRPr="003C0842">
        <w:t xml:space="preserve"> państwa</w:t>
      </w:r>
      <w:r w:rsidR="00D95F23" w:rsidRPr="003C0842">
        <w:t xml:space="preserve">, a nawet opieki </w:t>
      </w:r>
      <w:r w:rsidR="003B3226" w:rsidRPr="003C0842">
        <w:t xml:space="preserve">dla </w:t>
      </w:r>
      <w:r w:rsidR="00D95F23" w:rsidRPr="003C0842">
        <w:t xml:space="preserve">osób zaliczanych do mniejszości. Delegaci związani z państwami </w:t>
      </w:r>
      <w:r w:rsidR="00D1553E" w:rsidRPr="003C0842">
        <w:t>m</w:t>
      </w:r>
      <w:r w:rsidR="00D95F23" w:rsidRPr="003C0842">
        <w:t>ającymi zobowiązania mniejszościowe protestowali</w:t>
      </w:r>
      <w:r w:rsidR="003B3226" w:rsidRPr="003C0842">
        <w:t xml:space="preserve"> również</w:t>
      </w:r>
      <w:r w:rsidR="00D95F23" w:rsidRPr="003C0842">
        <w:t xml:space="preserve"> przeciwko planom przekazywania pod osąd STSM sporów mniejszościowych. Czyniłoby to z mniejszości stronę w sporze z państwem, które zamieszkują. </w:t>
      </w:r>
    </w:p>
    <w:p w:rsidR="00D95F23" w:rsidRPr="003C0842" w:rsidRDefault="00D95F23" w:rsidP="00A50F9B">
      <w:pPr>
        <w:spacing w:line="360" w:lineRule="auto"/>
        <w:ind w:firstLine="709"/>
      </w:pPr>
      <w:r w:rsidRPr="003C0842">
        <w:t>Forsowana przez</w:t>
      </w:r>
      <w:r w:rsidR="00656EAE" w:rsidRPr="003C0842">
        <w:t xml:space="preserve"> sir Willoughby</w:t>
      </w:r>
      <w:r w:rsidRPr="003C0842">
        <w:t xml:space="preserve"> Dickinsonarezolucja została przyjęta większością głosów. Doprowadziło to do rozłamu i opuszczenia obrad przez delegatów z Czechosłowacji. Obszerną deklarację pokazującą ich stanowisko oraz </w:t>
      </w:r>
      <w:r w:rsidR="00A50F9B" w:rsidRPr="003C0842">
        <w:t xml:space="preserve">przedstawicieli </w:t>
      </w:r>
      <w:r w:rsidRPr="003C0842">
        <w:t xml:space="preserve">Polski, Jugosławii, Rumunii i Rosji </w:t>
      </w:r>
      <w:r w:rsidR="00A50F9B" w:rsidRPr="003C0842">
        <w:t xml:space="preserve">(sic!) </w:t>
      </w:r>
      <w:r w:rsidRPr="003C0842">
        <w:t>przekazano też do Genewy</w:t>
      </w:r>
      <w:r w:rsidRPr="003C0842">
        <w:rPr>
          <w:rStyle w:val="Odwoanieprzypisudolnego"/>
          <w:rFonts w:ascii="Times New Roman" w:hAnsi="Times New Roman"/>
          <w:sz w:val="24"/>
        </w:rPr>
        <w:footnoteReference w:id="431"/>
      </w:r>
      <w:r w:rsidRPr="003C0842">
        <w:t xml:space="preserve">. Towarzyszące temu zamieszanie wzmacniało rezerwę Sekretariatu LN wobec mniejszościowych działań realizowanych pod firmą UIA. Separacja całkowita nie była jednak możliwa. </w:t>
      </w:r>
      <w:r w:rsidR="00A50F9B" w:rsidRPr="003C0842">
        <w:t>Sekretaria</w:t>
      </w:r>
      <w:r w:rsidR="003B3226" w:rsidRPr="003C0842">
        <w:t>t</w:t>
      </w:r>
      <w:r w:rsidR="00A50F9B" w:rsidRPr="003C0842">
        <w:t xml:space="preserve"> LN, o</w:t>
      </w:r>
      <w:r w:rsidRPr="003C0842">
        <w:t xml:space="preserve">d </w:t>
      </w:r>
      <w:r w:rsidR="00A50F9B" w:rsidRPr="003C0842">
        <w:t xml:space="preserve">wiedeńskiego </w:t>
      </w:r>
      <w:r w:rsidRPr="003C0842">
        <w:t>Zgromadzenia UIA w czerwcu 1923 r.</w:t>
      </w:r>
      <w:r w:rsidR="00A50F9B" w:rsidRPr="003C0842">
        <w:t>,</w:t>
      </w:r>
      <w:r w:rsidRPr="003C0842">
        <w:t xml:space="preserve"> był jednak reprezentowany, chociaż przez </w:t>
      </w:r>
      <w:r w:rsidR="00A50F9B" w:rsidRPr="003C0842">
        <w:t xml:space="preserve">niższego urzędnika </w:t>
      </w:r>
      <w:r w:rsidRPr="003C0842">
        <w:t>z Sekcji Informacyjnej. Szlak ten przecierała Gabriela Radziwiłł</w:t>
      </w:r>
      <w:r w:rsidR="003B3226" w:rsidRPr="003C0842">
        <w:t>, występująca jako przedstawicielka Litwy.</w:t>
      </w:r>
      <w:r w:rsidR="00A50F9B" w:rsidRPr="003C0842">
        <w:t>Już jednak w</w:t>
      </w:r>
      <w:r w:rsidRPr="003C0842">
        <w:t xml:space="preserve"> roku następnym przysłuchiwała się obradom</w:t>
      </w:r>
      <w:r w:rsidR="00A50F9B" w:rsidRPr="003C0842">
        <w:t xml:space="preserve"> w Lyonie</w:t>
      </w:r>
      <w:r w:rsidRPr="003C0842">
        <w:t xml:space="preserve"> wespół z dyrektorem sekcji Jean</w:t>
      </w:r>
      <w:r w:rsidR="00D1553E" w:rsidRPr="003C0842">
        <w:t>em</w:t>
      </w:r>
      <w:r w:rsidRPr="003C0842">
        <w:t xml:space="preserve"> Comertem</w:t>
      </w:r>
      <w:r w:rsidRPr="003C0842">
        <w:rPr>
          <w:rStyle w:val="Odwoanieprzypisudolnego"/>
          <w:rFonts w:ascii="Times New Roman" w:hAnsi="Times New Roman"/>
          <w:sz w:val="24"/>
        </w:rPr>
        <w:footnoteReference w:id="432"/>
      </w:r>
      <w:r w:rsidRPr="003C0842">
        <w:t>. Pracownicy merytoryczni Sekretariatu, w tym Sekcji Komisji Administracyjnych i Mniejszości, w pracach UIA udziału nie brali.</w:t>
      </w:r>
    </w:p>
    <w:p w:rsidR="00D95F23" w:rsidRPr="003C0842" w:rsidRDefault="00D95F23" w:rsidP="00A50F9B">
      <w:pPr>
        <w:spacing w:line="360" w:lineRule="auto"/>
        <w:ind w:firstLine="709"/>
      </w:pPr>
      <w:r w:rsidRPr="003C0842">
        <w:lastRenderedPageBreak/>
        <w:t xml:space="preserve">Wstrzemięźliwość Ligi wobec UIA, traktowanej jako jedna z wielu, chociaż ważna grupa nacisku o charakterze prywatnym, wynikała z rozchodzących się dróg „zawodowych” obrońców mniejszości oraz państw, w których dana grupa mieszkała. Inicjatywom obrońców czy protektorów mniejszości towarzyszyły nie mniej zaangażowane riposty, które nie prowadziły do poprawy relacji międzynarodowych ani pacyfikacji stosunków wewnętrznych. Ponadto żadne z tzw. państw mniejszościowych nie było reprezentowane w Radzie LN, kiedy wykuwała się procedura, także w drodze praktyki i precedensów. </w:t>
      </w:r>
    </w:p>
    <w:p w:rsidR="00D95F23" w:rsidRPr="003C0842" w:rsidRDefault="00D95F23" w:rsidP="00111348">
      <w:pPr>
        <w:spacing w:line="360" w:lineRule="auto"/>
        <w:ind w:firstLine="709"/>
      </w:pPr>
      <w:r w:rsidRPr="003C0842">
        <w:t>Sytuację tę z</w:t>
      </w:r>
      <w:r w:rsidR="00A50F9B" w:rsidRPr="003C0842">
        <w:t xml:space="preserve">mieniły wybory do Rady podczas IV </w:t>
      </w:r>
      <w:r w:rsidR="00A71054" w:rsidRPr="003C0842">
        <w:t>Zgromadzenia, zakończone sukcesem</w:t>
      </w:r>
      <w:r w:rsidRPr="003C0842">
        <w:t xml:space="preserve"> Czechosłowacji. Nie bez związku z tym Rada 5 września 1923 r. powzięła kilka ważnych decyzji dotyczących formy i treści petycji nadsyłanych do Genewy przez mniejszości. </w:t>
      </w:r>
      <w:r w:rsidR="00A71054" w:rsidRPr="003C0842">
        <w:t>Miało to o</w:t>
      </w:r>
      <w:r w:rsidRPr="003C0842">
        <w:t>graniczy</w:t>
      </w:r>
      <w:r w:rsidR="00A71054" w:rsidRPr="003C0842">
        <w:t>ć</w:t>
      </w:r>
      <w:r w:rsidRPr="003C0842">
        <w:t xml:space="preserve"> wykorzystywanie petycji do dyskredytowania państwa będącego przedmiotem skargi. </w:t>
      </w:r>
      <w:r w:rsidR="00A71054" w:rsidRPr="003C0842">
        <w:t>Skutkowało</w:t>
      </w:r>
      <w:r w:rsidR="003B3226" w:rsidRPr="003C0842">
        <w:t>ponawianymi</w:t>
      </w:r>
      <w:r w:rsidRPr="003C0842">
        <w:t xml:space="preserve"> oskarżenia</w:t>
      </w:r>
      <w:r w:rsidR="00A71054" w:rsidRPr="003C0842">
        <w:t>mi</w:t>
      </w:r>
      <w:r w:rsidRPr="003C0842">
        <w:t xml:space="preserve"> pracowników Sekretariatu, zatrudnionych w tzw. sekcji mniejszościowej. Petycjonariusze, ich promotorzy i obrońcy twierdzili, że Sekretariat, ogólnie Liga strzeże interesów państw mniejszościowych i oddala wszelkie petycje uznane za „wybuchowe” z racji politycznych. Mieli </w:t>
      </w:r>
      <w:r w:rsidR="003B3226" w:rsidRPr="003C0842">
        <w:t xml:space="preserve">oni </w:t>
      </w:r>
      <w:r w:rsidRPr="003C0842">
        <w:t xml:space="preserve">też blokować propozycje </w:t>
      </w:r>
      <w:r w:rsidR="003B3226" w:rsidRPr="003C0842">
        <w:t>udoskonalenia</w:t>
      </w:r>
      <w:r w:rsidRPr="003C0842">
        <w:t xml:space="preserve"> procedury, stawiając wyżej interes państw niż mniejszościową część ich obywateli. Carole Fink </w:t>
      </w:r>
      <w:r w:rsidR="00A71054" w:rsidRPr="003C0842">
        <w:t>także za</w:t>
      </w:r>
      <w:r w:rsidRPr="003C0842">
        <w:t>uważa, że Sekretariat i Liga łatwo akceptowały tłumaczenia, nawet wymówki państw mniejszościowych. Urzędnicy Ligi skłonni też byli przyjmować za dobrą monetę niewielkie, wręcz kosmetyczne reformy, które nie zmieniały położenia mniejszości</w:t>
      </w:r>
      <w:r w:rsidRPr="003C0842">
        <w:rPr>
          <w:rStyle w:val="Odwoanieprzypisudolnego"/>
          <w:rFonts w:ascii="Times New Roman" w:hAnsi="Times New Roman"/>
          <w:sz w:val="24"/>
        </w:rPr>
        <w:footnoteReference w:id="433"/>
      </w:r>
      <w:r w:rsidRPr="003C0842">
        <w:t>.</w:t>
      </w:r>
    </w:p>
    <w:p w:rsidR="00D95F23" w:rsidRPr="003C0842" w:rsidRDefault="00D95F23" w:rsidP="00111348">
      <w:pPr>
        <w:spacing w:line="360" w:lineRule="auto"/>
        <w:ind w:firstLine="709"/>
      </w:pPr>
      <w:r w:rsidRPr="003C0842">
        <w:t>Pozost</w:t>
      </w:r>
      <w:r w:rsidR="00A71054" w:rsidRPr="003C0842">
        <w:t>aje faktem, że urzędnicy sekcji</w:t>
      </w:r>
      <w:r w:rsidRPr="003C0842">
        <w:t>, a także referenci spraw mniejszościowych Rady, którymi byli zwykle delegaci z Brazylii, uwzględniali zalecenie III Zgromadzenia, które mówiło o obowiązku lojalności i obywatelskiej współpracy mniejszości z narodem, do którego należą. Miała temu towarzyszyć zasada „czystych rąk”, a więc domniemanie, że wnosząca petycję mniejszość, lub jej przedstawiciel</w:t>
      </w:r>
      <w:r w:rsidR="00A71054" w:rsidRPr="003C0842">
        <w:t>,</w:t>
      </w:r>
      <w:r w:rsidRPr="003C0842">
        <w:t xml:space="preserve"> lojalnie wywiązują się z obowiązków ciążących na każdym obywatelu. W atmosferze rozgrzanej przez konferencję locarneńską i bliskie wstąpienie Niemiec do LN odżyły </w:t>
      </w:r>
      <w:r w:rsidR="003B3226" w:rsidRPr="003C0842">
        <w:t xml:space="preserve">sugestie </w:t>
      </w:r>
      <w:r w:rsidRPr="003C0842">
        <w:t>wymuszeni</w:t>
      </w:r>
      <w:r w:rsidR="003B3226" w:rsidRPr="003C0842">
        <w:t>a</w:t>
      </w:r>
      <w:r w:rsidRPr="003C0842">
        <w:t xml:space="preserve"> na Niemcach formalnego przyjęcia traktatu o ochronie mniejszości. W polskim MSZ-cie planowano nawet zaktywizować mniejszości zamieszkujące Niemcy, które miały przesyłać do Genewy skargi, przez co „można by osiągnąć zmuszenie Niemców przez Ligę do podpisania traktatu”</w:t>
      </w:r>
      <w:r w:rsidRPr="003C0842">
        <w:rPr>
          <w:rStyle w:val="Odwoanieprzypisudolnego"/>
          <w:rFonts w:ascii="Times New Roman" w:hAnsi="Times New Roman"/>
          <w:sz w:val="24"/>
        </w:rPr>
        <w:footnoteReference w:id="434"/>
      </w:r>
      <w:r w:rsidRPr="003C0842">
        <w:t>.</w:t>
      </w:r>
    </w:p>
    <w:p w:rsidR="00BD56B3" w:rsidRDefault="00D95F23" w:rsidP="00EF715E">
      <w:pPr>
        <w:tabs>
          <w:tab w:val="left" w:pos="3969"/>
        </w:tabs>
        <w:autoSpaceDE w:val="0"/>
        <w:autoSpaceDN w:val="0"/>
        <w:adjustRightInd w:val="0"/>
        <w:spacing w:line="360" w:lineRule="auto"/>
        <w:ind w:firstLine="709"/>
      </w:pPr>
      <w:r w:rsidRPr="003C0842">
        <w:t xml:space="preserve">Ta przewijająca się przez wiele lat walka była równie mało realistyczna co i zamysł delegata Litwy Ernesta Galvanauskasa, który 14 września 1925 r. proponował Zgromadzeniu </w:t>
      </w:r>
      <w:r w:rsidRPr="003C0842">
        <w:lastRenderedPageBreak/>
        <w:t>LN powołanie specjalnej komisji dla przygotowania ogólnej konwencji dotyczącej ochrony mniejszości. Wniosek dotyczący i obejmujący wszystkich członków LN był dyskutowany w</w:t>
      </w:r>
      <w:r w:rsidRPr="003C0842">
        <w:rPr>
          <w:iCs/>
        </w:rPr>
        <w:t>6</w:t>
      </w:r>
      <w:r w:rsidR="00D1553E" w:rsidRPr="003C0842">
        <w:rPr>
          <w:iCs/>
        </w:rPr>
        <w:t>.</w:t>
      </w:r>
      <w:r w:rsidRPr="003C0842">
        <w:t xml:space="preserve"> Komisji, ale został wycofany. Za sukces jednak uważano, że </w:t>
      </w:r>
      <w:r w:rsidRPr="003C0842">
        <w:rPr>
          <w:iCs/>
        </w:rPr>
        <w:t xml:space="preserve">w </w:t>
      </w:r>
      <w:r w:rsidRPr="003C0842">
        <w:t>raporcie z obrad Komisji odnotowano istniejącą różnicę zdań. Część dyskutantów stała na stanowisku, że system ochrony mniejszości nie jest zgodny z zasadą równości państw</w:t>
      </w:r>
      <w:r w:rsidRPr="003C0842">
        <w:rPr>
          <w:rStyle w:val="Odwoanieprzypisudolnego"/>
          <w:rFonts w:ascii="Times New Roman" w:hAnsi="Times New Roman"/>
          <w:sz w:val="24"/>
        </w:rPr>
        <w:footnoteReference w:id="435"/>
      </w:r>
      <w:r w:rsidRPr="003C0842">
        <w:t xml:space="preserve">. </w:t>
      </w:r>
    </w:p>
    <w:p w:rsidR="00D95F23" w:rsidRPr="003C0842" w:rsidRDefault="00D95F23" w:rsidP="00111348">
      <w:pPr>
        <w:tabs>
          <w:tab w:val="left" w:pos="3969"/>
        </w:tabs>
        <w:autoSpaceDE w:val="0"/>
        <w:autoSpaceDN w:val="0"/>
        <w:adjustRightInd w:val="0"/>
        <w:spacing w:line="360" w:lineRule="auto"/>
        <w:ind w:firstLine="709"/>
      </w:pPr>
      <w:r w:rsidRPr="003C0842">
        <w:t>Na równie ważki wątek sprawy zwrócił uwagę polityk czeski Karel Kramár, który w krajowym parlamencie martwił się, że po wejściu Niemiec do Ligi, pokonany będzie kontrolował politykę mniejszościową zwycięzców. Nie była to sprawa błaha, skoro min. Stresemann zanotował, że odpowiadanie na takie dictum byłoby „najokropniejszym zadaniem”</w:t>
      </w:r>
      <w:r w:rsidR="00D1553E" w:rsidRPr="003C0842">
        <w:t>,</w:t>
      </w:r>
      <w:r w:rsidRPr="003C0842">
        <w:t xml:space="preserve"> przed jakim stanęłaby niemiecka delegacja w Lidze</w:t>
      </w:r>
      <w:r w:rsidRPr="003C0842">
        <w:rPr>
          <w:rStyle w:val="Odwoanieprzypisudolnego"/>
          <w:rFonts w:ascii="Times New Roman" w:hAnsi="Times New Roman"/>
          <w:sz w:val="24"/>
        </w:rPr>
        <w:footnoteReference w:id="436"/>
      </w:r>
      <w:r w:rsidRPr="003C0842">
        <w:t>.</w:t>
      </w:r>
    </w:p>
    <w:p w:rsidR="00D95F23" w:rsidRPr="003C0842" w:rsidRDefault="00D95F23" w:rsidP="00111348">
      <w:pPr>
        <w:tabs>
          <w:tab w:val="left" w:pos="3969"/>
        </w:tabs>
        <w:autoSpaceDE w:val="0"/>
        <w:autoSpaceDN w:val="0"/>
        <w:adjustRightInd w:val="0"/>
        <w:spacing w:line="360" w:lineRule="auto"/>
        <w:ind w:firstLine="709"/>
      </w:pPr>
      <w:r w:rsidRPr="003C0842">
        <w:t>Koniec brzemiennego w duże wydarzenia roku 1925, naznaczony fetą w Londynie z okazji podpisania 1 grudnia porozumień lokarneńskich, stał się też pamiętny z okazji sesji Rady i exposé referenta spraw mniejszościowych Afranio de Mello Franco</w:t>
      </w:r>
      <w:r w:rsidR="00314494" w:rsidRPr="003C0842">
        <w:t>,</w:t>
      </w:r>
      <w:r w:rsidRPr="003C0842">
        <w:t xml:space="preserve"> przedstawione w formie </w:t>
      </w:r>
      <w:r w:rsidRPr="003C0842">
        <w:rPr>
          <w:i/>
        </w:rPr>
        <w:t>les quelques déclarations personalles</w:t>
      </w:r>
      <w:r w:rsidRPr="003C0842">
        <w:t>. Podkreślił on, że zasadniczą tezą polityki brazylijskiej było całkowite odrzucenie pomysłów generalizacyjnych, które nie mogłyby objąć 19 państw Ameryki należących do LN, ani też większości innych państw tego regionu. Rozwiązania problemu mniejszościowego upatrywał w stopniowym zlewaniu się mniejszości z większością. Twórcy systemu ochrony nie chcieli jego zdaniem tworzyć w łonie pewnych państw grupy osób, uważających się za „stale obcych”. Chodziło im o przygotowanie warunków niezbędnych do „ustanowienia całkowitej jedności narodowej”, czyli stopniowej asymilacji. Słowa tego Mello Franco jednak nie użył. Poglądy powyższe spotkały się z uznaniem Benesza, Paula Hymansa, i co nabierało specjalnego znaczenia – Chamberlaina</w:t>
      </w:r>
      <w:r w:rsidRPr="003C0842">
        <w:rPr>
          <w:rStyle w:val="Odwoanieprzypisudolnego"/>
          <w:rFonts w:ascii="Times New Roman" w:hAnsi="Times New Roman"/>
          <w:sz w:val="24"/>
        </w:rPr>
        <w:footnoteReference w:id="437"/>
      </w:r>
      <w:r w:rsidRPr="003C0842">
        <w:t>.</w:t>
      </w:r>
    </w:p>
    <w:p w:rsidR="00D95F23" w:rsidRPr="003C0842" w:rsidRDefault="00D95F23" w:rsidP="00111348">
      <w:pPr>
        <w:autoSpaceDE w:val="0"/>
        <w:autoSpaceDN w:val="0"/>
        <w:adjustRightInd w:val="0"/>
        <w:spacing w:line="360" w:lineRule="auto"/>
        <w:ind w:firstLine="709"/>
      </w:pPr>
      <w:r w:rsidRPr="003C0842">
        <w:t xml:space="preserve">Rada jako organ LN ani wówczas, ani później nie zajęła stanowiska wobec osobistych wynurzeń Mello Franco, z którymi solidarność wyrazili trzej inni politycy: Brytyjczyk, Belg i Czech. Także Sekretariat konsekwentnie unikał dyskusji, na ten temat, podkreślając, że realizowana pod auspicjami LN ochrona mniejszości ma charakter trwały. </w:t>
      </w:r>
    </w:p>
    <w:p w:rsidR="00BD56B3" w:rsidRDefault="00D95F23" w:rsidP="00111348">
      <w:pPr>
        <w:autoSpaceDE w:val="0"/>
        <w:autoSpaceDN w:val="0"/>
        <w:adjustRightInd w:val="0"/>
        <w:spacing w:line="360" w:lineRule="auto"/>
        <w:ind w:firstLine="709"/>
      </w:pPr>
      <w:r w:rsidRPr="003C0842">
        <w:t xml:space="preserve">Nie oznaczało to jednak popierania, nawet wyrozumiałości wobec ponawianych prób utworzenia w ramach Sekretariatu stałej komisji, która wzorem Stałej Komisji Mandatowej zajmowałaby się badaniem całokształtu położenia mniejszości. Promotorzy utworzenia takiego organu twierdzili, że samo badanie napływających petycji jest w istocie swej zabiegiem spóźnionym. Chciano bowiem zwalczać przyczynę choroby, a nie biedzić się </w:t>
      </w:r>
      <w:r w:rsidRPr="003C0842">
        <w:lastRenderedPageBreak/>
        <w:t>leczeniem. Pomysły te nie znajdowały licznych zwolenników, także w Sekretariacie Ligi. Twierdzono tam, że pytanie o to</w:t>
      </w:r>
      <w:r w:rsidR="00D1553E" w:rsidRPr="003C0842">
        <w:t>,</w:t>
      </w:r>
      <w:r w:rsidRPr="003C0842">
        <w:t xml:space="preserve"> czy i jak państwa mniejszościowe wywiązują się ze swoich obowiązków wobec części obywateli to przejście do procedury inwestygacyjno-nadzorczej, wprost godzącej w suwerenność państw-członków Ligi, z zasady równych.</w:t>
      </w:r>
    </w:p>
    <w:p w:rsidR="00D95F23" w:rsidRPr="003C0842" w:rsidRDefault="00D95F23" w:rsidP="00111348">
      <w:pPr>
        <w:autoSpaceDE w:val="0"/>
        <w:autoSpaceDN w:val="0"/>
        <w:adjustRightInd w:val="0"/>
        <w:spacing w:line="360" w:lineRule="auto"/>
        <w:ind w:firstLine="709"/>
      </w:pPr>
      <w:r w:rsidRPr="003C0842">
        <w:t>Podkreślano</w:t>
      </w:r>
      <w:r w:rsidR="00EF715E" w:rsidRPr="003C0842">
        <w:t xml:space="preserve"> także</w:t>
      </w:r>
      <w:r w:rsidRPr="003C0842">
        <w:t xml:space="preserve"> podstawową różnicę między oboma przywoływanymi systemami. Celem mandatów jest takie wspieranie i nadzorowanie rozwoju wewnętrznego obszaru mandatowego, aby mógł on z czasem usamodzielnić. Dlatego </w:t>
      </w:r>
      <w:r w:rsidR="00D1553E" w:rsidRPr="003C0842">
        <w:t>za</w:t>
      </w:r>
      <w:r w:rsidRPr="003C0842">
        <w:t xml:space="preserve"> rzecz oczywistą przyjmowano słuchanie opinii organizacji lokalnych i traktowanie ich jak strony w kontaktach z organami LN. Tymczasem ochrona mniejszości to próba stworzenia warunków do opartego na równości współżycia grup pod pewnymi względami różnych od większości obywateli danego państwa. Próby nadania tym grupom prawa do bezpośredniego kontaktu z organami LN to stawianie na jednej płaszczyźnie państwa i pewnej grupy jego obywateli, przez ten fakt wyróżnionej w stosunku do pozostałych</w:t>
      </w:r>
      <w:r w:rsidRPr="003C0842">
        <w:rPr>
          <w:rStyle w:val="Odwoanieprzypisudolnego"/>
          <w:rFonts w:ascii="Times New Roman" w:hAnsi="Times New Roman"/>
          <w:sz w:val="24"/>
        </w:rPr>
        <w:footnoteReference w:id="438"/>
      </w:r>
      <w:r w:rsidRPr="003C0842">
        <w:t>.</w:t>
      </w:r>
    </w:p>
    <w:p w:rsidR="00D95F23" w:rsidRPr="003C0842" w:rsidRDefault="00D95F23" w:rsidP="00111348">
      <w:pPr>
        <w:autoSpaceDE w:val="0"/>
        <w:autoSpaceDN w:val="0"/>
        <w:adjustRightInd w:val="0"/>
        <w:spacing w:line="360" w:lineRule="auto"/>
        <w:ind w:firstLine="709"/>
      </w:pPr>
      <w:r w:rsidRPr="003C0842">
        <w:t xml:space="preserve">Forsowany przez aktywistów z UIA, głównie z </w:t>
      </w:r>
      <w:r w:rsidR="003008B2" w:rsidRPr="003C0842">
        <w:t>Wielkiej</w:t>
      </w:r>
      <w:r w:rsidRPr="003C0842">
        <w:t xml:space="preserve"> Brytanii, Skandynawii, Niemiec i Węgier, projekt powołania stałej komisji mniejszościowej był także wspierany przez bezpośrednio zainteresowanych. Sprawę komplikowała świadomośćwykorzystywania mniejszości do bieżącej polityki. </w:t>
      </w:r>
      <w:r w:rsidR="00000FD1" w:rsidRPr="003C0842">
        <w:t>S</w:t>
      </w:r>
      <w:r w:rsidRPr="003C0842">
        <w:t xml:space="preserve">zczególnie aktywne były </w:t>
      </w:r>
      <w:r w:rsidR="00000FD1" w:rsidRPr="003C0842">
        <w:t>rządyN</w:t>
      </w:r>
      <w:r w:rsidRPr="003C0842">
        <w:t xml:space="preserve">iemiec i </w:t>
      </w:r>
      <w:r w:rsidR="007D3AC0" w:rsidRPr="003C0842">
        <w:t>W</w:t>
      </w:r>
      <w:r w:rsidRPr="003C0842">
        <w:t>ęgier. To one stopniowo przejmowały rolę „etatowych” obrońców mniejszości inicjując niejednokrotnie debatę na posiedzeniach plenarnych Zgromadzeń. Chodziło im także o kształtowanie sprzyjającej atmosfery dla zwiększenia obecności spraw mniejszościowych w bieżących pracach genewskich. Temu też miała służyć instytucja kongresów mniejszościowych. Liderem tej inicjatywy był dr Ewald Ammende, dziennikarz, okresowo dyrektor Regasche Rundschau, który szczycił się zwycięską kampanią w sprawie przyznania mniejszości niemieckiej w Estonii autonomii kulturalnej. Sukces w formie ustawy przyjętej przez parlament 12 lutego 1925 r. poważnie wzmocnił prowadzoną przez Niemców bałtyckich kampanię mającą na celu stworzenie swoistej „ligi narodów mniejszości”. Miało to być stowarzyszenie artykułujące dążenia i oczekiwania mniejszości europejskich. W bezpośrednich kontaktach z przedstawicielami mniejszości Ammende manifestował ugodowość i wolę pacyfikacji stosunków.</w:t>
      </w:r>
      <w:r w:rsidR="007D3AC0" w:rsidRPr="003C0842">
        <w:t xml:space="preserve"> O zapowiadanym</w:t>
      </w:r>
      <w:r w:rsidRPr="003C0842">
        <w:t xml:space="preserve"> na październik 1925 r. </w:t>
      </w:r>
      <w:r w:rsidRPr="003C0842">
        <w:lastRenderedPageBreak/>
        <w:t>spotkani</w:t>
      </w:r>
      <w:r w:rsidR="007D3AC0" w:rsidRPr="003C0842">
        <w:t>um</w:t>
      </w:r>
      <w:r w:rsidR="00BD5DF0" w:rsidRPr="003C0842">
        <w:t>ów</w:t>
      </w:r>
      <w:r w:rsidR="007D3AC0" w:rsidRPr="003C0842">
        <w:t>iono</w:t>
      </w:r>
      <w:r w:rsidRPr="003C0842">
        <w:t>głównie</w:t>
      </w:r>
      <w:r w:rsidR="00BD5DF0" w:rsidRPr="003C0842">
        <w:t xml:space="preserve"> jako o</w:t>
      </w:r>
      <w:r w:rsidRPr="003C0842">
        <w:t xml:space="preserve"> deba</w:t>
      </w:r>
      <w:r w:rsidR="00BD5DF0" w:rsidRPr="003C0842">
        <w:t>cie</w:t>
      </w:r>
      <w:r w:rsidR="007D4041" w:rsidRPr="003C0842">
        <w:t>informacyjno-</w:t>
      </w:r>
      <w:r w:rsidRPr="003C0842">
        <w:t>naukow</w:t>
      </w:r>
      <w:r w:rsidR="00BD5DF0" w:rsidRPr="003C0842">
        <w:t>ej</w:t>
      </w:r>
      <w:r w:rsidRPr="003C0842">
        <w:t xml:space="preserve">. Jedynie w tle jawiła się ewentualna rola koordynatora oraz spedytora </w:t>
      </w:r>
      <w:r w:rsidR="007D4041" w:rsidRPr="003C0842">
        <w:t>materiałów</w:t>
      </w:r>
      <w:r w:rsidRPr="003C0842">
        <w:t xml:space="preserve"> dotyczących mniejszości, widzianych raczej jako obiektu refleksji teoretycznej. Część interlokutorów dr. Ammende zastrzegała się, że organizujące się „biuro kongresu” nie może aspirować do reprezentowania i wypowiadania się w imieniu mniejszości.</w:t>
      </w:r>
    </w:p>
    <w:p w:rsidR="00D95F23" w:rsidRPr="003C0842" w:rsidRDefault="00D95F23" w:rsidP="00111348">
      <w:pPr>
        <w:autoSpaceDE w:val="0"/>
        <w:autoSpaceDN w:val="0"/>
        <w:adjustRightInd w:val="0"/>
        <w:spacing w:line="360" w:lineRule="auto"/>
        <w:ind w:firstLine="709"/>
      </w:pPr>
      <w:r w:rsidRPr="003C0842">
        <w:t>Inauguracja I Kongresu Grup Narodowych Europy miała miejsce w Genewie 15 października 1925 r. Był to sukces wszystkich, dla których rola mniejszości nie była dostatecznie ważna. Koszty podróży i pobytu 50 delegatów pokrywały organizacje międzynarodowe, wśród których był hojny Deutsche Stiftung, ale też ministerstwa spraw zagranicznych, dbające o „swoje” reprezentacje</w:t>
      </w:r>
      <w:r w:rsidRPr="003C0842">
        <w:rPr>
          <w:rStyle w:val="Odwoanieprzypisudolnego"/>
          <w:rFonts w:ascii="Times New Roman" w:hAnsi="Times New Roman"/>
          <w:sz w:val="24"/>
        </w:rPr>
        <w:footnoteReference w:id="439"/>
      </w:r>
      <w:r w:rsidRPr="003C0842">
        <w:t>.</w:t>
      </w:r>
    </w:p>
    <w:p w:rsidR="00D95F23" w:rsidRPr="003C0842" w:rsidRDefault="00D95F23" w:rsidP="00111348">
      <w:pPr>
        <w:autoSpaceDE w:val="0"/>
        <w:autoSpaceDN w:val="0"/>
        <w:adjustRightInd w:val="0"/>
        <w:spacing w:line="360" w:lineRule="auto"/>
        <w:ind w:firstLine="709"/>
      </w:pPr>
      <w:r w:rsidRPr="003C0842">
        <w:t xml:space="preserve">Dominacja organizacyjna i ilościowa 11 grup reprezentujących mniejszości niemieckie (dalsze najliczniejsze to 4 polskie i 3 żydowskie) uzewnętrzniła się w języku obrad. Można było przemawiać w każdym, ale tylko do francuskiego i niemieckiego nie było wymagane tłumaczenie. Niektórzy z delegatów zastrzegali się, że mówią po niemiecku mając na uwadze ułatwienie i przyspieszenie obrad. Rychło zauważono, że w wypowiedziach grup niemieckich coraz częściej uzgodnione przed kongresem określenie </w:t>
      </w:r>
      <w:r w:rsidRPr="003C0842">
        <w:rPr>
          <w:i/>
        </w:rPr>
        <w:t>loyalität</w:t>
      </w:r>
      <w:r w:rsidRPr="003C0842">
        <w:t xml:space="preserve"> zastępowano </w:t>
      </w:r>
      <w:r w:rsidRPr="003C0842">
        <w:rPr>
          <w:i/>
        </w:rPr>
        <w:t>legälität</w:t>
      </w:r>
      <w:r w:rsidRPr="003C0842">
        <w:t>. Upowszechnienie tego ostatniego określenia miało zepchnąć zakładaną przez twórców systemu „lojalność mniejszości” wobec państwa zamieszkiwania przez formułę „legalność działania mniejszości”, czyli mieszczącej się w granicach obowiązującego w danym państwie prawa.</w:t>
      </w:r>
    </w:p>
    <w:p w:rsidR="00D95F23" w:rsidRPr="003C0842" w:rsidRDefault="00D95F23" w:rsidP="00111348">
      <w:pPr>
        <w:autoSpaceDE w:val="0"/>
        <w:autoSpaceDN w:val="0"/>
        <w:adjustRightInd w:val="0"/>
        <w:spacing w:line="360" w:lineRule="auto"/>
        <w:ind w:firstLine="709"/>
      </w:pPr>
      <w:r w:rsidRPr="003C0842">
        <w:t>Daleko silniejsze reakcje wywoływały próby upowszechniania przez delegatów mniejszości niemieckich „rozwiązania estońskiego”</w:t>
      </w:r>
      <w:r w:rsidR="00D0678F" w:rsidRPr="003C0842">
        <w:t>,</w:t>
      </w:r>
      <w:r w:rsidRPr="003C0842">
        <w:t xml:space="preserve"> wynikającego z ustawy o autonomii kulturalnej dla mniejszości narodowych</w:t>
      </w:r>
      <w:r w:rsidR="00D0678F" w:rsidRPr="003C0842">
        <w:t xml:space="preserve"> przyjętej 12 lutego1925 r.</w:t>
      </w:r>
      <w:r w:rsidRPr="003C0842">
        <w:t xml:space="preserve"> Jedni podkreślali znaczenie precedensu estońskiego, inni minimalizowali jego znaczenie, wskazując na niewielkie znaczenie mniejszości w tym kraju. Niemców było 1,7% (18 tys.), Żydów 0,4% (4,5 tys.), a Rosjanie – największa grupa (90 tys., tj. 8%) w ogóle nie zorganizowali się jako mniejszość</w:t>
      </w:r>
      <w:r w:rsidR="00435B78" w:rsidRPr="003C0842">
        <w:t>. Pozostałe jeszcze mniej liczebne mniejszości nie okazały do tego uregulowania żadnego zainteresowania</w:t>
      </w:r>
      <w:r w:rsidR="00BD5DF0" w:rsidRPr="003C0842">
        <w:rPr>
          <w:rStyle w:val="Odwoanieprzypisudolnego"/>
          <w:rFonts w:ascii="Times New Roman" w:hAnsi="Times New Roman"/>
          <w:sz w:val="24"/>
        </w:rPr>
        <w:footnoteReference w:id="440"/>
      </w:r>
      <w:r w:rsidRPr="003C0842">
        <w:t xml:space="preserve">. Zasadniczy front nabrzmiewających kontrowersji wywołanych autonomią kulturalną przebiegał między uczestnikami separacji (odgradzania) mniejszości od większości </w:t>
      </w:r>
      <w:r w:rsidRPr="003C0842">
        <w:lastRenderedPageBreak/>
        <w:t xml:space="preserve">obywateli, a – z drugiej strony – postępującą stopniowo asymilacją. Rzecznikami tej pierwszej byli – </w:t>
      </w:r>
      <w:r w:rsidRPr="00DC65D6">
        <w:rPr>
          <w:i/>
        </w:rPr>
        <w:t>grosso modo</w:t>
      </w:r>
      <w:r w:rsidRPr="003C0842">
        <w:t xml:space="preserve"> – politycy, którzy wprzęgli mniejszości w rydwan programu rewizjonistycznego. W wydaniu niemieckim, z którym identyfikował się też min. Stresemann, punktem centralnym było utrwalenie stanu posiadania na obszarze zamieszkiwanym przez mniejszości. Organizowane wspólnoty kulturowe jako reprezentujące wyższy stopień cywilizacyjny, </w:t>
      </w:r>
      <w:r w:rsidR="00435B78" w:rsidRPr="003C0842">
        <w:t>miał</w:t>
      </w:r>
      <w:r w:rsidR="00D0678F" w:rsidRPr="003C0842">
        <w:t>y</w:t>
      </w:r>
      <w:r w:rsidRPr="003C0842">
        <w:t xml:space="preserve"> wpływać, dominować, przyciągać kultury miejscowe, nawet je asymilować. W tym rozumieniu idea autonomii kulturowej „była nie tylko programem równouprawnienia, ile ekspansji”</w:t>
      </w:r>
      <w:r w:rsidRPr="003C0842">
        <w:rPr>
          <w:rStyle w:val="Odwoanieprzypisudolnego"/>
          <w:rFonts w:ascii="Times New Roman" w:hAnsi="Times New Roman"/>
          <w:sz w:val="24"/>
        </w:rPr>
        <w:footnoteReference w:id="441"/>
      </w:r>
      <w:r w:rsidRPr="003C0842">
        <w:t>.</w:t>
      </w:r>
    </w:p>
    <w:p w:rsidR="00BD56B3" w:rsidRDefault="00D95F23" w:rsidP="00111348">
      <w:pPr>
        <w:autoSpaceDE w:val="0"/>
        <w:autoSpaceDN w:val="0"/>
        <w:adjustRightInd w:val="0"/>
        <w:spacing w:line="360" w:lineRule="auto"/>
        <w:ind w:firstLine="709"/>
      </w:pPr>
      <w:r w:rsidRPr="003C0842">
        <w:t>Tak też była odbierana przez rządy państw „sukcesyjnych” mających w obrębie nowych granic zwarte, silne, częstokroć zaprawione w boju grupy, będące elementem prowadzonej w XIX w</w:t>
      </w:r>
      <w:r w:rsidR="0075478E">
        <w:t>.</w:t>
      </w:r>
      <w:r w:rsidRPr="003C0842">
        <w:t xml:space="preserve"> kolonizacji. W nowej sytuacji, każdy wyjazd rodziny niemieckiej z ziem polskich, czeskich, słowackich – każdego skrawka mieszczącego się w planach rewindykacyjnych, był traktowany jako klęska jednych, a sukces drugich. Przymus opuszczenia siedzib, zwykle dobrze zorganizowanych przez rodziny identyfikujące się z miejscem zamieszkania, rodził niezwykle zapalny i antagonistyczny splot czynników. Skargi i petycje płynące od mniejszości, zwłaszcza na postępowanie Czechosłowacji, Polski i Rumunii oraz wyjaśnienia przekazywane przez </w:t>
      </w:r>
      <w:r w:rsidR="00305E24" w:rsidRPr="003C0842">
        <w:t xml:space="preserve">rządy tych państw </w:t>
      </w:r>
      <w:r w:rsidRPr="003C0842">
        <w:t>do Genewy,</w:t>
      </w:r>
      <w:r w:rsidR="00D0678F" w:rsidRPr="003C0842">
        <w:t xml:space="preserve"> uwydatniały pracownikom Sekretariatu, a także opinii światowej, trudności w zaspakajaniu oczekiwań stron.</w:t>
      </w:r>
      <w:r w:rsidR="00305E24" w:rsidRPr="003C0842">
        <w:t xml:space="preserve"> Konieczny i naturalny w tych warunkach kompromis bywał przez strony przyjmowany z niezadowoleniem, nieraz oburzeniem na niesprawiedliwe lub przewlekłe</w:t>
      </w:r>
      <w:r w:rsidRPr="003C0842">
        <w:t xml:space="preserve"> procedowanie Ligi – w Sekcji Komisji Administracyjnych i Mniejszości, </w:t>
      </w:r>
      <w:r w:rsidR="00305E24" w:rsidRPr="003C0842">
        <w:t>w Komitecie</w:t>
      </w:r>
      <w:r w:rsidRPr="003C0842">
        <w:t xml:space="preserve"> Trzech, później Rady in corpore, nieraz także przed Stałym Trybunałem Sprawiedliwości Międzynarodowej. </w:t>
      </w:r>
      <w:r w:rsidR="00305E24" w:rsidRPr="003C0842">
        <w:t>Oczywisty</w:t>
      </w:r>
      <w:r w:rsidRPr="003C0842">
        <w:t xml:space="preserve">, godny poparcia punkt widzenia </w:t>
      </w:r>
      <w:r w:rsidR="00305E24" w:rsidRPr="003C0842">
        <w:t>zawarty w petycji lub wyjaśnieniu rządowym do niej,</w:t>
      </w:r>
      <w:r w:rsidRPr="003C0842">
        <w:t xml:space="preserve"> po zderzeniu z argumentami </w:t>
      </w:r>
      <w:r w:rsidR="00305E24" w:rsidRPr="003C0842">
        <w:t>adwersarza</w:t>
      </w:r>
      <w:r w:rsidRPr="003C0842">
        <w:t xml:space="preserve"> przestawał być „jedynie słusznym”.</w:t>
      </w:r>
    </w:p>
    <w:p w:rsidR="00D95F23" w:rsidRPr="003C0842" w:rsidRDefault="00D95F23" w:rsidP="00111348">
      <w:pPr>
        <w:autoSpaceDE w:val="0"/>
        <w:autoSpaceDN w:val="0"/>
        <w:adjustRightInd w:val="0"/>
        <w:spacing w:line="360" w:lineRule="auto"/>
        <w:ind w:firstLine="709"/>
      </w:pPr>
      <w:r w:rsidRPr="003C0842">
        <w:t>Mniejszości popierane przez macierzyste rządy znajdowały na ogół posłuch</w:t>
      </w:r>
      <w:r w:rsidR="00D1553E" w:rsidRPr="003C0842">
        <w:t>,</w:t>
      </w:r>
      <w:r w:rsidRPr="003C0842">
        <w:t xml:space="preserve"> jeśli walczyły o zachowanie własności ziemskiej, swobód w zakresie zrzeszania, wolności języka i edukacji bądź praktyk religijnych, ale już wołanie o autonomię kulturalną (ewentualnie polityczną, może w perspektywie terytorialną) nie znajdowało zbyt licznych zwolenników. Widziano w nim bowiem także konsolidację najsilniejszych mniejszości, zamieszkujących pobliskie, zwykle nadgraniczne tereny. W autonomii widziano też, i to po obu stronach, próbę </w:t>
      </w:r>
      <w:r w:rsidRPr="003C0842">
        <w:lastRenderedPageBreak/>
        <w:t>zahamowania trwającej od kilku dziesięcioleci, różnie motywowanej ucieczki Niemców na zachód, słynn</w:t>
      </w:r>
      <w:r w:rsidR="00305E24" w:rsidRPr="003C0842">
        <w:t>ego</w:t>
      </w:r>
      <w:r w:rsidRPr="003C0842">
        <w:t xml:space="preserve"> Ostflucht</w:t>
      </w:r>
      <w:r w:rsidR="00305E24" w:rsidRPr="003C0842">
        <w:t>u</w:t>
      </w:r>
      <w:r w:rsidRPr="003C0842">
        <w:t>. W grę wchodził wielopiętrowy kompleks spraw polityczno-społeczno-gospodarczych i psychologicznych</w:t>
      </w:r>
      <w:r w:rsidRPr="003C0842">
        <w:rPr>
          <w:rStyle w:val="Odwoanieprzypisudolnego"/>
          <w:rFonts w:ascii="Times New Roman" w:hAnsi="Times New Roman"/>
          <w:sz w:val="24"/>
        </w:rPr>
        <w:footnoteReference w:id="442"/>
      </w:r>
      <w:r w:rsidRPr="003C0842">
        <w:t xml:space="preserve"> (nasi wyjeżdżają,</w:t>
      </w:r>
      <w:r w:rsidR="00CF43FC" w:rsidRPr="003C0842">
        <w:t xml:space="preserve"> nieznani </w:t>
      </w:r>
      <w:r w:rsidRPr="003C0842">
        <w:t xml:space="preserve">nowi sąsiedzi itd.), po bieżące </w:t>
      </w:r>
      <w:r w:rsidR="00164234" w:rsidRPr="003C0842">
        <w:t>–</w:t>
      </w:r>
      <w:r w:rsidRPr="003C0842">
        <w:t xml:space="preserve">w rodzaju </w:t>
      </w:r>
      <w:r w:rsidR="00305E24" w:rsidRPr="003C0842">
        <w:t xml:space="preserve">dostatecznie dużej populacji dla </w:t>
      </w:r>
      <w:r w:rsidRPr="003C0842">
        <w:t>utrzymania mniejszościowych szkół, parafii. Bo w ostrej walce o utrzymanie niemieckiej własności na „ziemiach zabranych” imano się wszelkich środków, nie stroniąc od wykorzystywania Kościoła – każdego, chociaż głównie ewangelickiego.</w:t>
      </w:r>
    </w:p>
    <w:p w:rsidR="00D95F23" w:rsidRPr="003C0842" w:rsidRDefault="00D95F23" w:rsidP="00111348">
      <w:pPr>
        <w:autoSpaceDE w:val="0"/>
        <w:autoSpaceDN w:val="0"/>
        <w:adjustRightInd w:val="0"/>
        <w:spacing w:line="360" w:lineRule="auto"/>
        <w:ind w:firstLine="709"/>
      </w:pPr>
      <w:r w:rsidRPr="003C0842">
        <w:t>Rząd polski w przekazywanych do Rady LN wyjaśnieniach dotyczących zmian w stosunkach własnościowych na wsiach, m.in. w wyniku reformy rolnej nie krył, że Pruska Komisja Osadnicza w Wielkopolsce i na Pomorzu nie zaprzestała działalności po rozejmie</w:t>
      </w:r>
      <w:r w:rsidR="00CF43FC" w:rsidRPr="003C0842">
        <w:t xml:space="preserve">w </w:t>
      </w:r>
      <w:r w:rsidRPr="003C0842">
        <w:t>1918 r. Do 10 stycznia 1920 r., tj.</w:t>
      </w:r>
      <w:r w:rsidR="00CF43FC" w:rsidRPr="003C0842">
        <w:t xml:space="preserve">dnia </w:t>
      </w:r>
      <w:r w:rsidRPr="003C0842">
        <w:t>efektywnego przejęcia przez Polskę ziem włączonych na podstawie traktatu wersalskiego, komisja ta stworzyła ok</w:t>
      </w:r>
      <w:r w:rsidR="00CF43FC" w:rsidRPr="003C0842">
        <w:t>oło</w:t>
      </w:r>
      <w:r w:rsidRPr="003C0842">
        <w:t xml:space="preserve"> 1100 nowych osad kolonizacyjnych na 14300 hektarach. Jednocześnie rząd Prus </w:t>
      </w:r>
      <w:r w:rsidR="00CF43FC" w:rsidRPr="003C0842">
        <w:t>po</w:t>
      </w:r>
      <w:r w:rsidRPr="003C0842">
        <w:t>spiesznie przedłużał umowy dzierżawne domen państwowych, niektóre aż do 1948 r. Edmund Makowski wykazał, że machina mająca na celu powiększanie niemieckiego stanu posiadania w rolnictwie zachodniej Polski działała nadal. Spory ciągnęły się wiele lat i nie zakończyły się bynajmniej, kiedy w połowie 1926 r. władze polskie zaprzestały usuwania optantów niemieckich z ziem polskich</w:t>
      </w:r>
      <w:r w:rsidRPr="003C0842">
        <w:rPr>
          <w:rStyle w:val="Odwoanieprzypisudolnego"/>
          <w:rFonts w:ascii="Times New Roman" w:hAnsi="Times New Roman"/>
          <w:sz w:val="24"/>
        </w:rPr>
        <w:footnoteReference w:id="443"/>
      </w:r>
      <w:r w:rsidRPr="003C0842">
        <w:t>. Duch Locarn</w:t>
      </w:r>
      <w:r w:rsidR="00A855F2" w:rsidRPr="003C0842">
        <w:t xml:space="preserve">o, </w:t>
      </w:r>
      <w:r w:rsidR="002B0D81" w:rsidRPr="003C0842">
        <w:t>p</w:t>
      </w:r>
      <w:r w:rsidRPr="003C0842">
        <w:t>lan Dawesa osłabiły pozycję negocjacyjną Polski w rokowaniach gospodarczych z Niemcami, które z premedytacją przemieniły się w wyniszczającą „wojnę gospodarczą”. Towarzyszyła ona Republice Weimarskiej przez wszystkie lata jej istnienia</w:t>
      </w:r>
      <w:r w:rsidR="002B0D81" w:rsidRPr="003C0842">
        <w:t>,</w:t>
      </w:r>
      <w:r w:rsidRPr="003C0842">
        <w:t xml:space="preserve"> przesądzając o kształcie i charakterze stosunków z Polską</w:t>
      </w:r>
      <w:r w:rsidRPr="003C0842">
        <w:rPr>
          <w:rStyle w:val="Odwoanieprzypisudolnego"/>
          <w:rFonts w:ascii="Times New Roman" w:hAnsi="Times New Roman"/>
          <w:sz w:val="24"/>
        </w:rPr>
        <w:footnoteReference w:id="444"/>
      </w:r>
      <w:r w:rsidRPr="003C0842">
        <w:t>.</w:t>
      </w:r>
    </w:p>
    <w:p w:rsidR="00D95F23" w:rsidRPr="003C0842" w:rsidRDefault="00D95F23" w:rsidP="00111348">
      <w:pPr>
        <w:autoSpaceDE w:val="0"/>
        <w:autoSpaceDN w:val="0"/>
        <w:adjustRightInd w:val="0"/>
        <w:spacing w:line="360" w:lineRule="auto"/>
        <w:ind w:firstLine="709"/>
      </w:pPr>
      <w:r w:rsidRPr="003C0842">
        <w:t xml:space="preserve">Nie bardzo skrywane kontakty między liderami niemieckich organizacji mniejszościowych a „oficjalnymi czynnikami” (głównie AA) spowodowało rezerwę Sekretariatu LN wobec projektów autonomii kulturalnej, która stała się znakiem firmowym kongresów mniejszościowych w Europie. Rezerwa była </w:t>
      </w:r>
      <w:r w:rsidR="00252495" w:rsidRPr="003C0842">
        <w:t xml:space="preserve">zrazu </w:t>
      </w:r>
      <w:r w:rsidRPr="003C0842">
        <w:t>spora</w:t>
      </w:r>
      <w:r w:rsidR="00252495" w:rsidRPr="003C0842">
        <w:t>,</w:t>
      </w:r>
      <w:r w:rsidRPr="003C0842">
        <w:t xml:space="preserve"> skoro odmówiono nawet przyjęcia w siedzibie Sekretariatu delegacji złożonej z prezydium kongresu z komunikatem o jego wynikach. Sprawę załatwiono pisemnie</w:t>
      </w:r>
      <w:r w:rsidRPr="003C0842">
        <w:rPr>
          <w:rStyle w:val="Odwoanieprzypisudolnego"/>
          <w:rFonts w:ascii="Times New Roman" w:hAnsi="Times New Roman"/>
          <w:sz w:val="24"/>
        </w:rPr>
        <w:footnoteReference w:id="445"/>
      </w:r>
      <w:r w:rsidRPr="003C0842">
        <w:t>.</w:t>
      </w:r>
    </w:p>
    <w:p w:rsidR="000F713E" w:rsidRPr="003C0842" w:rsidRDefault="00AF00B2" w:rsidP="00111348">
      <w:pPr>
        <w:autoSpaceDE w:val="0"/>
        <w:autoSpaceDN w:val="0"/>
        <w:adjustRightInd w:val="0"/>
        <w:spacing w:line="360" w:lineRule="auto"/>
        <w:ind w:firstLine="709"/>
      </w:pPr>
      <w:r w:rsidRPr="003C0842">
        <w:t xml:space="preserve">Podkreślane i dostrzeżone </w:t>
      </w:r>
      <w:r w:rsidR="00D95F23" w:rsidRPr="003C0842">
        <w:t xml:space="preserve">trzymywanie się liderów kongresu w ramach nakreślonych </w:t>
      </w:r>
      <w:r w:rsidRPr="003C0842">
        <w:t xml:space="preserve">w enuncjacjach </w:t>
      </w:r>
      <w:r w:rsidR="00D95F23" w:rsidRPr="003C0842">
        <w:t>podczas przygotowań</w:t>
      </w:r>
      <w:r w:rsidRPr="003C0842">
        <w:t>, jak również wzgląd na trwającą</w:t>
      </w:r>
      <w:r w:rsidR="00D95F23" w:rsidRPr="003C0842">
        <w:t xml:space="preserve"> w 1926 r. </w:t>
      </w:r>
      <w:r w:rsidRPr="003C0842">
        <w:t xml:space="preserve">walkę </w:t>
      </w:r>
      <w:r w:rsidRPr="003C0842">
        <w:lastRenderedPageBreak/>
        <w:t>związaną</w:t>
      </w:r>
      <w:r w:rsidR="00D95F23" w:rsidRPr="003C0842">
        <w:t xml:space="preserve"> z rekonstrukcją składu Rady oraz wejściem Niemiec do Ligi, </w:t>
      </w:r>
      <w:r w:rsidRPr="003C0842">
        <w:t>skłoniły</w:t>
      </w:r>
      <w:r w:rsidR="00D95F23" w:rsidRPr="003C0842">
        <w:t xml:space="preserve"> Sekretariat LN do okazania instytucji kongresów większego zainteresowania. Oprócz obserwatora mającego przysłuchiwać się obr</w:t>
      </w:r>
      <w:r w:rsidRPr="003C0842">
        <w:t>adom, w otwarciu II Kongresu 25 sierpnia 1926 r. uczestniczył</w:t>
      </w:r>
      <w:r w:rsidR="00CF43FC" w:rsidRPr="003C0842">
        <w:t xml:space="preserve">Erik </w:t>
      </w:r>
      <w:r w:rsidR="00D95F23" w:rsidRPr="003C0842">
        <w:t>Colban, dyrektor Sekcji Komisji Administracyjnych i Mniejszości.</w:t>
      </w:r>
      <w:r w:rsidRPr="003C0842">
        <w:t xml:space="preserve"> Stonowane przemówienie inauguracyjne wygłosił</w:t>
      </w:r>
      <w:r w:rsidR="00D95F23" w:rsidRPr="003C0842">
        <w:t xml:space="preserve">dr Josip Wilfan, </w:t>
      </w:r>
      <w:r w:rsidRPr="003C0842">
        <w:t xml:space="preserve">poseł Słoweńców i Chorwatów w parlamencie włoskim, </w:t>
      </w:r>
      <w:r w:rsidR="00D95F23" w:rsidRPr="003C0842">
        <w:t>funkcjonujący w obszarze kultury niemieckiej. Fakt, że II Kongres Mniejszości Narodowych Europy (taką właśnie nazwę przyjął) odbył się w Genewie na kilka dni przed Zgromadzeniem LN</w:t>
      </w:r>
      <w:r w:rsidR="002B0D81" w:rsidRPr="003C0842">
        <w:t>,</w:t>
      </w:r>
      <w:r w:rsidR="00D95F23" w:rsidRPr="003C0842">
        <w:t xml:space="preserve"> miał swoją wymowę. </w:t>
      </w:r>
    </w:p>
    <w:p w:rsidR="00D95F23" w:rsidRPr="003C0842" w:rsidRDefault="00D95F23" w:rsidP="00111348">
      <w:pPr>
        <w:autoSpaceDE w:val="0"/>
        <w:autoSpaceDN w:val="0"/>
        <w:adjustRightInd w:val="0"/>
        <w:spacing w:line="360" w:lineRule="auto"/>
        <w:ind w:firstLine="709"/>
      </w:pPr>
      <w:r w:rsidRPr="003C0842">
        <w:t>Odnotowan</w:t>
      </w:r>
      <w:r w:rsidR="00AF00B2" w:rsidRPr="003C0842">
        <w:t>e</w:t>
      </w:r>
      <w:r w:rsidRPr="003C0842">
        <w:t xml:space="preserve"> dążenie liderów kongresu do łagodzenia wypowiedzi, w tym krytyki wobec działań Ligi</w:t>
      </w:r>
      <w:r w:rsidR="00AF00B2" w:rsidRPr="003C0842">
        <w:t xml:space="preserve">, nie oznaczało </w:t>
      </w:r>
      <w:r w:rsidR="00252495" w:rsidRPr="003C0842">
        <w:t>rezygn</w:t>
      </w:r>
      <w:r w:rsidR="00AF00B2" w:rsidRPr="003C0842">
        <w:t>acji</w:t>
      </w:r>
      <w:r w:rsidR="00252495" w:rsidRPr="003C0842">
        <w:t xml:space="preserve"> z dezyderatów, nieraz daleko idących. Oczekiwano</w:t>
      </w:r>
      <w:r w:rsidR="000F713E" w:rsidRPr="003C0842">
        <w:t>więc</w:t>
      </w:r>
      <w:r w:rsidRPr="003C0842">
        <w:t>jawne</w:t>
      </w:r>
      <w:r w:rsidR="00252495" w:rsidRPr="003C0842">
        <w:t>go rozpatrywania</w:t>
      </w:r>
      <w:r w:rsidRPr="003C0842">
        <w:t xml:space="preserve"> przez Radę wszelkich zagadnień dotyczących mniejszości. Chciano też</w:t>
      </w:r>
      <w:r w:rsidR="002B0D81" w:rsidRPr="003C0842">
        <w:t>,</w:t>
      </w:r>
      <w:r w:rsidRPr="003C0842">
        <w:t xml:space="preserve"> aby </w:t>
      </w:r>
      <w:r w:rsidR="000F713E" w:rsidRPr="003C0842">
        <w:t xml:space="preserve">przedstawiciel petycjonariusza </w:t>
      </w:r>
      <w:r w:rsidRPr="003C0842">
        <w:t xml:space="preserve">miał prawo bezpośredniego występowania przed Radą rozpatrującą skargę. Postulowano także, aby każdy członek Ligi, a nie tylko Rady, mógł zwrócić jej uwagę na sytuację </w:t>
      </w:r>
      <w:r w:rsidR="000F713E" w:rsidRPr="003C0842">
        <w:t>określonej</w:t>
      </w:r>
      <w:r w:rsidRPr="003C0842">
        <w:t xml:space="preserve"> mniejszości. Chciano także wzmocnienia pozycji mniejszości w państwach, w których posiadały one własną reprezentację</w:t>
      </w:r>
      <w:r w:rsidR="000F713E" w:rsidRPr="003C0842">
        <w:t xml:space="preserve"> – czy to lokalną</w:t>
      </w:r>
      <w:r w:rsidR="00C7001D" w:rsidRPr="003C0842">
        <w:t>,</w:t>
      </w:r>
      <w:r w:rsidR="000F713E" w:rsidRPr="003C0842">
        <w:t xml:space="preserve"> czy </w:t>
      </w:r>
      <w:r w:rsidR="00C7001D" w:rsidRPr="003C0842">
        <w:t xml:space="preserve">to </w:t>
      </w:r>
      <w:r w:rsidR="000F713E" w:rsidRPr="003C0842">
        <w:t>ogólnopaństwową</w:t>
      </w:r>
      <w:r w:rsidRPr="003C0842">
        <w:t>.</w:t>
      </w:r>
      <w:r w:rsidR="000F713E" w:rsidRPr="003C0842">
        <w:t xml:space="preserve"> W</w:t>
      </w:r>
      <w:r w:rsidRPr="003C0842">
        <w:t xml:space="preserve">szelkie problemy sporne </w:t>
      </w:r>
      <w:r w:rsidR="000F713E" w:rsidRPr="003C0842">
        <w:t xml:space="preserve">miały być regulowane </w:t>
      </w:r>
      <w:r w:rsidRPr="003C0842">
        <w:t xml:space="preserve">przez komisje powołane przez rządy i przedstawicieli danej mniejszości. </w:t>
      </w:r>
      <w:r w:rsidR="000F713E" w:rsidRPr="003C0842">
        <w:t>Akcentowano, że n</w:t>
      </w:r>
      <w:r w:rsidRPr="003C0842">
        <w:t>iepowodzenie pertraktacji „w domu” i skierowanie petycji do LN nie powinno być traktowane jako krok nielojalny czy nieprzyjazny</w:t>
      </w:r>
      <w:r w:rsidR="000F713E" w:rsidRPr="003C0842">
        <w:t xml:space="preserve"> wobec większości</w:t>
      </w:r>
      <w:r w:rsidRPr="003C0842">
        <w:t>.</w:t>
      </w:r>
    </w:p>
    <w:p w:rsidR="00D95F23" w:rsidRPr="003C0842" w:rsidRDefault="00D95F23" w:rsidP="00111348">
      <w:pPr>
        <w:autoSpaceDE w:val="0"/>
        <w:autoSpaceDN w:val="0"/>
        <w:adjustRightInd w:val="0"/>
        <w:spacing w:line="360" w:lineRule="auto"/>
        <w:ind w:firstLine="709"/>
      </w:pPr>
      <w:r w:rsidRPr="003C0842">
        <w:t>Przyjmowaniu uchwał II Kongresu towarzyszył pogłębiający się rozdźwięk między mniejszościami niemieckimi z jednej strony</w:t>
      </w:r>
      <w:r w:rsidR="00C7001D" w:rsidRPr="003C0842">
        <w:t>,</w:t>
      </w:r>
      <w:r w:rsidRPr="003C0842">
        <w:t xml:space="preserve"> a słowiańskimi z drugiej. Odmienne oczekiwania od instytucji kongresów nasiliły się podczas przygotowań do kolejnego spotkania. Przedstawiciele mniejszości niemieckiej akcentowali potrzebę upowszechnienia postulatu dotyczącego autonomii kulturalnej. Sekretarz kongresu dr Evald Ammende odbył kilka podróży agitując na rzecz powyższej tezy. Podjął także pertraktacje z przedstawicielami mniejszości ukraińskiej w Polsce, która stając na gruncie samostanowienia dla Ukraińców, </w:t>
      </w:r>
      <w:r w:rsidR="000F713E" w:rsidRPr="003C0842">
        <w:t xml:space="preserve">nie miała dotąd </w:t>
      </w:r>
      <w:r w:rsidRPr="003C0842">
        <w:t>dostęp</w:t>
      </w:r>
      <w:r w:rsidR="000F713E" w:rsidRPr="003C0842">
        <w:t>u</w:t>
      </w:r>
      <w:r w:rsidRPr="003C0842">
        <w:t xml:space="preserve"> do </w:t>
      </w:r>
      <w:r w:rsidR="00252495" w:rsidRPr="003C0842">
        <w:t>K</w:t>
      </w:r>
      <w:r w:rsidRPr="003C0842">
        <w:t xml:space="preserve">ongresu. </w:t>
      </w:r>
    </w:p>
    <w:p w:rsidR="00D95F23" w:rsidRPr="003C0842" w:rsidRDefault="00D95F23" w:rsidP="00111348">
      <w:pPr>
        <w:autoSpaceDE w:val="0"/>
        <w:autoSpaceDN w:val="0"/>
        <w:adjustRightInd w:val="0"/>
        <w:spacing w:line="360" w:lineRule="auto"/>
        <w:ind w:firstLine="709"/>
      </w:pPr>
      <w:r w:rsidRPr="003C0842">
        <w:t xml:space="preserve">Stale drażliwy problem określania przynależności do mniejszości </w:t>
      </w:r>
      <w:r w:rsidR="001C5DCA" w:rsidRPr="003C0842">
        <w:t>wybuchł</w:t>
      </w:r>
      <w:r w:rsidRPr="003C0842">
        <w:t xml:space="preserve"> podczas III Kongresu Mniejszości Narodowych Europy, który rozpoczął się 22 sierpnia 1927 r. w Genewie. Przez trzy dni 43 delegatów reprezentujących 11 grup narodowych uczestniczyło w debacie, w której pamiętano o teorii</w:t>
      </w:r>
      <w:r w:rsidR="00C7001D" w:rsidRPr="003C0842">
        <w:t>,</w:t>
      </w:r>
      <w:r w:rsidRPr="003C0842">
        <w:t xml:space="preserve"> o ile była przydatna dla praktyki bieżącej. Paul Schiemann z Łotwy w imieniu mniejszości niemieckich obstawał przy zdaniu, że o przynależności do mniejszości decyduje deklaracja zainteresowanego</w:t>
      </w:r>
      <w:r w:rsidR="00164234" w:rsidRPr="003C0842">
        <w:t>–</w:t>
      </w:r>
      <w:r w:rsidRPr="003C0842">
        <w:t xml:space="preserve"> czyli „swobodne przyznanie się”. Natomiast mniejszości polskie, które reprezentował J</w:t>
      </w:r>
      <w:r w:rsidR="004769CA" w:rsidRPr="003C0842">
        <w:t>an</w:t>
      </w:r>
      <w:r w:rsidRPr="003C0842">
        <w:t xml:space="preserve"> Kaczmarek z </w:t>
      </w:r>
      <w:r w:rsidRPr="003C0842">
        <w:lastRenderedPageBreak/>
        <w:t>Berlina, broniły tezy, że przynależność do mniejszości to świadomość należenia do społeczności mniejszościowej oraz takie obiektywne elementy</w:t>
      </w:r>
      <w:r w:rsidR="00C7001D" w:rsidRPr="003C0842">
        <w:t>,</w:t>
      </w:r>
      <w:r w:rsidRPr="003C0842">
        <w:t xml:space="preserve"> jak pochodzenie i język, którym rozmawia się w domu. Na tym stanowisku widoczne piętno odcisnęło toczące się już postępowanie w sprawie „dzieci maurerowskich”</w:t>
      </w:r>
      <w:r w:rsidRPr="003C0842">
        <w:rPr>
          <w:rStyle w:val="Odwoanieprzypisudolnego"/>
          <w:rFonts w:ascii="Times New Roman" w:hAnsi="Times New Roman"/>
          <w:sz w:val="24"/>
        </w:rPr>
        <w:footnoteReference w:id="446"/>
      </w:r>
      <w:r w:rsidRPr="003C0842">
        <w:t>. Odmienność w podejściu do tej sprawy o istotnym znaczeniu, jak również rozbieżności w ocenie profitów możliwych do osiągnięcia dzięki autonomii kulturalnej zakończyła się secesją grup polskich skupionych w Związku Mniejszości Narodowych w Niemczech. Ostatniego dnia kongresu, 24 sierpnia 1927 r. na sali obrad pozostali Niemcy, Katalończycy, Żydzi, Węgrzy oraz Ukraińcy z Rumunii, którzy byli jedynymi przedstawicielami grup słowiańskich. Secesja była ciosem dla liderów przedsięwzięcia. E</w:t>
      </w:r>
      <w:r w:rsidR="007D0FB5" w:rsidRPr="003C0842">
        <w:t>v</w:t>
      </w:r>
      <w:r w:rsidRPr="003C0842">
        <w:t>ald Ammende, także po opuszczeniu obrad przez Polaków i inne grupy słowiańskie, zabiegał o znalezienie formuły pozwalającej na utrzymanie przy życiu instytucji reprezentującej interesy mniejszości narodowych Europy. Rozłamu nie zdołanojednak przezwyciężyć</w:t>
      </w:r>
      <w:r w:rsidRPr="003C0842">
        <w:rPr>
          <w:rStyle w:val="Odwoanieprzypisudolnego"/>
          <w:rFonts w:ascii="Times New Roman" w:hAnsi="Times New Roman"/>
          <w:sz w:val="24"/>
        </w:rPr>
        <w:footnoteReference w:id="447"/>
      </w:r>
      <w:r w:rsidRPr="003C0842">
        <w:t>.</w:t>
      </w:r>
    </w:p>
    <w:p w:rsidR="001C5DCA" w:rsidRPr="003C0842" w:rsidRDefault="00D95F23" w:rsidP="00111348">
      <w:pPr>
        <w:autoSpaceDE w:val="0"/>
        <w:autoSpaceDN w:val="0"/>
        <w:adjustRightInd w:val="0"/>
        <w:spacing w:line="360" w:lineRule="auto"/>
        <w:ind w:firstLine="709"/>
      </w:pPr>
      <w:r w:rsidRPr="003C0842">
        <w:t>Zamysł stworzenia „Ligi Narodów mniejszości”, ciała działającego w kierunku poszerzenia protekcji nad mniejszościami w skali europejskiej</w:t>
      </w:r>
      <w:r w:rsidR="007D0FB5" w:rsidRPr="003C0842">
        <w:t>,</w:t>
      </w:r>
      <w:r w:rsidRPr="003C0842">
        <w:t xml:space="preserve"> nie powiódł się przede wszystkim z powodu silnej kontrakcji państw mniejszościowych, wykorzystujących własne mniejszości. Nie powiódł się z racji sprzecznych interesów. Nie mógł </w:t>
      </w:r>
      <w:r w:rsidR="001C5DCA" w:rsidRPr="003C0842">
        <w:t>dogadzać</w:t>
      </w:r>
      <w:r w:rsidRPr="003C0842">
        <w:t xml:space="preserve"> także politykom państw, którzy obawiali się destrukcyjnego wpływu mniejszości na kierunek rozwoju w stosunkach międzynarodowych. Nie był też na rękę, ani nie cieszył się sympatią – ogólnie mówiąc – LN. Skoro instytucja genewska była postrzegana jako jeden z filarów istniejącego porządku międzynarodowego, to podsycane konflikty mniejszościowe godzące w ten system – nie znajdowały tam poparcia, nieraz także zrozumienia. </w:t>
      </w:r>
    </w:p>
    <w:p w:rsidR="001C5DCA" w:rsidRPr="003C0842" w:rsidRDefault="00D95F23" w:rsidP="00111348">
      <w:pPr>
        <w:autoSpaceDE w:val="0"/>
        <w:autoSpaceDN w:val="0"/>
        <w:adjustRightInd w:val="0"/>
        <w:spacing w:line="360" w:lineRule="auto"/>
        <w:ind w:firstLine="709"/>
      </w:pPr>
      <w:r w:rsidRPr="003C0842">
        <w:t xml:space="preserve">Dotyczyło to części spośród </w:t>
      </w:r>
      <w:r w:rsidR="007D0FB5" w:rsidRPr="003C0842">
        <w:t>zwykle dzi</w:t>
      </w:r>
      <w:r w:rsidR="0075478E">
        <w:t>e</w:t>
      </w:r>
      <w:r w:rsidR="007D0FB5" w:rsidRPr="003C0842">
        <w:t>siątki</w:t>
      </w:r>
      <w:r w:rsidRPr="003C0842">
        <w:t xml:space="preserve"> pracowników Sekcji Komisji Administracyjnych i Mniejszości, wśród których nie było osób pochodzących z państw posiadających zobowiązania lub specjalne zaznaczone „interesy” mniejszościowe. O deklarowaną, wręcz manifestowa</w:t>
      </w:r>
      <w:r w:rsidR="00413C94" w:rsidRPr="003C0842">
        <w:t>ną bezstronność zabiegał także sekretarz g</w:t>
      </w:r>
      <w:r w:rsidRPr="003C0842">
        <w:t xml:space="preserve">eneralny, który dystansując się </w:t>
      </w:r>
      <w:r w:rsidR="002F5343">
        <w:t>od</w:t>
      </w:r>
      <w:r w:rsidRPr="003C0842">
        <w:t xml:space="preserve"> czynnego angażowania się w sprawy mniejszościowe</w:t>
      </w:r>
      <w:r w:rsidR="00C7001D" w:rsidRPr="003C0842">
        <w:t>,</w:t>
      </w:r>
      <w:r w:rsidRPr="003C0842">
        <w:t xml:space="preserve"> pozostawiał na czele </w:t>
      </w:r>
      <w:r w:rsidRPr="003C0842">
        <w:lastRenderedPageBreak/>
        <w:t>Sekcji Norwega, a następnie Hiszpana</w:t>
      </w:r>
      <w:r w:rsidRPr="003C0842">
        <w:rPr>
          <w:rStyle w:val="Odwoanieprzypisudolnego"/>
          <w:rFonts w:ascii="Times New Roman" w:hAnsi="Times New Roman"/>
          <w:sz w:val="24"/>
        </w:rPr>
        <w:footnoteReference w:id="448"/>
      </w:r>
      <w:r w:rsidRPr="003C0842">
        <w:t>. Zwłaszcza E</w:t>
      </w:r>
      <w:r w:rsidR="009756CA" w:rsidRPr="003C0842">
        <w:t>rik</w:t>
      </w:r>
      <w:r w:rsidRPr="003C0842">
        <w:t xml:space="preserve"> Colban (dyrektor w latach 1919-1927), jak i jego następca Pablo de Azcarate nie stali po stronie polityków idących w kierunku poszerzenia ochrony mniejszości poprzez zmianę ustanowionej procedury. Ukształtowała się ona zasadniczo do połowy 1925 r., kiedy to Rada 10 czerwca zajęła stanowisko w sprawie składu wspominanego wyżej Komitetu Trzech. Był to organ pomocniczy, ale zarazem pozatraktatowy, co państwa mniejszościowe w razie potrzeby przy</w:t>
      </w:r>
      <w:r w:rsidR="001C5DCA" w:rsidRPr="003C0842">
        <w:t>pominały. W rezolucji tej Rada u</w:t>
      </w:r>
      <w:r w:rsidRPr="003C0842">
        <w:t>znała, że do Komitetu Trzech nie mogli wchodzić członkowie Rady, którzy byli bezpośrednio zainteresowani daną petycją. Spośród ówczesnych członków Rady rezolucja ta dotyczyła jedynie przedstawiciela Czechosłowacji. Jednakże przyjmując ją</w:t>
      </w:r>
      <w:r w:rsidR="00C7001D" w:rsidRPr="003C0842">
        <w:t>,myślanoo</w:t>
      </w:r>
      <w:r w:rsidRPr="003C0842">
        <w:t xml:space="preserve"> wejści</w:t>
      </w:r>
      <w:r w:rsidR="00C7001D" w:rsidRPr="003C0842">
        <w:t>u</w:t>
      </w:r>
      <w:r w:rsidRPr="003C0842">
        <w:t xml:space="preserve"> Niemiec do Ligi, które do pogłębienia procedury ochrony mniejszości przywiązywały dużą wagę. </w:t>
      </w:r>
    </w:p>
    <w:p w:rsidR="00D95F23" w:rsidRPr="003C0842" w:rsidRDefault="00D95F23" w:rsidP="00111348">
      <w:pPr>
        <w:autoSpaceDE w:val="0"/>
        <w:autoSpaceDN w:val="0"/>
        <w:adjustRightInd w:val="0"/>
        <w:spacing w:line="360" w:lineRule="auto"/>
        <w:ind w:firstLine="709"/>
      </w:pPr>
      <w:r w:rsidRPr="003C0842">
        <w:t xml:space="preserve">Wielki rozgłos, wręcz wrzawa propagandowa towarzysząca tej sprawie w Niemczech, nie pokrywały się ze stanowiskiem zawodowych dyplomatów Republiki Weimarskiej. Konsul Aschmannn pilnujący spraw państwowych w Genewie uważał, że temat mniejszościowy nie powinien towarzyszyć debacie </w:t>
      </w:r>
      <w:r w:rsidR="000B7A9C" w:rsidRPr="003C0842">
        <w:t xml:space="preserve">dotyczącej </w:t>
      </w:r>
      <w:r w:rsidRPr="003C0842">
        <w:t>wstąpieni</w:t>
      </w:r>
      <w:r w:rsidR="000B7A9C" w:rsidRPr="003C0842">
        <w:t>a</w:t>
      </w:r>
      <w:r w:rsidRPr="003C0842">
        <w:t xml:space="preserve"> Niemiec do Ligi. Odłożenie jej na „później”, kiedy Niemcy będą stałym członkiem Rady</w:t>
      </w:r>
      <w:r w:rsidR="000B7A9C" w:rsidRPr="003C0842">
        <w:t>,</w:t>
      </w:r>
      <w:r w:rsidRPr="003C0842">
        <w:t xml:space="preserve"> sugerował też ambasador w Bernie Adolf Müller, w ogóle sceptyczny w sprawie wykorzystania Ligi dla celów narodowych</w:t>
      </w:r>
      <w:r w:rsidRPr="003C0842">
        <w:rPr>
          <w:rStyle w:val="Odwoanieprzypisudolnego"/>
          <w:rFonts w:ascii="Times New Roman" w:hAnsi="Times New Roman"/>
          <w:sz w:val="24"/>
        </w:rPr>
        <w:footnoteReference w:id="449"/>
      </w:r>
      <w:r w:rsidRPr="003C0842">
        <w:t xml:space="preserve">. Nie bez wahań oceniał cały problem min. Stresemann, o czym dodatkowo może świadczyć </w:t>
      </w:r>
      <w:r w:rsidR="009756CA" w:rsidRPr="003C0842">
        <w:t xml:space="preserve">VII </w:t>
      </w:r>
      <w:r w:rsidRPr="003C0842">
        <w:t>Zgromadzenie w 1926 r., kiedy sprawy mniejszości nie pojawiły się ani na sesji plenarnej, ani w komisjach. W roku następnym – tylko raz, na sesji siódmej posiedzenia ogólnego. W dziejach Ligi był to ewenement powtórzony dopiero w 1935 r.</w:t>
      </w:r>
      <w:r w:rsidRPr="003C0842">
        <w:rPr>
          <w:rStyle w:val="Odwoanieprzypisudolnego"/>
          <w:rFonts w:ascii="Times New Roman" w:hAnsi="Times New Roman"/>
          <w:sz w:val="24"/>
        </w:rPr>
        <w:footnoteReference w:id="450"/>
      </w:r>
    </w:p>
    <w:p w:rsidR="000B7A9C" w:rsidRPr="003C0842" w:rsidRDefault="00D95F23" w:rsidP="00111348">
      <w:pPr>
        <w:autoSpaceDE w:val="0"/>
        <w:autoSpaceDN w:val="0"/>
        <w:adjustRightInd w:val="0"/>
        <w:spacing w:line="360" w:lineRule="auto"/>
        <w:ind w:firstLine="709"/>
      </w:pPr>
      <w:r w:rsidRPr="003C0842">
        <w:t xml:space="preserve">Wstrzemięźliwość w inicjowaniu ogólnej dyskusji na temat udoskonalenia ligowej procedury w zakresie ochrony mniejszości wynikała po części ze stanowiska mocarstw, tak </w:t>
      </w:r>
      <w:r w:rsidR="003008B2" w:rsidRPr="003C0842">
        <w:t>Wielkiej</w:t>
      </w:r>
      <w:r w:rsidRPr="003C0842">
        <w:t xml:space="preserve"> Brytanii, jak i Francji. W obliczu </w:t>
      </w:r>
      <w:r w:rsidR="009756CA" w:rsidRPr="003C0842">
        <w:t>oczekiwanych</w:t>
      </w:r>
      <w:r w:rsidRPr="003C0842">
        <w:t xml:space="preserve"> dyskusji na temat rozbrojenia, przygotowań do światowej konferencji ekonomicznej, nabrzmiewających sporów w ramach instytucji kongresów mniejszościowych, wszczynanie ogólnej debaty mniejszościowej nie wydawało się wskazane ze względu na ich konfliktowy charakter. </w:t>
      </w:r>
    </w:p>
    <w:p w:rsidR="000B7A9C" w:rsidRPr="003C0842" w:rsidRDefault="00D95F23" w:rsidP="00111348">
      <w:pPr>
        <w:autoSpaceDE w:val="0"/>
        <w:autoSpaceDN w:val="0"/>
        <w:adjustRightInd w:val="0"/>
        <w:spacing w:line="360" w:lineRule="auto"/>
        <w:ind w:firstLine="709"/>
      </w:pPr>
      <w:r w:rsidRPr="003C0842">
        <w:t xml:space="preserve">Nieodłącznym </w:t>
      </w:r>
      <w:r w:rsidR="000B7A9C" w:rsidRPr="003C0842">
        <w:t>elementem</w:t>
      </w:r>
      <w:r w:rsidRPr="003C0842">
        <w:t xml:space="preserve"> takiej debaty było łączenie spraw mniejszościowych z polityką – tak bieżącą</w:t>
      </w:r>
      <w:r w:rsidR="00C7001D" w:rsidRPr="003C0842">
        <w:t>,</w:t>
      </w:r>
      <w:r w:rsidRPr="003C0842">
        <w:t xml:space="preserve"> jak i perspektywiczną. Państwa posiadające zobowiązania względem mniejszości zabiegały o zdjęcie tych spraw z genewskiej wokandy. Po przeciwnej stronie stała grupa tzw. państw rewizjonistycznych, zainteresowanych stałą obecnością tego </w:t>
      </w:r>
      <w:r w:rsidRPr="003C0842">
        <w:lastRenderedPageBreak/>
        <w:t>problemu</w:t>
      </w:r>
      <w:r w:rsidR="000B7A9C" w:rsidRPr="003C0842">
        <w:t>. Z</w:t>
      </w:r>
      <w:r w:rsidRPr="003C0842">
        <w:t xml:space="preserve">właszcza Niemcy i Węgry </w:t>
      </w:r>
      <w:r w:rsidR="000B7A9C" w:rsidRPr="003C0842">
        <w:t>widziały w nim</w:t>
      </w:r>
      <w:r w:rsidRPr="003C0842">
        <w:t xml:space="preserve"> detonatora zmian. Aktualizowanie i dramatyzowanie losów „współbraci”, </w:t>
      </w:r>
      <w:r w:rsidR="000B7A9C" w:rsidRPr="003C0842">
        <w:t xml:space="preserve">reprezentujących </w:t>
      </w:r>
      <w:r w:rsidRPr="003C0842">
        <w:t>wyższ</w:t>
      </w:r>
      <w:r w:rsidR="000B7A9C" w:rsidRPr="003C0842">
        <w:t xml:space="preserve">y od ciemiężycieli poziom </w:t>
      </w:r>
      <w:r w:rsidRPr="003C0842">
        <w:t>cywilizacyjn</w:t>
      </w:r>
      <w:r w:rsidR="000B7A9C" w:rsidRPr="003C0842">
        <w:t>y</w:t>
      </w:r>
      <w:r w:rsidRPr="003C0842">
        <w:t>, służyło ugruntowywaniu przekonania o nietrwałości powojennego stanu rzeczy. Pokazywano go jako epizod, który wkrótce zostanie przezwyciężony. Rządy Niemiec i Prus</w:t>
      </w:r>
      <w:r w:rsidR="009756CA" w:rsidRPr="003C0842">
        <w:t>,</w:t>
      </w:r>
      <w:r w:rsidRPr="003C0842">
        <w:t xml:space="preserve"> mimo okresowo niezwykle trudnej sytuacji gospodarczej</w:t>
      </w:r>
      <w:r w:rsidR="009756CA" w:rsidRPr="003C0842">
        <w:t>,</w:t>
      </w:r>
      <w:r w:rsidRPr="003C0842">
        <w:t xml:space="preserve"> nie szczędziły środków </w:t>
      </w:r>
      <w:r w:rsidR="00C7001D" w:rsidRPr="003C0842">
        <w:t>n</w:t>
      </w:r>
      <w:r w:rsidRPr="003C0842">
        <w:t>a utrzymani</w:t>
      </w:r>
      <w:r w:rsidR="00C7001D" w:rsidRPr="003C0842">
        <w:t>e</w:t>
      </w:r>
      <w:r w:rsidRPr="003C0842">
        <w:t xml:space="preserve"> na „ziemiach zabranych” </w:t>
      </w:r>
      <w:r w:rsidR="009756CA" w:rsidRPr="003C0842">
        <w:t xml:space="preserve">narodowego </w:t>
      </w:r>
      <w:r w:rsidRPr="003C0842">
        <w:t xml:space="preserve">stanu posiadania. </w:t>
      </w:r>
    </w:p>
    <w:p w:rsidR="00D95F23" w:rsidRPr="003C0842" w:rsidRDefault="00D95F23" w:rsidP="00111348">
      <w:pPr>
        <w:autoSpaceDE w:val="0"/>
        <w:autoSpaceDN w:val="0"/>
        <w:adjustRightInd w:val="0"/>
        <w:spacing w:line="360" w:lineRule="auto"/>
        <w:ind w:firstLine="709"/>
      </w:pPr>
      <w:r w:rsidRPr="003C0842">
        <w:t>Głównym partnerem rządu i władz lokalnych w walce z istniejącym porządkiem ustanowionym przez system wersalski był powstały w 1926 r. Związek Obrony Niemczyzny</w:t>
      </w:r>
      <w:r w:rsidRPr="003C0842">
        <w:rPr>
          <w:rStyle w:val="Odwoanieprzypisudolnego"/>
          <w:rFonts w:ascii="Times New Roman" w:hAnsi="Times New Roman"/>
          <w:sz w:val="24"/>
        </w:rPr>
        <w:footnoteReference w:id="451"/>
      </w:r>
      <w:r w:rsidRPr="003C0842">
        <w:t>. W stosunkowo krótkim czasie stanął on na czele setki stowarzyszeń i organizacji kulturalno-oświatowych propagujących wielkość i siłę dawnej Rzeszy. Związek ten był „kierownikiem politycznym” podporządkowanych mu ugrupowań, a jednocześnie wykonawcą dyrektyw władz niemieckich. Los samych mniejszości był w drugim, dalszym planie</w:t>
      </w:r>
      <w:r w:rsidRPr="003C0842">
        <w:rPr>
          <w:rStyle w:val="Odwoanieprzypisudolnego"/>
          <w:rFonts w:ascii="Times New Roman" w:hAnsi="Times New Roman"/>
          <w:sz w:val="24"/>
        </w:rPr>
        <w:footnoteReference w:id="452"/>
      </w:r>
      <w:r w:rsidRPr="003C0842">
        <w:t>.</w:t>
      </w:r>
    </w:p>
    <w:p w:rsidR="00D95F23" w:rsidRPr="003C0842" w:rsidRDefault="00D95F23" w:rsidP="00111348">
      <w:pPr>
        <w:autoSpaceDE w:val="0"/>
        <w:autoSpaceDN w:val="0"/>
        <w:adjustRightInd w:val="0"/>
        <w:spacing w:line="360" w:lineRule="auto"/>
        <w:ind w:firstLine="709"/>
      </w:pPr>
      <w:r w:rsidRPr="003C0842">
        <w:t>W obliczu nasilającej się kampanii mniejszościowej na przełomie lat 1925/1926 poseł RP w Berlinie Kazimierz Olszowski uwypuklał ścisłą więź</w:t>
      </w:r>
      <w:r w:rsidR="00C7001D" w:rsidRPr="003C0842">
        <w:t>,</w:t>
      </w:r>
      <w:r w:rsidRPr="003C0842">
        <w:t xml:space="preserve"> jaka będzie łączyła niemiecką politykę mniejszościową z programem rewizji granic. „Jest rzeczą jasną, że obrona mniejszości w różnych państwach będzie raczej deklaracją, zaś istotnym celem polityki niemieckiej będzie rozbudowa praw mniejszości niemieckich w Polsce jako przedwstępna faza do wykonania programu oderwania od Polski obszarów, które poprzednio należały do Prus”. Powtarzając tę myśl w innym miejscu</w:t>
      </w:r>
      <w:r w:rsidR="0075478E">
        <w:t>,</w:t>
      </w:r>
      <w:r w:rsidRPr="003C0842">
        <w:t xml:space="preserve"> traktował akcję niemiecką jako „</w:t>
      </w:r>
      <w:r w:rsidR="00C7001D" w:rsidRPr="003C0842">
        <w:t>[…]</w:t>
      </w:r>
      <w:r w:rsidRPr="003C0842">
        <w:t xml:space="preserve"> pewne ostrzelanie pozycji przez dłuższy czas przez artylerię przed rozpoczęciem walnej batalii”</w:t>
      </w:r>
      <w:r w:rsidRPr="003C0842">
        <w:rPr>
          <w:rStyle w:val="Odwoanieprzypisudolnego"/>
          <w:rFonts w:ascii="Times New Roman" w:hAnsi="Times New Roman"/>
          <w:sz w:val="24"/>
        </w:rPr>
        <w:footnoteReference w:id="453"/>
      </w:r>
      <w:r w:rsidRPr="003C0842">
        <w:t>.</w:t>
      </w:r>
    </w:p>
    <w:p w:rsidR="00D95F23" w:rsidRPr="003C0842" w:rsidRDefault="00D95F23" w:rsidP="00111348">
      <w:pPr>
        <w:autoSpaceDE w:val="0"/>
        <w:autoSpaceDN w:val="0"/>
        <w:adjustRightInd w:val="0"/>
        <w:spacing w:line="360" w:lineRule="auto"/>
        <w:ind w:firstLine="709"/>
      </w:pPr>
      <w:r w:rsidRPr="003C0842">
        <w:t xml:space="preserve">Pierwszy okres tej batalii obejmujący miesiące okalające wejście Niemiec do Ligi nie przyniósł </w:t>
      </w:r>
      <w:r w:rsidR="009F51B1" w:rsidRPr="003C0842">
        <w:t xml:space="preserve">efektów </w:t>
      </w:r>
      <w:r w:rsidRPr="003C0842">
        <w:t xml:space="preserve">oczekiwanych przez </w:t>
      </w:r>
      <w:r w:rsidR="00562FAC" w:rsidRPr="003C0842">
        <w:t xml:space="preserve">wielkoniemiecką </w:t>
      </w:r>
      <w:r w:rsidRPr="003C0842">
        <w:t>propagandę. Chociaż liderzy Republiki Weimarskiej mieli pełną świadomość sprzeczności celów Ligi z ich pojmowaniem sprawiedliwości, to jednak współ</w:t>
      </w:r>
      <w:r w:rsidR="00562FAC" w:rsidRPr="003C0842">
        <w:t>uczestniczyli, a nawet współ</w:t>
      </w:r>
      <w:r w:rsidRPr="003C0842">
        <w:t>tworzyli nastrój</w:t>
      </w:r>
      <w:r w:rsidR="00562FAC" w:rsidRPr="003C0842">
        <w:t>, który</w:t>
      </w:r>
      <w:r w:rsidRPr="003C0842">
        <w:t>czyni</w:t>
      </w:r>
      <w:r w:rsidR="00562FAC" w:rsidRPr="003C0842">
        <w:t>ł</w:t>
      </w:r>
      <w:r w:rsidRPr="003C0842">
        <w:t xml:space="preserve"> z mniejszości jeden z zapalników wielkiej bomby.</w:t>
      </w:r>
    </w:p>
    <w:p w:rsidR="00612B90" w:rsidRPr="003C0842" w:rsidRDefault="00612B90" w:rsidP="00111348">
      <w:pPr>
        <w:autoSpaceDE w:val="0"/>
        <w:autoSpaceDN w:val="0"/>
        <w:adjustRightInd w:val="0"/>
        <w:spacing w:line="360" w:lineRule="auto"/>
        <w:ind w:firstLine="709"/>
      </w:pPr>
    </w:p>
    <w:p w:rsidR="00612B90" w:rsidRPr="003C0842" w:rsidRDefault="00612B90" w:rsidP="00111348">
      <w:pPr>
        <w:spacing w:line="360" w:lineRule="auto"/>
        <w:ind w:firstLine="709"/>
      </w:pPr>
    </w:p>
    <w:p w:rsidR="00612B90" w:rsidRPr="003C0842" w:rsidRDefault="00612B90" w:rsidP="00111348">
      <w:pPr>
        <w:spacing w:line="360" w:lineRule="auto"/>
        <w:ind w:firstLine="709"/>
        <w:rPr>
          <w:b/>
        </w:rPr>
      </w:pPr>
      <w:r w:rsidRPr="003C0842">
        <w:rPr>
          <w:b/>
        </w:rPr>
        <w:t>4. Genewa – trampoliną rewizjonizmu?</w:t>
      </w:r>
    </w:p>
    <w:p w:rsidR="00612B90" w:rsidRPr="003C0842" w:rsidRDefault="00612B90" w:rsidP="00111348">
      <w:pPr>
        <w:spacing w:line="360" w:lineRule="auto"/>
        <w:ind w:firstLine="709"/>
      </w:pPr>
    </w:p>
    <w:p w:rsidR="00612B90" w:rsidRPr="003C0842" w:rsidRDefault="00612B90" w:rsidP="00111348">
      <w:pPr>
        <w:spacing w:line="360" w:lineRule="auto"/>
        <w:ind w:firstLine="709"/>
      </w:pPr>
      <w:r w:rsidRPr="003C0842">
        <w:lastRenderedPageBreak/>
        <w:t>Stawiane przy różnych okazjach i nie tylko w 1926 r. pytanie o to, czy wstąpienie Niemiec do Ligi było jej wzmocnieniem, czy też osłabieniem, nie znajduje łatwej odpowiedzi. Wzmocnieniem ze względu na założony i postulowany uniwersalizm Ligi, konieczny d</w:t>
      </w:r>
      <w:r w:rsidR="0075478E">
        <w:t>o</w:t>
      </w:r>
      <w:r w:rsidRPr="003C0842">
        <w:t>budowy organizacji międzynarodowej opierającej się na doktrynie zbiorowego bezpieczeństwa. Efektywność owego bezpieczeństwa łączyła się w sposób ścisły z liczbą i siłą państw gotowych przekazać uzgodnioną część własnej suwerenności na rzecz dobra wspólnego. Kwestię tę regulował art. 16 Paktu, który mówił o możliwości zastosowania sankcji wobec państwa łamiącego Pakt. Rada LN miała wskazać jakim kontyngentem sił wojskowych, morskich i lotniczych każdy z członków Ligi ma uczestniczyć we wspólnej akcji. Artykuł ten, słusznie zaliczany do fundamentalnych dla całej ligowej konstrukcji, wzbudzał duże emocje i ponawiane spory. Linie podziałów, aczkolwiek mniej ostre</w:t>
      </w:r>
      <w:r w:rsidR="009F51B1" w:rsidRPr="003C0842">
        <w:t>,</w:t>
      </w:r>
      <w:r w:rsidRPr="003C0842">
        <w:t xml:space="preserve"> przebiegały </w:t>
      </w:r>
      <w:r w:rsidR="009F51B1" w:rsidRPr="003C0842">
        <w:t>nierzadko i</w:t>
      </w:r>
      <w:r w:rsidRPr="003C0842">
        <w:t xml:space="preserve"> wewnątrz delegacji. </w:t>
      </w:r>
    </w:p>
    <w:p w:rsidR="00612B90" w:rsidRPr="003C0842" w:rsidRDefault="00612B90" w:rsidP="00111348">
      <w:pPr>
        <w:spacing w:line="360" w:lineRule="auto"/>
        <w:ind w:firstLine="709"/>
      </w:pPr>
      <w:r w:rsidRPr="003C0842">
        <w:t>Wielki zapał do sprecyzowania zobowiązań i procedury wynikającej z</w:t>
      </w:r>
      <w:r w:rsidR="00562FAC" w:rsidRPr="003C0842">
        <w:t>e stosowania</w:t>
      </w:r>
      <w:r w:rsidRPr="003C0842">
        <w:t xml:space="preserve"> art. 16 przygasł po II Zgromadzeniu, kiedy starano się znaleźć konsensus w obrębie 19 interpretacji oraz sugestii poprawek tego artykułu. Dominującym ich elementem, który </w:t>
      </w:r>
      <w:r w:rsidR="003610AF" w:rsidRPr="003C0842">
        <w:t xml:space="preserve">stał się </w:t>
      </w:r>
      <w:r w:rsidRPr="003C0842">
        <w:t>obieg</w:t>
      </w:r>
      <w:r w:rsidR="003610AF" w:rsidRPr="003C0842">
        <w:t>owym</w:t>
      </w:r>
      <w:r w:rsidRPr="003C0842">
        <w:t xml:space="preserve"> było uznanie, że prawem każdego członka Ligi jest samemu zadecydować, czy złamanie Paktu miało miejsce. Zarazem w świadomości powszechnej zadomowiło się przekonanie, że każdy członek LN powinien (nieraz: </w:t>
      </w:r>
      <w:r w:rsidR="009F51B1" w:rsidRPr="003C0842">
        <w:t>jest z</w:t>
      </w:r>
      <w:r w:rsidRPr="003C0842">
        <w:t>obowiąz</w:t>
      </w:r>
      <w:r w:rsidR="009F51B1" w:rsidRPr="003C0842">
        <w:t>any</w:t>
      </w:r>
      <w:r w:rsidRPr="003C0842">
        <w:t>) przeciwstawić się każdej agresji stosownie do jego sytuacji militarnej i politycznej</w:t>
      </w:r>
      <w:r w:rsidR="003610AF" w:rsidRPr="003C0842">
        <w:t>, także położenia geograficznego</w:t>
      </w:r>
      <w:r w:rsidRPr="003C0842">
        <w:rPr>
          <w:rStyle w:val="Odwoanieprzypisudolnego"/>
          <w:rFonts w:ascii="Times New Roman" w:hAnsi="Times New Roman"/>
          <w:sz w:val="24"/>
        </w:rPr>
        <w:footnoteReference w:id="454"/>
      </w:r>
      <w:r w:rsidRPr="003C0842">
        <w:t>. Jeśli jednak dyplomacja niemiecka, jak o tym pisano wyżej, uczyniła z art. 16 jedną z głównych osi wstąpienia do Ligi, to w grę wchodziły względy wykraczające poza interpretacyjną debatę jednego z artykułów Paktu. Rozgłos nadawany tej sprawie służył pokazywaniu zasadniczej nierówności państw, które nie mogą przyjmować na siebie obowiązków wynikających z ich specjalnego położenia. Była to równoczesna walka o uznanie praw, analogicznych dla wszystkich członków Ligi, do własnego bezpieczeństwa, którego nie można wystawiać na ryzyko, poprzez podejmowanie zalecanej (nakazanej) akcji w ramach wspólnego przedsięwzięcia o charakterze represyjnym.</w:t>
      </w:r>
    </w:p>
    <w:p w:rsidR="00612B90" w:rsidRPr="003C0842" w:rsidRDefault="00612B90" w:rsidP="0075478E">
      <w:pPr>
        <w:spacing w:line="360" w:lineRule="auto"/>
        <w:ind w:firstLine="709"/>
      </w:pPr>
      <w:r w:rsidRPr="003C0842">
        <w:t>Oczekiwane w Berlinie i osiągnięte w Locarno zwolnienie z „automatyzmu” sankcji na podstawie art. 16 było uderzeniem w bezpieczeństwo zbiorowe kojarzone z Genewą i Ligą. Było to zarazem formalne „przystąpienie” do brytyjskiego widzenia Ligi, jako organizacji s</w:t>
      </w:r>
      <w:r w:rsidR="009F51B1" w:rsidRPr="003C0842">
        <w:t xml:space="preserve">łużącej wymianie opinii, miejsca gromadzenia </w:t>
      </w:r>
      <w:r w:rsidR="003610AF" w:rsidRPr="003C0842">
        <w:t>płynących</w:t>
      </w:r>
      <w:r w:rsidRPr="003C0842">
        <w:t xml:space="preserve"> zewsząd sygnałów z intencją przetworzenia ich w sygnał dominujący, podlegający w razie potrzeby debacie dla znalezienia </w:t>
      </w:r>
      <w:r w:rsidRPr="003C0842">
        <w:lastRenderedPageBreak/>
        <w:t xml:space="preserve">kompromisu. </w:t>
      </w:r>
      <w:r w:rsidR="00562FAC" w:rsidRPr="003C0842">
        <w:t>Jeśli został on o</w:t>
      </w:r>
      <w:r w:rsidRPr="003C0842">
        <w:t>siągnięty</w:t>
      </w:r>
      <w:r w:rsidR="00562FAC" w:rsidRPr="003C0842">
        <w:t>, to</w:t>
      </w:r>
      <w:r w:rsidRPr="003C0842">
        <w:t xml:space="preserve"> problemprzekazywany był w formie zalecenia do rozważenia i ewentualnego zastosowania przez zainteresowane strony. W brytyjskiej, także skandynawskiej koncepcji Ligi nie było miejsca dla przymusu, </w:t>
      </w:r>
      <w:r w:rsidR="009F51B1" w:rsidRPr="003C0842">
        <w:t>skutkującego zmianą</w:t>
      </w:r>
      <w:r w:rsidRPr="003C0842">
        <w:t>charakteru stosunków międzynarodowych. Brytyjsk</w:t>
      </w:r>
      <w:r w:rsidR="00562FAC" w:rsidRPr="003C0842">
        <w:t>o-skandynawska</w:t>
      </w:r>
      <w:r w:rsidRPr="003C0842">
        <w:t xml:space="preserve"> Liga to próba dostarczenia ówczesnemu realnemu światu „bardziej wyrafinowanych sposobów rozwiązywania pewnych spraw, będących przedmiotem negocjacji i sporów, które państwa musiały rozwiązać”</w:t>
      </w:r>
      <w:r w:rsidRPr="003C0842">
        <w:rPr>
          <w:rStyle w:val="Odwoanieprzypisudolnego"/>
          <w:rFonts w:ascii="Times New Roman" w:hAnsi="Times New Roman"/>
          <w:sz w:val="24"/>
        </w:rPr>
        <w:footnoteReference w:id="455"/>
      </w:r>
      <w:r w:rsidRPr="003C0842">
        <w:t xml:space="preserve">. </w:t>
      </w:r>
    </w:p>
    <w:p w:rsidR="00612B90" w:rsidRPr="003C0842" w:rsidRDefault="00612B90" w:rsidP="00111348">
      <w:pPr>
        <w:spacing w:line="360" w:lineRule="auto"/>
        <w:ind w:firstLine="709"/>
      </w:pPr>
      <w:r w:rsidRPr="003C0842">
        <w:t xml:space="preserve">W istocie była to Liga antyfrancuska. Paryż i z nim zaprzyjaźnione stolice </w:t>
      </w:r>
      <w:r w:rsidR="009F51B1" w:rsidRPr="003C0842">
        <w:t>chciały</w:t>
      </w:r>
      <w:r w:rsidRPr="003C0842">
        <w:t xml:space="preserve"> nadal i zawsze widzieć organizację do pilnowania ustanowionego w 1919 r. porządku w Europie. Jednym ze stróżów owego ładu miał być właśnie art. 16, którego siłę, </w:t>
      </w:r>
      <w:r w:rsidR="00B67DF4" w:rsidRPr="003C0842">
        <w:t xml:space="preserve">m.in. </w:t>
      </w:r>
      <w:r w:rsidRPr="003C0842">
        <w:t xml:space="preserve">przez manifestacyjną interpretację lokarneńską, </w:t>
      </w:r>
      <w:r w:rsidR="00B67DF4" w:rsidRPr="003C0842">
        <w:t xml:space="preserve">systematycznie </w:t>
      </w:r>
      <w:r w:rsidRPr="003C0842">
        <w:t xml:space="preserve">pomniejszono. Dokonano tego w wyraźnie zarysowanych i jednoznacznie formułowanych planach rewizjonistycznych. Ów </w:t>
      </w:r>
      <w:r w:rsidR="009F51B1" w:rsidRPr="003C0842">
        <w:t>wątek</w:t>
      </w:r>
      <w:r w:rsidRPr="003C0842">
        <w:t xml:space="preserve">, przewijający się wyżej wielokrotnie, trzeba uznać za szczególnie bliski i towarzyszący społeczeństwu niemieckiemu przez wiele dziesięcioleci XIX i XX w. </w:t>
      </w:r>
      <w:r w:rsidR="00B67DF4" w:rsidRPr="003C0842">
        <w:t xml:space="preserve">Zapewne nie powinno się </w:t>
      </w:r>
      <w:r w:rsidRPr="003C0842">
        <w:t>lekceważyć popularności samego określenia, w kontekście narodzin socjaldemokracji i sporów w bardzo silnym niemieckim ruchu robotniczym.</w:t>
      </w:r>
    </w:p>
    <w:p w:rsidR="00612B90" w:rsidRPr="003C0842" w:rsidRDefault="00612B90" w:rsidP="00111348">
      <w:pPr>
        <w:spacing w:line="360" w:lineRule="auto"/>
        <w:ind w:firstLine="709"/>
      </w:pPr>
      <w:r w:rsidRPr="003C0842">
        <w:t>Pod hasłem zmiany układu sił na scenie europejskiej i metropolitalnej walczyły mili</w:t>
      </w:r>
      <w:r w:rsidR="009F51B1" w:rsidRPr="003C0842">
        <w:t>ony Niemców w wojnie światowej.</w:t>
      </w:r>
      <w:r w:rsidRPr="003C0842">
        <w:t xml:space="preserve"> Niepowodzenia wyraźnie zakreślonych celów zdobywczych uwidocznione w traktacie wersalskim nadały niemieckiemu rewizjonizmowi </w:t>
      </w:r>
      <w:r w:rsidR="009F51B1" w:rsidRPr="003C0842">
        <w:t xml:space="preserve">dodatkowej </w:t>
      </w:r>
      <w:r w:rsidRPr="003C0842">
        <w:t>si</w:t>
      </w:r>
      <w:r w:rsidR="009F51B1" w:rsidRPr="003C0842">
        <w:t>ły i nowych</w:t>
      </w:r>
      <w:r w:rsidRPr="003C0842">
        <w:t xml:space="preserve"> impulsów. W Europie był on największy, najbardziej konsekwentny, pierwszorzędny, a nawet wszechogarniający. Trudno powiedzieć, że </w:t>
      </w:r>
      <w:r w:rsidR="00B67DF4" w:rsidRPr="003C0842">
        <w:t xml:space="preserve">w omawianym czasie </w:t>
      </w:r>
      <w:r w:rsidRPr="003C0842">
        <w:t>zrobiono wszystko, by narzucone po wojnie zmiany cofnąć, przezwyciężyć</w:t>
      </w:r>
      <w:r w:rsidR="00B67DF4" w:rsidRPr="003C0842">
        <w:t>. Można wszakże stwierdzić, że państwo niemieckie</w:t>
      </w:r>
      <w:r w:rsidRPr="003C0842">
        <w:t xml:space="preserve">nie </w:t>
      </w:r>
      <w:r w:rsidR="00B67DF4" w:rsidRPr="003C0842">
        <w:t>zrobiło</w:t>
      </w:r>
      <w:r w:rsidRPr="003C0842">
        <w:t xml:space="preserve"> niczego, by </w:t>
      </w:r>
      <w:r w:rsidR="002B55B3" w:rsidRPr="003C0842">
        <w:t xml:space="preserve">wywołane przez wojnę </w:t>
      </w:r>
      <w:r w:rsidRPr="003C0842">
        <w:t>zmiany zaakceptować i zakonserwować. Nienawiść Niemców, zarówno mieszkającyc</w:t>
      </w:r>
      <w:r w:rsidR="002B55B3" w:rsidRPr="003C0842">
        <w:t>h w kraju</w:t>
      </w:r>
      <w:r w:rsidR="009F51B1" w:rsidRPr="003C0842">
        <w:t xml:space="preserve"> jak i poza nim</w:t>
      </w:r>
      <w:r w:rsidR="002B55B3" w:rsidRPr="003C0842">
        <w:t>,</w:t>
      </w:r>
      <w:r w:rsidR="009F51B1" w:rsidRPr="003C0842">
        <w:t xml:space="preserve"> do traktatu wersalskiego</w:t>
      </w:r>
      <w:r w:rsidRPr="003C0842">
        <w:t xml:space="preserve"> była </w:t>
      </w:r>
      <w:r w:rsidR="002B55B3" w:rsidRPr="003C0842">
        <w:t>przemożna</w:t>
      </w:r>
      <w:r w:rsidRPr="003C0842">
        <w:t xml:space="preserve">. Mówienie o jednomyślności </w:t>
      </w:r>
      <w:r w:rsidR="002B55B3" w:rsidRPr="003C0842">
        <w:t xml:space="preserve">w tej sprawie </w:t>
      </w:r>
      <w:r w:rsidRPr="003C0842">
        <w:t xml:space="preserve">nie jest nadużyciem. W miarę upływu lat sytuacja </w:t>
      </w:r>
      <w:r w:rsidR="00C7001D" w:rsidRPr="003C0842">
        <w:t xml:space="preserve">się </w:t>
      </w:r>
      <w:r w:rsidRPr="003C0842">
        <w:t xml:space="preserve">nie zmieniała. Przybywało zarazem argumentów utwierdzających Niemców we wrogości wobec traktatu; jego twórców i beneficjantów. „Traktat, który przedłożyli nam nasi wrogowie – pisał </w:t>
      </w:r>
      <w:r w:rsidR="009F51B1" w:rsidRPr="003C0842">
        <w:t xml:space="preserve">do żony </w:t>
      </w:r>
      <w:r w:rsidRPr="003C0842">
        <w:t>z Paryża dr Walter Simon</w:t>
      </w:r>
      <w:r w:rsidR="00303C01" w:rsidRPr="003C0842">
        <w:t>s</w:t>
      </w:r>
      <w:r w:rsidRPr="003C0842">
        <w:t>, doradca min. Brockdorf</w:t>
      </w:r>
      <w:r w:rsidR="00303C01" w:rsidRPr="003C0842">
        <w:t>f</w:t>
      </w:r>
      <w:r w:rsidRPr="003C0842">
        <w:t>a</w:t>
      </w:r>
      <w:r w:rsidR="00303C01" w:rsidRPr="003C0842">
        <w:t>-Rantzaua</w:t>
      </w:r>
      <w:r w:rsidRPr="003C0842">
        <w:t>– jest, jeśli dyktowali go Francuzi, pomnikiem patologicznego strachu i patologicznej nienawiści, a jeśli dyktowali to Anglosasi – dziełem kapitalistycznej polityki o najsprytniejszym i najbardziej brutalnym charakterze”</w:t>
      </w:r>
      <w:r w:rsidRPr="003C0842">
        <w:rPr>
          <w:rStyle w:val="Odwoanieprzypisudolnego"/>
          <w:rFonts w:ascii="Times New Roman" w:hAnsi="Times New Roman"/>
          <w:sz w:val="24"/>
        </w:rPr>
        <w:footnoteReference w:id="456"/>
      </w:r>
      <w:r w:rsidRPr="003C0842">
        <w:t>. Rządy niemieckie</w:t>
      </w:r>
      <w:r w:rsidR="00C7001D" w:rsidRPr="003C0842">
        <w:t>,</w:t>
      </w:r>
      <w:r w:rsidRPr="003C0842">
        <w:t xml:space="preserve"> współdecydując o zaprzestaniu w 1923 r. </w:t>
      </w:r>
      <w:r w:rsidRPr="003C0842">
        <w:lastRenderedPageBreak/>
        <w:t>biernego oporu</w:t>
      </w:r>
      <w:r w:rsidR="00C7001D" w:rsidRPr="003C0842">
        <w:t>,</w:t>
      </w:r>
      <w:r w:rsidRPr="003C0842">
        <w:t xml:space="preserve"> liczyły przede wszystkim na zrozumienie ze strony kapitalistów zarówno tych sprytnych, jak i brutalnych. Ustępliwość w negocjacjach gospodarczych prowadzonych pod egidą gen. Dawesa była obliczona na pozyskanie sympatii możnych Anglosasów. Także rynek europejski, w tym niemiecki, miał dla rozpędzonej gospodarki amerykańskiej pierwszorzędną wartość</w:t>
      </w:r>
      <w:r w:rsidRPr="003C0842">
        <w:rPr>
          <w:rStyle w:val="Odwoanieprzypisudolnego"/>
          <w:rFonts w:ascii="Times New Roman" w:hAnsi="Times New Roman"/>
          <w:sz w:val="24"/>
        </w:rPr>
        <w:footnoteReference w:id="457"/>
      </w:r>
      <w:r w:rsidRPr="003C0842">
        <w:t xml:space="preserve">. </w:t>
      </w:r>
    </w:p>
    <w:p w:rsidR="00612B90" w:rsidRPr="003C0842" w:rsidRDefault="00612B90" w:rsidP="00111348">
      <w:pPr>
        <w:spacing w:line="360" w:lineRule="auto"/>
        <w:ind w:firstLine="709"/>
      </w:pPr>
      <w:r w:rsidRPr="003C0842">
        <w:t xml:space="preserve">Zakładane uwiarygodnienie Niemiec jako odpowiedzialnego partnera gospodarczego miało ułatwić rozwój stosunków politycznych także z Francją, będącą </w:t>
      </w:r>
      <w:r w:rsidR="009F51B1" w:rsidRPr="003C0842">
        <w:t>pierwszym</w:t>
      </w:r>
      <w:r w:rsidRPr="003C0842">
        <w:t xml:space="preserve"> egzekutorem postanowień pokojowych. </w:t>
      </w:r>
      <w:r w:rsidR="009F51B1" w:rsidRPr="003C0842">
        <w:t xml:space="preserve">Złorzeczyli im i jej twórcom wszyscy Niemcy. Oburzał ich zwłaszcza </w:t>
      </w:r>
      <w:r w:rsidRPr="003C0842">
        <w:t>art. 231, jed</w:t>
      </w:r>
      <w:r w:rsidR="009F51B1" w:rsidRPr="003C0842">
        <w:t>en</w:t>
      </w:r>
      <w:r w:rsidRPr="003C0842">
        <w:t xml:space="preserve"> z fundamentów psychospołecznej konstrukcji wersalskiej. Składał on na Rzeszę całą winę za „wszystkie szkody i straty” powstałe na skutek wojny. Mówił też</w:t>
      </w:r>
      <w:r w:rsidR="009F51B1" w:rsidRPr="003C0842">
        <w:t xml:space="preserve"> o</w:t>
      </w:r>
      <w:r w:rsidRPr="003C0842">
        <w:t xml:space="preserve"> wojn</w:t>
      </w:r>
      <w:r w:rsidR="009F51B1" w:rsidRPr="003C0842">
        <w:t>ie</w:t>
      </w:r>
      <w:r w:rsidRPr="003C0842">
        <w:t xml:space="preserve"> narzucon</w:t>
      </w:r>
      <w:r w:rsidR="009F51B1" w:rsidRPr="003C0842">
        <w:t>ej</w:t>
      </w:r>
      <w:r w:rsidRPr="003C0842">
        <w:t xml:space="preserve"> „w wyniku agresji ze strony Niemiec i ich sprzymierzeńców”. Próbom zdezawuowania tego oskarżenia i </w:t>
      </w:r>
      <w:r w:rsidR="00685974" w:rsidRPr="003C0842">
        <w:t xml:space="preserve">zawartego w nim </w:t>
      </w:r>
      <w:r w:rsidRPr="003C0842">
        <w:t>wyroku</w:t>
      </w:r>
      <w:r w:rsidR="00685974" w:rsidRPr="003C0842">
        <w:t>,</w:t>
      </w:r>
      <w:r w:rsidRPr="003C0842">
        <w:t xml:space="preserve"> towarzyszyły mocne słowa i niekończące się poszukiwanie co najmniej współwinnych, a najlepiej bardziej winnych. Każdy głos wypowiadany w tym duchu na arenie międzynarodowej był w Niemczech i pozostałych państwach pokonanych kolportowany i nagłaśniany. Aktywną rolę odgrywali niemieccy emigranci, zwłaszcza w Stanach Zjednoczonych. Bezcenną wartość miała rozpowszechniona wśród komunistów teza o imperializmie jako głównym, nierzadko jedynym sprawc</w:t>
      </w:r>
      <w:r w:rsidR="003610AF" w:rsidRPr="003C0842">
        <w:t>y</w:t>
      </w:r>
      <w:r w:rsidRPr="003C0842">
        <w:t xml:space="preserve"> wojny. Znajdowała ona częściowe przynajmniej zrozumienie w SPD, która była najbardziej reprezentatywną i wpływową w Europie partią lewicową. Nie odwracali się od tego poglądu także Niemcy o przekonaniach centrowych, a w razie potrzeby także prawicowych. </w:t>
      </w:r>
    </w:p>
    <w:p w:rsidR="000F64E5" w:rsidRPr="003C0842" w:rsidRDefault="00612B90" w:rsidP="00111348">
      <w:pPr>
        <w:spacing w:line="360" w:lineRule="auto"/>
        <w:ind w:firstLine="709"/>
      </w:pPr>
      <w:r w:rsidRPr="003C0842">
        <w:t>Kwestionowanie prawdziwości art. 231 nie tylko należało do „dobrego tonu”, ale niosło za sobą praktyczne konsekwencje. Związane było zwłaszcza z ciężarami reparacyjnymi oraz przekonaniem –utrzymującym się w przestrzeni publicznej zwycięzców, że</w:t>
      </w:r>
      <w:r w:rsidR="00C7001D" w:rsidRPr="003C0842">
        <w:t xml:space="preserve"> bez wątpienia i mimo wszystko </w:t>
      </w:r>
      <w:r w:rsidRPr="003C0842">
        <w:rPr>
          <w:i/>
        </w:rPr>
        <w:t>Boche p</w:t>
      </w:r>
      <w:r w:rsidR="006229A1" w:rsidRPr="003C0842">
        <w:rPr>
          <w:i/>
        </w:rPr>
        <w:t>a</w:t>
      </w:r>
      <w:r w:rsidRPr="003C0842">
        <w:rPr>
          <w:i/>
        </w:rPr>
        <w:t>ierà</w:t>
      </w:r>
      <w:r w:rsidRPr="003C0842">
        <w:t xml:space="preserve">. Emocjez tym związane były duże i to po obu stronach. Delegacja niemiecka </w:t>
      </w:r>
      <w:r w:rsidR="000F64E5" w:rsidRPr="003C0842">
        <w:t>kwestionowa</w:t>
      </w:r>
      <w:r w:rsidR="002B55B3" w:rsidRPr="003C0842">
        <w:t xml:space="preserve">ła zasadność </w:t>
      </w:r>
      <w:r w:rsidR="000F64E5" w:rsidRPr="003C0842">
        <w:t>artykułu</w:t>
      </w:r>
      <w:r w:rsidR="002B55B3" w:rsidRPr="003C0842">
        <w:t xml:space="preserve"> 231</w:t>
      </w:r>
      <w:r w:rsidR="005E3F07" w:rsidRPr="003C0842">
        <w:t xml:space="preserve"> przy różnych okazjach</w:t>
      </w:r>
      <w:r w:rsidR="002B55B3" w:rsidRPr="003C0842">
        <w:t xml:space="preserve">. Raz nawet,16 sierpnia 1924 r. –tj. </w:t>
      </w:r>
      <w:r w:rsidRPr="003C0842">
        <w:t xml:space="preserve">ostatniego dnia obrad w Londynie, </w:t>
      </w:r>
      <w:r w:rsidR="000F64E5" w:rsidRPr="003C0842">
        <w:t xml:space="preserve">która </w:t>
      </w:r>
      <w:r w:rsidRPr="003C0842">
        <w:t>kończ</w:t>
      </w:r>
      <w:r w:rsidR="000F64E5" w:rsidRPr="003C0842">
        <w:t>yła</w:t>
      </w:r>
      <w:r w:rsidRPr="003C0842">
        <w:t xml:space="preserve"> dyskusję nad planem Dawesa</w:t>
      </w:r>
      <w:r w:rsidR="002B55B3" w:rsidRPr="003C0842">
        <w:t>,</w:t>
      </w:r>
      <w:r w:rsidRPr="003C0842">
        <w:t xml:space="preserve"> premier Marx </w:t>
      </w:r>
      <w:r w:rsidR="002B55B3" w:rsidRPr="003C0842">
        <w:t xml:space="preserve">miał </w:t>
      </w:r>
      <w:r w:rsidRPr="003C0842">
        <w:t>przetłumaczony tekst stosownej deklaracji</w:t>
      </w:r>
      <w:r w:rsidR="005E3F07" w:rsidRPr="003C0842">
        <w:t>. Paul Schmidt podaje, że sytuacji towarzyszyły ogromne emocje członków delegacji, której służył za tłumacza. Oświadczenie rządu niemieckiego pozostało w teczce premiera.</w:t>
      </w:r>
      <w:r w:rsidRPr="003C0842">
        <w:t xml:space="preserve"> Do treści art. 231 w duchu „rewizjonistycznym” nawiązał min. Stresemann podczas pierwszego dnia obrad </w:t>
      </w:r>
      <w:r w:rsidRPr="003C0842">
        <w:lastRenderedPageBreak/>
        <w:t>w Locarno. Min</w:t>
      </w:r>
      <w:r w:rsidR="007F6CFF" w:rsidRPr="003C0842">
        <w:t>ister</w:t>
      </w:r>
      <w:r w:rsidRPr="003C0842">
        <w:t xml:space="preserve"> Briand zareagowa</w:t>
      </w:r>
      <w:r w:rsidR="000F64E5" w:rsidRPr="003C0842">
        <w:t>ł</w:t>
      </w:r>
      <w:r w:rsidRPr="003C0842">
        <w:t xml:space="preserve"> spokojnie. „Miejmy nadzieję, że nas od tego szlag nie trafi”</w:t>
      </w:r>
      <w:r w:rsidRPr="003C0842">
        <w:rPr>
          <w:rStyle w:val="Odwoanieprzypisudolnego"/>
          <w:rFonts w:ascii="Times New Roman" w:hAnsi="Times New Roman"/>
          <w:sz w:val="24"/>
        </w:rPr>
        <w:footnoteReference w:id="458"/>
      </w:r>
      <w:r w:rsidRPr="003C0842">
        <w:t xml:space="preserve">. </w:t>
      </w:r>
    </w:p>
    <w:p w:rsidR="00612B90" w:rsidRPr="003C0842" w:rsidRDefault="005E3F07" w:rsidP="00111348">
      <w:pPr>
        <w:spacing w:line="360" w:lineRule="auto"/>
        <w:ind w:firstLine="709"/>
      </w:pPr>
      <w:r w:rsidRPr="003C0842">
        <w:t xml:space="preserve">Problem odpowiedzialności za wojnępozostawał </w:t>
      </w:r>
      <w:r w:rsidR="00612B90" w:rsidRPr="003C0842">
        <w:t>źródłem społecznych emocji, chociaż stopniowo schodziłz piedestału dyplomatyczno-politycznego. Dobrze ten stan rzeczy ilustruje wspomniana wyżej wylewność min. Stresemanna wobec grupy niemieckich biesiadników w dniach świętowania wstąpienia do Ligi. Popijając piwo</w:t>
      </w:r>
      <w:r w:rsidR="00C7001D" w:rsidRPr="003C0842">
        <w:t>,</w:t>
      </w:r>
      <w:r w:rsidR="00612B90" w:rsidRPr="003C0842">
        <w:t xml:space="preserve"> mówił, że świat w gruncie rzeczy nie wierzy oskarżaniu Niemiec o spowodowanie wojny</w:t>
      </w:r>
      <w:r w:rsidR="00C7001D" w:rsidRPr="003C0842">
        <w:t>,</w:t>
      </w:r>
      <w:r w:rsidR="00612B90" w:rsidRPr="003C0842">
        <w:t xml:space="preserve"> bo inaczej nie byliby w Genewie: „Kiedy nam się zarzuca moralną odpowiedzialność za wywołanie wojny odpowiadamy: to nieprawda”</w:t>
      </w:r>
      <w:r w:rsidR="00612B90" w:rsidRPr="003C0842">
        <w:rPr>
          <w:rStyle w:val="Odwoanieprzypisudolnego"/>
          <w:rFonts w:ascii="Times New Roman" w:hAnsi="Times New Roman"/>
          <w:sz w:val="24"/>
        </w:rPr>
        <w:footnoteReference w:id="459"/>
      </w:r>
      <w:r w:rsidR="00612B90" w:rsidRPr="003C0842">
        <w:t xml:space="preserve">. Problem ten zasadniczo wyłączony z bezpośrednich rozmów „lokarneńczyków” żył swoim, propagandowym życiem, reanimowany w zależności od potrzeb w polityce wewnętrznej. W Niemczech było na ten problem zapotrzebowanie, kiedy chciano przyćmić </w:t>
      </w:r>
      <w:r w:rsidR="009D0CF7" w:rsidRPr="003C0842">
        <w:t>jakiejś</w:t>
      </w:r>
      <w:r w:rsidR="00612B90" w:rsidRPr="003C0842">
        <w:t xml:space="preserve"> odstępstwo od traktatu wersalskiego,</w:t>
      </w:r>
      <w:r w:rsidR="009D0CF7" w:rsidRPr="003C0842">
        <w:t xml:space="preserve"> które </w:t>
      </w:r>
      <w:r w:rsidR="00612B90" w:rsidRPr="003C0842">
        <w:t>z reguły</w:t>
      </w:r>
      <w:r w:rsidR="000F64E5" w:rsidRPr="003C0842">
        <w:t xml:space="preserve">, lub lepiej </w:t>
      </w:r>
      <w:r w:rsidR="00552B2A" w:rsidRPr="003C0842">
        <w:t>–</w:t>
      </w:r>
      <w:r w:rsidR="000F64E5" w:rsidRPr="003C0842">
        <w:t xml:space="preserve"> notorycznie</w:t>
      </w:r>
      <w:r w:rsidR="00164234" w:rsidRPr="003C0842">
        <w:t>–</w:t>
      </w:r>
      <w:r w:rsidR="00612B90" w:rsidRPr="003C0842">
        <w:t>uznawane</w:t>
      </w:r>
      <w:r w:rsidR="009D0CF7" w:rsidRPr="003C0842">
        <w:t xml:space="preserve"> było</w:t>
      </w:r>
      <w:r w:rsidR="00612B90" w:rsidRPr="003C0842">
        <w:t xml:space="preserve"> za tylko częściowo satysfakcjonujące</w:t>
      </w:r>
      <w:r w:rsidR="00E41069" w:rsidRPr="003C0842">
        <w:t xml:space="preserve"> A ponadto – spełnienie tego</w:t>
      </w:r>
      <w:r w:rsidR="00C7001D" w:rsidRPr="003C0842">
        <w:t>,</w:t>
      </w:r>
      <w:r w:rsidR="00E41069" w:rsidRPr="003C0842">
        <w:t xml:space="preserve"> co się od dawna należało</w:t>
      </w:r>
      <w:r w:rsidR="00C7001D" w:rsidRPr="003C0842">
        <w:t>.</w:t>
      </w:r>
    </w:p>
    <w:p w:rsidR="00612B90" w:rsidRPr="003C0842" w:rsidRDefault="00612B90" w:rsidP="00111348">
      <w:pPr>
        <w:spacing w:line="360" w:lineRule="auto"/>
        <w:ind w:firstLine="709"/>
      </w:pPr>
      <w:r w:rsidRPr="003C0842">
        <w:t>Liderzy polityki niemieckiej forsując włączenie się do prac Ligi</w:t>
      </w:r>
      <w:r w:rsidR="00C7001D" w:rsidRPr="003C0842">
        <w:t>,</w:t>
      </w:r>
      <w:r w:rsidRPr="003C0842">
        <w:t xml:space="preserve"> uważali, że dzięki t</w:t>
      </w:r>
      <w:r w:rsidR="00E41069" w:rsidRPr="003C0842">
        <w:t>ym działaniom</w:t>
      </w:r>
      <w:r w:rsidRPr="003C0842">
        <w:t xml:space="preserve"> zasypywan</w:t>
      </w:r>
      <w:r w:rsidR="00E41069" w:rsidRPr="003C0842">
        <w:t>o</w:t>
      </w:r>
      <w:r w:rsidRPr="003C0842">
        <w:t xml:space="preserve"> podział</w:t>
      </w:r>
      <w:r w:rsidR="00E41069" w:rsidRPr="003C0842">
        <w:t>ywynikające z wojny</w:t>
      </w:r>
      <w:r w:rsidRPr="003C0842">
        <w:t>. Uzyskanie stałego miejsca w Radzie to namacalny dowód powrotu Niemiec do grona najważniejszych państw jeśli nie świata, to przynajmniej Europy. Przebyta droga – od rozejmu w Compiègne i dzielenia skóry na „niemieckim niedźwiedziu”</w:t>
      </w:r>
      <w:r w:rsidR="00E41069" w:rsidRPr="003C0842">
        <w:t>,</w:t>
      </w:r>
      <w:r w:rsidRPr="003C0842">
        <w:t xml:space="preserve"> poprzez represyjną okupację Zagłębia Ruhry, hiperinflację, </w:t>
      </w:r>
      <w:r w:rsidR="00C7001D" w:rsidRPr="003C0842">
        <w:t>aż po p</w:t>
      </w:r>
      <w:r w:rsidRPr="003C0842">
        <w:t>lan Dawesa oraz kilka jeszcze innych wstrząsających wydarzeń o wymiarze regionalnym i indywidualnym – mogła być powodem zadowolenia, nawet dumy. Chociaż dla wielu Niemców marsz ten był opatrywany wyzwiskami kierowanymi szczególnie często wobec ministra spraw zagranicznych, to jednak godzono się, że ich kraj wrócił do międzynarodowej gry. Spektakularnym przejawem tego powrotu było spotkanie w cztery oczy, które odbyło się 17 września 1926 r. w oberży w Thoiry. Inicjatywa spotkania wyszła od Stresemanna i została bez zwłoki zaakceptowana przez Brianda, bardziej niż kiedykolwiek przekonanego, że dokonuje się właśnie akt dziejowego</w:t>
      </w:r>
      <w:r w:rsidR="00E41069" w:rsidRPr="003C0842">
        <w:t xml:space="preserve">, niemiecko-francuskiego </w:t>
      </w:r>
      <w:r w:rsidRPr="003C0842">
        <w:t>porozumienia</w:t>
      </w:r>
      <w:r w:rsidR="00E41069" w:rsidRPr="003C0842">
        <w:t xml:space="preserve">, </w:t>
      </w:r>
      <w:r w:rsidRPr="003C0842">
        <w:t>może nawet pojednania</w:t>
      </w:r>
      <w:r w:rsidR="00E41069" w:rsidRPr="003C0842">
        <w:t xml:space="preserve"> (aczkolwiek określenie to zarezerwowane jest dla innej epoki!)</w:t>
      </w:r>
      <w:r w:rsidRPr="003C0842">
        <w:t xml:space="preserve">. </w:t>
      </w:r>
    </w:p>
    <w:p w:rsidR="00612B90" w:rsidRPr="003C0842" w:rsidRDefault="00612B90" w:rsidP="00111348">
      <w:pPr>
        <w:spacing w:line="360" w:lineRule="auto"/>
        <w:ind w:firstLine="709"/>
      </w:pPr>
      <w:r w:rsidRPr="003C0842">
        <w:t>Nie mogło być inaczej</w:t>
      </w:r>
      <w:r w:rsidR="007374F9" w:rsidRPr="003C0842">
        <w:t>,</w:t>
      </w:r>
      <w:r w:rsidRPr="003C0842">
        <w:t xml:space="preserve"> skoro to Briand kilka dni wcześniej, podczas pamiętnego Zgromadzenia 10 września 1926 r., mówił do delegacji z całego świata, w tym po raz pierwszy także niemieckiej, że oto nadszedł kres długiego szeregu bolesnych i krwawych walk. </w:t>
      </w:r>
      <w:r w:rsidR="00900BE3" w:rsidRPr="003C0842">
        <w:t>„</w:t>
      </w:r>
      <w:r w:rsidRPr="001E5F63">
        <w:t xml:space="preserve">Koniec z wojną między nami, koniec z długimi żałobnymi welonami. Odtąd nie będzie </w:t>
      </w:r>
      <w:r w:rsidRPr="001E5F63">
        <w:lastRenderedPageBreak/>
        <w:t xml:space="preserve">już wojen, żadnych siłowych rozwiązań. Istniejące jeszcze między naszymi krajami różnice będziemy w przyszłości rozwiązywać tak jak osoby prywatne z udziałem sędziego. Dlatego mówię: precz z karabinami, kulomiotami, armatami! Nastała wolna droga do pojednania, arbitrażu i pokoju. </w:t>
      </w:r>
      <w:r w:rsidR="007374F9" w:rsidRPr="001E5F63">
        <w:t>[…]</w:t>
      </w:r>
      <w:r w:rsidRPr="001E5F63">
        <w:t xml:space="preserve"> Nasze narody na polach bitewnych zebrały bogate i pełne chwały żniwo. Odtąd mogą kierować swe usiłowania w innych kierunkach</w:t>
      </w:r>
      <w:r w:rsidR="00552B2A" w:rsidRPr="001E5F63">
        <w:t>,</w:t>
      </w:r>
      <w:r w:rsidRPr="001E5F63">
        <w:t xml:space="preserve"> ku innym sukcesom</w:t>
      </w:r>
      <w:r w:rsidR="00900BE3" w:rsidRPr="001E5F63">
        <w:t>”</w:t>
      </w:r>
      <w:r w:rsidRPr="001E5F63">
        <w:rPr>
          <w:rStyle w:val="Odwoanieprzypisudolnego"/>
          <w:rFonts w:ascii="Times New Roman" w:hAnsi="Times New Roman"/>
          <w:sz w:val="24"/>
        </w:rPr>
        <w:footnoteReference w:id="460"/>
      </w:r>
      <w:r w:rsidRPr="001E5F63">
        <w:t>.</w:t>
      </w:r>
    </w:p>
    <w:p w:rsidR="00612B90" w:rsidRPr="003C0842" w:rsidRDefault="00612B90" w:rsidP="00111348">
      <w:pPr>
        <w:spacing w:line="360" w:lineRule="auto"/>
        <w:ind w:firstLine="709"/>
      </w:pPr>
      <w:r w:rsidRPr="003C0842">
        <w:t>Słowa wypowiadane w tym duchu, gromko oklaskiwane przez obecnych w sali Reformacji delegatów i wyjątkowo wytwornej, a przy tym tradycyjnie licznej publiczności, można traktować jako nie bardzo zawoalowane zaproszenie do rozmów, i to na każdy temat. Do spotkania doszło już, albo dopiero po tygodniu. Briand i Stresemann zasiedli do obficie zastawionego stołu w sabaudzkim Hôtel Léger w Thoiry</w:t>
      </w:r>
      <w:r w:rsidRPr="003C0842">
        <w:rPr>
          <w:rStyle w:val="Odwoanieprzypisudolnego"/>
          <w:rFonts w:ascii="Times New Roman" w:hAnsi="Times New Roman"/>
          <w:sz w:val="24"/>
        </w:rPr>
        <w:footnoteReference w:id="461"/>
      </w:r>
      <w:r w:rsidRPr="003C0842">
        <w:t xml:space="preserve">. Towarzyszył im jako tłumacz </w:t>
      </w:r>
      <w:r w:rsidRPr="003C0842">
        <w:rPr>
          <w:i/>
        </w:rPr>
        <w:t>attaché</w:t>
      </w:r>
      <w:r w:rsidRPr="003C0842">
        <w:t xml:space="preserve"> ambasady francuskiej w Berlinie Oswald Heshard. Biesiadnicy pozostawali przy stole niemal pięć godzin. Można powiedzieć, że rozmawiali o wszystkim</w:t>
      </w:r>
      <w:r w:rsidR="007374F9" w:rsidRPr="003C0842">
        <w:t>,</w:t>
      </w:r>
      <w:r w:rsidRPr="003C0842">
        <w:t xml:space="preserve"> co interesowało </w:t>
      </w:r>
      <w:r w:rsidR="00552B2A" w:rsidRPr="003C0842">
        <w:t>ich</w:t>
      </w:r>
      <w:r w:rsidRPr="003C0842">
        <w:t xml:space="preserve"> państwa, b</w:t>
      </w:r>
      <w:r w:rsidR="00552B2A" w:rsidRPr="003C0842">
        <w:t xml:space="preserve">ędące </w:t>
      </w:r>
      <w:r w:rsidR="00164234" w:rsidRPr="003C0842">
        <w:t>–</w:t>
      </w:r>
      <w:r w:rsidR="00552B2A" w:rsidRPr="003C0842">
        <w:t>nadal i jeszcze</w:t>
      </w:r>
      <w:r w:rsidR="00164234" w:rsidRPr="003C0842">
        <w:t>–</w:t>
      </w:r>
      <w:r w:rsidRPr="003C0842">
        <w:t xml:space="preserve"> pierwszymi aktorami genewskiej euforii. Skąpe świadectwa pozostawione po biesiadzie wzmagały spekulacje, sugerujące, że podejmowali lub dotykali tematów wzajemnie ważnych, wynikających z głębokiego kryzysu finansowego Francji, rozbieżności we francuskiej polityce zagranicznej między premierem (twardym egzekutorem postanowień traktatowych) i jego ministrem spraw zagranicznych (zwolennikiem zmian), o Stahlhelmie, rychłej ewakuacji Nadrenii (nawet w perspektywie kilku miesięcy), „odkupieniu” kopalń Zagłębia Saary</w:t>
      </w:r>
      <w:r w:rsidR="007374F9" w:rsidRPr="003C0842">
        <w:t>.</w:t>
      </w:r>
    </w:p>
    <w:p w:rsidR="009D0CF7" w:rsidRPr="003C0842" w:rsidRDefault="00612B90" w:rsidP="00111348">
      <w:pPr>
        <w:spacing w:line="360" w:lineRule="auto"/>
        <w:ind w:firstLine="709"/>
      </w:pPr>
      <w:r w:rsidRPr="003C0842">
        <w:t>Nie mogło zabraknąć tematów leżących „na sercu” Stresemannowi i Niemcom, które funkcjonowały w polityce, dyplomacji, prasie, w „biersztubach” i na ulicy. W zwięzłej formie zostały one wskazane w liście do Kronprinza7 września 1925 r. Szef AA starał się wówczas rozwiać wątpliwości jakie były książę Korony sformułował w związku z wstąpieniem Niemiec do Ligi – bo zawsze będą mogli być przegłosowani przez innych, realizujących własne interesy. Kronpri</w:t>
      </w:r>
      <w:r w:rsidR="007374F9" w:rsidRPr="003C0842">
        <w:t>n</w:t>
      </w:r>
      <w:r w:rsidRPr="003C0842">
        <w:t>za bardzo martwiła perspektywa utraty możliwości balansowania między wschodem a zachodem. Minister w rządzie Republiki Weimarskiej i jednocześnie zwolennik monarchii pisał w odpowiedzi o konieczności zapewnienia pokoju, bez którego Niemcy nie będą wstanie odzyskać swych sił, o pilniej potrzebie rozwiązania kwestii Renu, ochronie 10</w:t>
      </w:r>
      <w:r w:rsidR="007374F9" w:rsidRPr="003C0842">
        <w:t>-</w:t>
      </w:r>
      <w:r w:rsidRPr="003C0842">
        <w:t>12 mln Niemców „żyjących pod obcym jarzmem”, korekcie granic wschodnich</w:t>
      </w:r>
      <w:r w:rsidR="007374F9" w:rsidRPr="003C0842">
        <w:t>,</w:t>
      </w:r>
      <w:r w:rsidRPr="003C0842">
        <w:t xml:space="preserve"> obejmujących zwrot Gdańska i </w:t>
      </w:r>
      <w:r w:rsidR="00303C01" w:rsidRPr="003C0842">
        <w:t>odzyskanie włączonej do Po</w:t>
      </w:r>
      <w:r w:rsidR="00030A24" w:rsidRPr="003C0842">
        <w:t>l</w:t>
      </w:r>
      <w:r w:rsidR="00303C01" w:rsidRPr="003C0842">
        <w:t>ski części</w:t>
      </w:r>
      <w:r w:rsidRPr="003C0842">
        <w:t xml:space="preserve"> Górnego Śląska</w:t>
      </w:r>
      <w:r w:rsidRPr="003C0842">
        <w:rPr>
          <w:rStyle w:val="Odwoanieprzypisudolnego"/>
          <w:rFonts w:ascii="Times New Roman" w:hAnsi="Times New Roman"/>
          <w:sz w:val="24"/>
        </w:rPr>
        <w:footnoteReference w:id="462"/>
      </w:r>
      <w:r w:rsidRPr="003C0842">
        <w:t xml:space="preserve">. </w:t>
      </w:r>
    </w:p>
    <w:p w:rsidR="00612B90" w:rsidRPr="003C0842" w:rsidRDefault="00612B90" w:rsidP="00757DCD">
      <w:pPr>
        <w:spacing w:line="360" w:lineRule="auto"/>
        <w:ind w:firstLine="709"/>
      </w:pPr>
      <w:r w:rsidRPr="003C0842">
        <w:lastRenderedPageBreak/>
        <w:t>Wszystkie te problemy, pośrednio lub bezpośrednio mieściły się w szeroko zakreślonym planie rozmów pozwalających wedle oczekiwań Brianda na odwrót od wojen i rywalizacji na rzecz pokojowej współpracy. Przez wiele miesięcy i lat kołatały się po gabinetach dyplomatycznych, prasie, dyskusjach obywateli różne wątki budowane na domniemanych zobowiązaniach powziętych w Thoiry. Stresemann mówił nawet do Wil</w:t>
      </w:r>
      <w:r w:rsidR="007374F9" w:rsidRPr="003C0842">
        <w:t>l</w:t>
      </w:r>
      <w:r w:rsidRPr="003C0842">
        <w:t xml:space="preserve">iama Martina, lidera „Journal de Genève”, że „nie ma rzeczy, która kosztowałaby </w:t>
      </w:r>
      <w:r w:rsidR="009D0CF7" w:rsidRPr="003C0842">
        <w:t>mnie</w:t>
      </w:r>
      <w:r w:rsidRPr="003C0842">
        <w:t xml:space="preserve"> drożej niż ten nieszczęsny obiad w Thoiry”</w:t>
      </w:r>
      <w:r w:rsidRPr="003C0842">
        <w:rPr>
          <w:rStyle w:val="Odwoanieprzypisudolnego"/>
          <w:rFonts w:ascii="Times New Roman" w:hAnsi="Times New Roman"/>
          <w:sz w:val="24"/>
        </w:rPr>
        <w:footnoteReference w:id="463"/>
      </w:r>
      <w:r w:rsidRPr="003C0842">
        <w:t xml:space="preserve">. </w:t>
      </w:r>
    </w:p>
    <w:p w:rsidR="00612B90" w:rsidRPr="003C0842" w:rsidRDefault="00612B90" w:rsidP="00111348">
      <w:pPr>
        <w:spacing w:line="360" w:lineRule="auto"/>
        <w:ind w:firstLine="709"/>
      </w:pPr>
      <w:r w:rsidRPr="003C0842">
        <w:t>Można powiedzieć, że tak Briand, jak i Stresemann wysunęli się przed szereg. Jak bardzo – pokazywały zastrzeżenia i krytyka ze strony prawicy francuskiej uosabianej przez ówczesnego premiera Poincarè</w:t>
      </w:r>
      <w:r w:rsidR="00435603">
        <w:t>go</w:t>
      </w:r>
      <w:r w:rsidRPr="003C0842">
        <w:t xml:space="preserve">, któremu sekundowała niebywała popularność oberży Thoiry w paryskich i francuskich kabaretach. Niemiecka ulica była bardziej powściągliwa, chociaż nie mniej zaszokowana. Rząd powołał nawet specjalną komisję złożoną z kilku ministrów i prezesa Reichsbanku dla analizy pomysłów, które się pojawiły w Thoiry. Badanie nie dało żadnych efektów, podobnie jak nikłe były efekty dla obu państw, narodów, a także samych biesiadników. </w:t>
      </w:r>
    </w:p>
    <w:p w:rsidR="00BD56B3" w:rsidRDefault="00612B90" w:rsidP="00111348">
      <w:pPr>
        <w:spacing w:line="360" w:lineRule="auto"/>
        <w:ind w:firstLine="709"/>
      </w:pPr>
      <w:r w:rsidRPr="003C0842">
        <w:t xml:space="preserve">Inaczej problem „kaczki z Thoiry” (to nawiązanie do menu) wypada z punktu widzenia Ligi. Trudną do przecenienia wymowę </w:t>
      </w:r>
      <w:r w:rsidR="007374F9" w:rsidRPr="003C0842">
        <w:t>mi</w:t>
      </w:r>
      <w:r w:rsidRPr="003C0842">
        <w:t xml:space="preserve">ał fakt, że </w:t>
      </w:r>
      <w:r w:rsidR="00DF2EA2" w:rsidRPr="003C0842">
        <w:t xml:space="preserve">w biesiadzie uczestniczyli </w:t>
      </w:r>
      <w:r w:rsidRPr="003C0842">
        <w:t>dwaj główni aktorzy VII Zgromadzenia, którego znaczenie pospołu podkreślali i oklaskiwali</w:t>
      </w:r>
      <w:r w:rsidR="00A91BE0" w:rsidRPr="003C0842">
        <w:t>.</w:t>
      </w:r>
      <w:r w:rsidRPr="003C0842">
        <w:t xml:space="preserve"> Aby </w:t>
      </w:r>
      <w:r w:rsidR="00A91BE0" w:rsidRPr="003C0842">
        <w:t xml:space="preserve">dotrzeć niepostrzeżenie </w:t>
      </w:r>
      <w:r w:rsidRPr="003C0842">
        <w:t>do Thoiry</w:t>
      </w:r>
      <w:r w:rsidR="007374F9" w:rsidRPr="003C0842">
        <w:t>,</w:t>
      </w:r>
      <w:r w:rsidRPr="003C0842">
        <w:t xml:space="preserve"> uciekali się do forteli, godnych kochanków. Dla tego celu porzucili otwarte forum na rzecz sekretnych rozmów dwustronnych. Ta rola spotkań genewskich, jako miejsca dla nieoficjalnych rozmów i „łamania lodów” między skonfliktowanymi państwami, została przy okazji wejścia Niemiec do Ligi uwypuklona.</w:t>
      </w:r>
    </w:p>
    <w:p w:rsidR="00E82E17" w:rsidRPr="003C0842" w:rsidRDefault="00612B90" w:rsidP="00111348">
      <w:pPr>
        <w:spacing w:line="360" w:lineRule="auto"/>
        <w:ind w:firstLine="709"/>
      </w:pPr>
      <w:r w:rsidRPr="003C0842">
        <w:t>Odmienna strona tego zjawiska to zamanifestowanie nowej praktyki i znaczenia spotkań w ograniczonym gronie. Przybrały one formę rozmów przedstawicieli trzech mocarstw „przy herbatce”. Napiętnowano je</w:t>
      </w:r>
      <w:r w:rsidR="00DF2EA2" w:rsidRPr="003C0842">
        <w:t>, wykpiwano</w:t>
      </w:r>
      <w:r w:rsidR="00BF3AED">
        <w:t xml:space="preserve"> </w:t>
      </w:r>
      <w:r w:rsidRPr="003C0842">
        <w:t>i krytykowano jako zewnętrzny przejaw zmiany w stosunkach międzynarodowych i Lidze Narodów tego czasu. Thoiry</w:t>
      </w:r>
      <w:r w:rsidR="00A91BE0" w:rsidRPr="003C0842">
        <w:t>,</w:t>
      </w:r>
      <w:r w:rsidRPr="003C0842">
        <w:t xml:space="preserve"> a za tym </w:t>
      </w:r>
      <w:r w:rsidRPr="003C0842">
        <w:rPr>
          <w:i/>
        </w:rPr>
        <w:t>tea parties</w:t>
      </w:r>
      <w:r w:rsidRPr="003C0842">
        <w:t xml:space="preserve"> były swoistym manifestem publicznym nowych </w:t>
      </w:r>
      <w:r w:rsidR="00A91BE0" w:rsidRPr="003C0842">
        <w:t>praktyk</w:t>
      </w:r>
      <w:r w:rsidRPr="003C0842">
        <w:t xml:space="preserve">, ewidentnie sprzecznych z fundamentami Ligi. Krytycy przypominali kongres wiedeński 1815 r., decyzje Rady Trzech z konferencji pokojowej 1919 r., a nawet podział członków Rady na stałych i niestałych. </w:t>
      </w:r>
      <w:r w:rsidR="00E82E17" w:rsidRPr="003C0842">
        <w:t xml:space="preserve">Z tej elity wyłoniła się </w:t>
      </w:r>
      <w:r w:rsidR="00687EA5" w:rsidRPr="003C0842">
        <w:t>jakby</w:t>
      </w:r>
      <w:r w:rsidR="00E82E17" w:rsidRPr="003C0842">
        <w:t xml:space="preserve"> „superelita</w:t>
      </w:r>
      <w:r w:rsidR="00BF3AED">
        <w:t>”</w:t>
      </w:r>
      <w:r w:rsidR="0003069E" w:rsidRPr="003C0842">
        <w:t xml:space="preserve">, </w:t>
      </w:r>
      <w:r w:rsidR="00E82E17" w:rsidRPr="003C0842">
        <w:t xml:space="preserve">która </w:t>
      </w:r>
      <w:r w:rsidR="00687EA5" w:rsidRPr="003C0842">
        <w:t>nawet</w:t>
      </w:r>
      <w:r w:rsidR="00E82E17" w:rsidRPr="003C0842">
        <w:t xml:space="preserve"> zastępowała tajne </w:t>
      </w:r>
      <w:r w:rsidR="0003069E" w:rsidRPr="003C0842">
        <w:t>spotkania członków</w:t>
      </w:r>
      <w:r w:rsidR="00E82E17" w:rsidRPr="003C0842">
        <w:t xml:space="preserve"> Rady. Zmiany były spore i dla przeciętnego obserwatora widoczne. Jeśli bowiem w 1925 r. Rada spotykała się na tajnych sesjach 14 razy i w 1926 r. trzykrotnie (wszystkie przed </w:t>
      </w:r>
      <w:r w:rsidR="00E82E17" w:rsidRPr="003C0842">
        <w:lastRenderedPageBreak/>
        <w:t>wejściem Niemiec do Ligi), t</w:t>
      </w:r>
      <w:r w:rsidR="00413C94" w:rsidRPr="003C0842">
        <w:t>o na kolejne takie posiedzenie sekretarz g</w:t>
      </w:r>
      <w:r w:rsidR="00E82E17" w:rsidRPr="003C0842">
        <w:t>eneralny zaprosił dopiero 17 czerwca 1927 r. Miało ono przy tym charakter proceduralny, bowiem sprawy związane z zatrudnianiem nowych pracowników musiały być poprzedzone uzgodnieniem stanowiska. W tym wypadku kandydatura Enrique</w:t>
      </w:r>
      <w:r w:rsidR="000F486B">
        <w:t xml:space="preserve"> </w:t>
      </w:r>
      <w:r w:rsidR="00E82E17" w:rsidRPr="003C0842">
        <w:t>Buero</w:t>
      </w:r>
      <w:r w:rsidR="000F486B">
        <w:t xml:space="preserve"> </w:t>
      </w:r>
      <w:r w:rsidR="00E82E17" w:rsidRPr="003C0842">
        <w:t xml:space="preserve">z Urugwaju na stanowisko radcy prawnego Sekretariatu zyskała zgodne poparcie. Spotkanie trwało więc kilkanaście minut, czego nie można powiedzieć o dwóch następnych 8 i 10 grudnia 1927 r., które dotyczyły skargi Litwy. Konieczność znalezienia formuły kompromisowej była tym większa, że </w:t>
      </w:r>
      <w:r w:rsidR="00687EA5" w:rsidRPr="003C0842">
        <w:t xml:space="preserve">problem był nie nowy i trudny, a </w:t>
      </w:r>
      <w:r w:rsidR="00E82E17" w:rsidRPr="003C0842">
        <w:t>z wizytą zapowiedział się marszałek Piłsudski. Przyjechał tylko raz</w:t>
      </w:r>
      <w:r w:rsidR="00687EA5" w:rsidRPr="003C0842">
        <w:t>, po cywilnemu</w:t>
      </w:r>
      <w:r w:rsidR="00E82E17" w:rsidRPr="003C0842">
        <w:t xml:space="preserve"> i b</w:t>
      </w:r>
      <w:r w:rsidR="00687EA5" w:rsidRPr="003C0842">
        <w:t>awił</w:t>
      </w:r>
      <w:r w:rsidR="00E82E17" w:rsidRPr="003C0842">
        <w:t xml:space="preserve"> 36 godzin</w:t>
      </w:r>
      <w:r w:rsidR="00E82E17" w:rsidRPr="003C0842">
        <w:rPr>
          <w:rStyle w:val="Odwoanieprzypisudolnego"/>
          <w:rFonts w:ascii="Times New Roman" w:hAnsi="Times New Roman"/>
          <w:sz w:val="24"/>
        </w:rPr>
        <w:footnoteReference w:id="464"/>
      </w:r>
      <w:r w:rsidR="00687EA5" w:rsidRPr="003C0842">
        <w:t>.</w:t>
      </w:r>
    </w:p>
    <w:p w:rsidR="00612B90" w:rsidRPr="003C0842" w:rsidRDefault="00612B90" w:rsidP="00111348">
      <w:pPr>
        <w:spacing w:line="360" w:lineRule="auto"/>
        <w:ind w:firstLine="709"/>
      </w:pPr>
      <w:r w:rsidRPr="003C0842">
        <w:t>W powszechnym,</w:t>
      </w:r>
      <w:r w:rsidR="000F486B">
        <w:t xml:space="preserve"> </w:t>
      </w:r>
      <w:r w:rsidRPr="003C0842">
        <w:t xml:space="preserve">okresowo nasilającym się rachunku zysków i strat dominował pogląd, że Niemcy zyskiwały na </w:t>
      </w:r>
      <w:r w:rsidR="00173B12" w:rsidRPr="003C0842">
        <w:t>nowej sytuacji i tak widziane</w:t>
      </w:r>
      <w:r w:rsidR="00A91BE0" w:rsidRPr="003C0842">
        <w:t>j ew</w:t>
      </w:r>
      <w:r w:rsidRPr="003C0842">
        <w:t>olucji najwięcej. Idąc za sugestią specjalistów z zakresu prawa międzynarodowego</w:t>
      </w:r>
      <w:r w:rsidR="007374F9" w:rsidRPr="003C0842">
        <w:t>,</w:t>
      </w:r>
      <w:r w:rsidRPr="003C0842">
        <w:t xml:space="preserve"> można owe </w:t>
      </w:r>
      <w:r w:rsidRPr="003C0842">
        <w:rPr>
          <w:i/>
        </w:rPr>
        <w:t>tea parties</w:t>
      </w:r>
      <w:r w:rsidRPr="003C0842">
        <w:t xml:space="preserve"> uznać za „wypełnienie luki” po tracącej na znaczeniu Konferencji Ambasadorów</w:t>
      </w:r>
      <w:r w:rsidRPr="003C0842">
        <w:rPr>
          <w:rStyle w:val="Odwoanieprzypisudolnego"/>
          <w:rFonts w:ascii="Times New Roman" w:hAnsi="Times New Roman"/>
          <w:sz w:val="24"/>
        </w:rPr>
        <w:footnoteReference w:id="465"/>
      </w:r>
      <w:r w:rsidRPr="003C0842">
        <w:t>. Problem w tym, że owa instytucja powstała m.in., dla niektórych wyłącznie lub głównie, aby nadzorować wykonywania postanowień pokojowych. W zmienionych warunkach kontrolowany (państwa pokonane) stał się jednym z podstawowych graczy ciała kontrol</w:t>
      </w:r>
      <w:r w:rsidR="00DF2EA2" w:rsidRPr="003C0842">
        <w:t>ującego</w:t>
      </w:r>
      <w:r w:rsidRPr="003C0842">
        <w:t>. To także uwypukla wielką zmianę.</w:t>
      </w:r>
      <w:r w:rsidR="000F486B">
        <w:t xml:space="preserve"> </w:t>
      </w:r>
      <w:r w:rsidRPr="003C0842">
        <w:t xml:space="preserve">Niemcy „namacalnie” i formalnie stały się jednym z najważniejszych państw w Europie, de facto uprzywilejowaną częścią pierwszorzędnego forum europejskiego, umożliwiającego manifestowanie swojej pozycji, także w relacjach z państwami średnimi i mniejszymi. </w:t>
      </w:r>
      <w:r w:rsidR="00DF2EA2" w:rsidRPr="003C0842">
        <w:t>B</w:t>
      </w:r>
      <w:r w:rsidRPr="003C0842">
        <w:t>ył</w:t>
      </w:r>
      <w:r w:rsidR="00DF2EA2" w:rsidRPr="003C0842">
        <w:t>o to</w:t>
      </w:r>
      <w:r w:rsidRPr="003C0842">
        <w:t xml:space="preserve"> zwieńczenie procesu</w:t>
      </w:r>
      <w:r w:rsidR="00DF2EA2" w:rsidRPr="003C0842">
        <w:t xml:space="preserve">, którego elementem centralnym stał </w:t>
      </w:r>
      <w:r w:rsidRPr="003C0842">
        <w:t xml:space="preserve">się „duch Locarno” </w:t>
      </w:r>
      <w:r w:rsidR="00DF2EA2" w:rsidRPr="003C0842">
        <w:t>– owładnięty przez dążenie</w:t>
      </w:r>
      <w:r w:rsidRPr="003C0842">
        <w:t xml:space="preserve"> do zmian, rewizji porządku wersalskiego. Liga Narodów </w:t>
      </w:r>
      <w:r w:rsidR="00DF2EA2" w:rsidRPr="003C0842">
        <w:t>miała stać się</w:t>
      </w:r>
      <w:r w:rsidRPr="003C0842">
        <w:t xml:space="preserve"> niezbędnym ogniwem rozwoju owego „ducha”, który </w:t>
      </w:r>
      <w:r w:rsidR="00FE1660" w:rsidRPr="003C0842">
        <w:t xml:space="preserve">miał </w:t>
      </w:r>
      <w:r w:rsidRPr="003C0842">
        <w:t>za</w:t>
      </w:r>
      <w:r w:rsidR="00FE1660" w:rsidRPr="003C0842">
        <w:t>ciążyć</w:t>
      </w:r>
      <w:r w:rsidRPr="003C0842">
        <w:t xml:space="preserve"> nad Genewą i Europą. </w:t>
      </w:r>
    </w:p>
    <w:p w:rsidR="00612B90" w:rsidRPr="003C0842" w:rsidRDefault="00612B90" w:rsidP="00111348">
      <w:pPr>
        <w:spacing w:line="360" w:lineRule="auto"/>
        <w:ind w:firstLine="709"/>
      </w:pPr>
      <w:r w:rsidRPr="003C0842">
        <w:t>Pojawienie się delegacji niemieckiej w Genewie, gorąco i na ogół szczerze oklaskiwanej, było przełomem, który został obwieszczony i pokazany w Sali Reformacji, w Thoiry oraz piwiarniach „Bawaria” i „Gambrinus”. Min</w:t>
      </w:r>
      <w:r w:rsidR="007374F9" w:rsidRPr="003C0842">
        <w:t>ister</w:t>
      </w:r>
      <w:r w:rsidRPr="003C0842">
        <w:t xml:space="preserve"> Stresemann pozostawił trafną ocenę </w:t>
      </w:r>
      <w:r w:rsidR="00A91BE0" w:rsidRPr="003C0842">
        <w:t>zmian</w:t>
      </w:r>
      <w:r w:rsidRPr="003C0842">
        <w:t xml:space="preserve"> rozpoczętych przez porozumienia lokarneńskie. „Znaczenie ducha Locarn</w:t>
      </w:r>
      <w:r w:rsidR="007F071B">
        <w:t>o</w:t>
      </w:r>
      <w:r w:rsidRPr="003C0842">
        <w:t xml:space="preserve"> polega na tym, że odtąd nie ma już kwestii niemieckiej</w:t>
      </w:r>
      <w:r w:rsidR="00A91BE0" w:rsidRPr="003C0842">
        <w:t>,</w:t>
      </w:r>
      <w:r w:rsidRPr="003C0842">
        <w:t xml:space="preserve"> jest tylko kwestia europejska, międzynarodowa. Po</w:t>
      </w:r>
      <w:r w:rsidR="007F071B">
        <w:t>lityka Locarno</w:t>
      </w:r>
      <w:r w:rsidRPr="003C0842">
        <w:t xml:space="preserve"> wyklucza politykę gwałtów w stosunku do Niemiec. Locarno oznacza odrodzenie niemieckiej wolności”</w:t>
      </w:r>
      <w:r w:rsidRPr="003C0842">
        <w:rPr>
          <w:rStyle w:val="Odwoanieprzypisudolnego"/>
          <w:rFonts w:ascii="Times New Roman" w:hAnsi="Times New Roman"/>
          <w:sz w:val="24"/>
        </w:rPr>
        <w:footnoteReference w:id="466"/>
      </w:r>
      <w:r w:rsidRPr="003C0842">
        <w:t>.</w:t>
      </w:r>
    </w:p>
    <w:p w:rsidR="00612B90" w:rsidRPr="003C0842" w:rsidRDefault="00612B90" w:rsidP="00111348">
      <w:pPr>
        <w:spacing w:line="360" w:lineRule="auto"/>
        <w:ind w:firstLine="709"/>
      </w:pPr>
      <w:r w:rsidRPr="003C0842">
        <w:lastRenderedPageBreak/>
        <w:t xml:space="preserve">Bodaj czy nie jeszcze bardziej ekspresyjny byłby ton tej wypowiedzi gdyby „ducha </w:t>
      </w:r>
      <w:r w:rsidR="0003069E" w:rsidRPr="003C0842">
        <w:t>Locarno</w:t>
      </w:r>
      <w:r w:rsidR="007374F9" w:rsidRPr="003C0842">
        <w:t xml:space="preserve">” </w:t>
      </w:r>
      <w:r w:rsidRPr="003C0842">
        <w:t xml:space="preserve">zastąpić, a przynajmniej dopełnić </w:t>
      </w:r>
      <w:r w:rsidR="00164234" w:rsidRPr="003C0842">
        <w:t>–</w:t>
      </w:r>
      <w:r w:rsidRPr="003C0842">
        <w:t xml:space="preserve"> genewskim. To z niego miały płynąć ważne zmiany nad Renem wraz z eliminacją wszelkich alianckich kontroli. Ich miejsce miały zająć partnerskie rozmowy dotyczące poprawy pozycji ogólnej Niemiec, choćby w Stałej Komisji Mandatowej, dającej wgląd w sytuację niegdysiejszych kolonii. Porządkowane</w:t>
      </w:r>
      <w:r w:rsidR="008B111A" w:rsidRPr="003C0842">
        <w:t>,</w:t>
      </w:r>
      <w:r w:rsidRPr="003C0842">
        <w:t xml:space="preserve"> dzięki życzliwej i</w:t>
      </w:r>
      <w:r w:rsidR="008B111A" w:rsidRPr="003C0842">
        <w:t xml:space="preserve">nterwencji Stanów Zjednoczonych, </w:t>
      </w:r>
      <w:r w:rsidRPr="003C0842">
        <w:t>reparacje miały zostać rychło zlikwidowane, bo jak mogłoby je płacić państwo, kiedyś wprawdzie wrogie, ale już pojednane i skupione w pokojowej organizacji, w której siły wojskowe – co oczywiste! – zostaną sprowadzone do poziomu formacji policyjnych, jak to się już dokonało w Niemczech, Austrii, Bułgarii i na Węgrzech.</w:t>
      </w:r>
    </w:p>
    <w:p w:rsidR="00612B90" w:rsidRPr="003C0842" w:rsidRDefault="00612B90" w:rsidP="00111348">
      <w:pPr>
        <w:spacing w:line="360" w:lineRule="auto"/>
        <w:ind w:firstLine="709"/>
      </w:pPr>
      <w:r w:rsidRPr="003C0842">
        <w:t xml:space="preserve">Wśród szczególnych momentów genewskich </w:t>
      </w:r>
      <w:r w:rsidRPr="003C0842">
        <w:rPr>
          <w:i/>
        </w:rPr>
        <w:t>teaparties</w:t>
      </w:r>
      <w:r w:rsidRPr="003C0842">
        <w:t xml:space="preserve"> widzieć też należy rolę Niemiec jako swoistego pośrednika świata zachodniego z ZSRR. Pamięci i ponawiania wymaga fakt szanta</w:t>
      </w:r>
      <w:r w:rsidR="00CB194F" w:rsidRPr="003C0842">
        <w:t>żowania Za</w:t>
      </w:r>
      <w:r w:rsidRPr="003C0842">
        <w:t>chodu możliwym aliansem dwóch ważnych państw, skrajnie negatywnie oceniających cały powojenny system. Próby rozerwania linii rapallskiej nie dawały efektów. Linię tę dodatkowo konsolidowali wspólni wrogowie ulokowani przede wszystkim na wschodzie Europy. Jakkolwiek pretensje były różne, to jednak obopólne zainteresowanie państwami leżącymi między Rosją i Niemcami było duże i bardziej rosło niż malało</w:t>
      </w:r>
      <w:r w:rsidRPr="003C0842">
        <w:rPr>
          <w:rStyle w:val="Odwoanieprzypisudolnego"/>
          <w:rFonts w:ascii="Times New Roman" w:hAnsi="Times New Roman"/>
          <w:sz w:val="24"/>
        </w:rPr>
        <w:footnoteReference w:id="467"/>
      </w:r>
      <w:r w:rsidRPr="003C0842">
        <w:t xml:space="preserve">. W konglomeracie spraw sporą rolę, chociaż trudną do zweryfikowania i bliższego określenia, odgrywał strach przed rewolucją, bolszewizmem. Nie mógł on wszakże omijać także delegatów uczestniczących w pracach organów Ligi. Obawy tego typu towarzyszyły zarówno socjaldemokratycznym (głównie) przedstawicielom „świata pracy” w Międzynarodowej Organizacji Pracy, jak i mieszkańcom Szwajcarii, którzy zresztą od lat mieli do czynienia z międzynarodowymi „wywrotowcami”. Z różnych źródeł wyzierały obawy związane z napływem rewolucyjnych agitatorów, korzystających z dyplomatycznego parasola </w:t>
      </w:r>
      <w:r w:rsidR="007B3751" w:rsidRPr="003C0842">
        <w:t>„</w:t>
      </w:r>
      <w:r w:rsidRPr="003C0842">
        <w:t>sowietów</w:t>
      </w:r>
      <w:r w:rsidR="007B3751" w:rsidRPr="003C0842">
        <w:t>”</w:t>
      </w:r>
      <w:r w:rsidRPr="003C0842">
        <w:t>. Wieszczono duże niebezpieczeństwo nie tylko dla Szwajcarii, posiadającej zresztą słabe siły policyjne, co i dla „ościennych z nią krajów, w których łatwiej niż dotychczas prowadzona stąd będzie mogła być wywrotowa propaganda”</w:t>
      </w:r>
      <w:r w:rsidRPr="003C0842">
        <w:rPr>
          <w:rStyle w:val="Odwoanieprzypisudolnego"/>
          <w:rFonts w:ascii="Times New Roman" w:hAnsi="Times New Roman"/>
          <w:sz w:val="24"/>
        </w:rPr>
        <w:footnoteReference w:id="468"/>
      </w:r>
      <w:r w:rsidRPr="003C0842">
        <w:t>.</w:t>
      </w:r>
    </w:p>
    <w:p w:rsidR="00757DCD" w:rsidRPr="003C0842" w:rsidRDefault="00612B90" w:rsidP="00111348">
      <w:pPr>
        <w:spacing w:line="360" w:lineRule="auto"/>
        <w:ind w:firstLine="709"/>
      </w:pPr>
      <w:r w:rsidRPr="003C0842">
        <w:t xml:space="preserve">Wszystko co </w:t>
      </w:r>
      <w:r w:rsidR="00757DCD" w:rsidRPr="003C0842">
        <w:t xml:space="preserve">osłabiało i </w:t>
      </w:r>
      <w:r w:rsidRPr="003C0842">
        <w:t>dekomponowało nienawistny system wersalski</w:t>
      </w:r>
      <w:r w:rsidR="007374F9" w:rsidRPr="003C0842">
        <w:t>,</w:t>
      </w:r>
      <w:r w:rsidRPr="003C0842">
        <w:t xml:space="preserve"> znajdowało w Berlinie uznanie i wsparcie. Wymusza to przypomnienie roli 5-6-milionowej mniejszości niemieckiej, która na skutek wielu złożonych czynników stała się elementem destabilizacji – czy to wewnętrznej</w:t>
      </w:r>
      <w:r w:rsidR="007374F9" w:rsidRPr="003C0842">
        <w:t>,</w:t>
      </w:r>
      <w:r w:rsidRPr="003C0842">
        <w:t xml:space="preserve"> czy</w:t>
      </w:r>
      <w:r w:rsidR="007374F9" w:rsidRPr="003C0842">
        <w:t xml:space="preserve"> to</w:t>
      </w:r>
      <w:r w:rsidRPr="003C0842">
        <w:t xml:space="preserve"> międzynarodowej. Z punktu widzenia polityki niemieckiej nie było w niej miejsca na kompromis. Ten zaś musiał być jednym z fundamentów akcji Ligi </w:t>
      </w:r>
      <w:r w:rsidRPr="003C0842">
        <w:lastRenderedPageBreak/>
        <w:t xml:space="preserve">Narodów, skupiającej państwa i reprezentującej ich, a nie narodów interesy. Trudność polegała także na tym, że każdy kompromis w tak delikatnych kwestiach bywał negliżowany z nacjonalistycznych punktów widzenia. Z obu stron padały mocne słowa, adresowane do swoich i obcych, także pod adresem Ligi i jej przedstawicieli. </w:t>
      </w:r>
    </w:p>
    <w:p w:rsidR="00BD56B3" w:rsidRDefault="00612B90" w:rsidP="00111348">
      <w:pPr>
        <w:spacing w:line="360" w:lineRule="auto"/>
        <w:ind w:firstLine="709"/>
      </w:pPr>
      <w:r w:rsidRPr="003C0842">
        <w:t>Zaspokojenie oczekiwań nie było możliwe także dlatego, że były one podporządkowane polityce</w:t>
      </w:r>
      <w:r w:rsidR="007B3751" w:rsidRPr="003C0842">
        <w:t>, a więc koniunkturalne i raczej</w:t>
      </w:r>
      <w:r w:rsidRPr="003C0842">
        <w:t xml:space="preserve"> rosły. Podczas zjazdu Deutsche Volkspartei 14 listopada 1924 r. min. Stresemann odwoływał się do ochrony mniejszości niemieckich w krajach europejskich jako koronnego argumentu przemawiającego za konieczną obecnością Niemiec w LN</w:t>
      </w:r>
      <w:r w:rsidRPr="003C0842">
        <w:rPr>
          <w:rStyle w:val="Odwoanieprzypisudolnego"/>
          <w:rFonts w:ascii="Times New Roman" w:hAnsi="Times New Roman"/>
          <w:sz w:val="24"/>
        </w:rPr>
        <w:footnoteReference w:id="469"/>
      </w:r>
      <w:r w:rsidRPr="003C0842">
        <w:t xml:space="preserve">. W niej to bowiem koncentrowała się prawno-międzynarodowa ochrona mniejszości, do której – jak to już </w:t>
      </w:r>
      <w:r w:rsidR="007B3751" w:rsidRPr="003C0842">
        <w:t>powiedziano wyżej</w:t>
      </w:r>
      <w:r w:rsidRPr="003C0842">
        <w:t xml:space="preserve"> – właśnie Niemcy przywiązywali wagę najwyższą. To właśnie w Europie </w:t>
      </w:r>
      <w:r w:rsidR="007374F9" w:rsidRPr="003C0842">
        <w:t>Środkowej i W</w:t>
      </w:r>
      <w:r w:rsidRPr="003C0842">
        <w:t xml:space="preserve">schodniej ze szczególną siłą wystąpił konflikt między istniejącym obiektywnie niemieckim „parciem na wschód” </w:t>
      </w:r>
      <w:r w:rsidR="007B3751" w:rsidRPr="003C0842">
        <w:t>(</w:t>
      </w:r>
      <w:r w:rsidRPr="003C0842">
        <w:t>i wszystkimi tego historyczno-kulturowymi konsekwencjami</w:t>
      </w:r>
      <w:r w:rsidR="007B3751" w:rsidRPr="003C0842">
        <w:t>)</w:t>
      </w:r>
      <w:r w:rsidRPr="003C0842">
        <w:t xml:space="preserve">, a powstającymi na tym obszarze państwami. Pojawieniu się wydzielonego problemu niemczyzny bałtyckiej, zarówno na szczeblu państwowym, jak i społecznym, towarzyszyły kontrowersje, spory i konflikty między państwami tego regionu. Stawały się one nie tylko terenem rywalizacji mocarstw, ale także obiektem </w:t>
      </w:r>
      <w:r w:rsidR="007B3751" w:rsidRPr="003C0842">
        <w:t xml:space="preserve">wymuszonego </w:t>
      </w:r>
      <w:r w:rsidRPr="003C0842">
        <w:t>zainteresowania Ligi. Krytyka jej małej efektywności w zakresie likwidowania konfliktów była równie słuszna, co i nie</w:t>
      </w:r>
      <w:r w:rsidR="007B3751" w:rsidRPr="003C0842">
        <w:t>sprawiedliwa</w:t>
      </w:r>
      <w:r w:rsidRPr="003C0842">
        <w:t xml:space="preserve">. To na jej forum przeniesione zostały spory między państwami regionu, z których każde miało mocarstwowego protektora. Odwołanie się do przykładu Kłajpedy (Memel) czy sporu o ziemię wileńską pokazuje tradycyjnie dużą, </w:t>
      </w:r>
      <w:r w:rsidR="00030A24" w:rsidRPr="003C0842">
        <w:t>na ogół rosnącą</w:t>
      </w:r>
      <w:r w:rsidRPr="003C0842">
        <w:t xml:space="preserve"> aktywność Niemiec w tym regionie.</w:t>
      </w:r>
    </w:p>
    <w:p w:rsidR="00612B90" w:rsidRPr="003C0842" w:rsidRDefault="00612B90" w:rsidP="00111348">
      <w:pPr>
        <w:spacing w:line="360" w:lineRule="auto"/>
        <w:ind w:firstLine="709"/>
      </w:pPr>
      <w:r w:rsidRPr="003C0842">
        <w:t>W propagandzie międzynarodowej zadomowiło się przekonanie, że to Niemcy – w interesie cywilizacji – są, mogą być, powinni być skuteczną tamą dla możliwej (pewnej) ofensywy bolszewików na Zachód. Leżące na drodze tego marszu państwa nie są i nie będą zdolne do skutecznej obrony. Niemcy były pokazywane jako jej prawdziwe, efektywne, „przedmurze” chrześcijaństwa</w:t>
      </w:r>
      <w:r w:rsidR="007B3751" w:rsidRPr="003C0842">
        <w:t>,</w:t>
      </w:r>
      <w:r w:rsidRPr="003C0842">
        <w:t xml:space="preserve"> ukształtowane w głównej mierze przez „kulturtregerów”</w:t>
      </w:r>
      <w:r w:rsidRPr="003C0842">
        <w:rPr>
          <w:rStyle w:val="Odwoanieprzypisudolnego"/>
          <w:rFonts w:ascii="Times New Roman" w:hAnsi="Times New Roman"/>
          <w:sz w:val="24"/>
        </w:rPr>
        <w:footnoteReference w:id="470"/>
      </w:r>
      <w:r w:rsidRPr="003C0842">
        <w:t>.</w:t>
      </w:r>
    </w:p>
    <w:p w:rsidR="005F2C0A" w:rsidRPr="003C0842" w:rsidRDefault="00612B90" w:rsidP="00111348">
      <w:pPr>
        <w:spacing w:line="360" w:lineRule="auto"/>
        <w:ind w:firstLine="709"/>
      </w:pPr>
      <w:r w:rsidRPr="003C0842">
        <w:t xml:space="preserve">W kręgach kultury germańskiej nie przestano powtarzać, że ich dziejowe znaczenie w tym rejonie Europy, przyhamowane przez powojenne zmiany terytorialne i towarzyszący mu Ostflucht, będzie rosło. Oczekiwano zatem wzmożonego wsparcia za strony „macierzy” dla wszystkich elementów zaliczanych do forpoczty wpływów germańskich na Wschodzie. </w:t>
      </w:r>
      <w:r w:rsidRPr="003C0842">
        <w:lastRenderedPageBreak/>
        <w:t xml:space="preserve">Wsparciu narodowemu, moralnemu, w tym religijnemu, towarzyszyła opieka materialna zdominowana tezą o konieczności utrzymania stanu posiadania. </w:t>
      </w:r>
    </w:p>
    <w:p w:rsidR="00612B90" w:rsidRPr="003C0842" w:rsidRDefault="00612B90" w:rsidP="00111348">
      <w:pPr>
        <w:spacing w:line="360" w:lineRule="auto"/>
        <w:ind w:firstLine="709"/>
      </w:pPr>
      <w:r w:rsidRPr="003C0842">
        <w:t>Wieloletnie próby poznania i zrozumienia problemu mniejszościowego u</w:t>
      </w:r>
      <w:r w:rsidR="007B3751" w:rsidRPr="003C0842">
        <w:t>zasadnia stwierdzenie</w:t>
      </w:r>
      <w:r w:rsidRPr="003C0842">
        <w:t xml:space="preserve">, że interes mniejszości </w:t>
      </w:r>
      <w:r w:rsidR="005F2C0A" w:rsidRPr="003C0842">
        <w:t>miał charakter wtórny</w:t>
      </w:r>
      <w:r w:rsidR="000F486B">
        <w:t xml:space="preserve"> </w:t>
      </w:r>
      <w:r w:rsidR="005F2C0A" w:rsidRPr="003C0842">
        <w:t>w tym sensie, że</w:t>
      </w:r>
      <w:r w:rsidRPr="003C0842">
        <w:t xml:space="preserve"> pomoc materialna czy wsparcie moralne wynikały z kalkulacji polityków „macierzy”. </w:t>
      </w:r>
      <w:r w:rsidR="005F2C0A" w:rsidRPr="003C0842">
        <w:t>Każda próba</w:t>
      </w:r>
      <w:r w:rsidRPr="003C0842">
        <w:t xml:space="preserve"> włączenia mniejszości do polityki rewizjonistycznej względem traktatów kończących wojnę, powodował</w:t>
      </w:r>
      <w:r w:rsidR="005F2C0A" w:rsidRPr="003C0842">
        <w:t>a</w:t>
      </w:r>
      <w:r w:rsidRPr="003C0842">
        <w:t xml:space="preserve"> skutki sprzeczne z samą ideą ochrony. </w:t>
      </w:r>
      <w:r w:rsidR="005F2C0A" w:rsidRPr="003C0842">
        <w:t xml:space="preserve">Efekty </w:t>
      </w:r>
      <w:r w:rsidRPr="003C0842">
        <w:t xml:space="preserve">takiej polityki i praktyki </w:t>
      </w:r>
      <w:r w:rsidR="005F2C0A" w:rsidRPr="003C0842">
        <w:t>były dla samej mniejszości wątpliwe, a często wręcz negatywne</w:t>
      </w:r>
      <w:r w:rsidR="007B3751" w:rsidRPr="003C0842">
        <w:t>, a nawet tragiczne</w:t>
      </w:r>
      <w:r w:rsidR="005F2C0A" w:rsidRPr="003C0842">
        <w:t>. Różne</w:t>
      </w:r>
      <w:r w:rsidR="00EC79F0" w:rsidRPr="003C0842">
        <w:t xml:space="preserve"> świadomie stawiane</w:t>
      </w:r>
      <w:r w:rsidR="000F486B">
        <w:t xml:space="preserve"> </w:t>
      </w:r>
      <w:r w:rsidR="00EC79F0" w:rsidRPr="003C0842">
        <w:t>„</w:t>
      </w:r>
      <w:r w:rsidRPr="003C0842">
        <w:t>mury</w:t>
      </w:r>
      <w:r w:rsidR="00EC79F0" w:rsidRPr="003C0842">
        <w:t>”</w:t>
      </w:r>
      <w:r w:rsidR="007B3751" w:rsidRPr="003C0842">
        <w:t>, które miały</w:t>
      </w:r>
      <w:r w:rsidR="000F486B">
        <w:t xml:space="preserve"> </w:t>
      </w:r>
      <w:r w:rsidR="007B3751" w:rsidRPr="003C0842">
        <w:t>separować</w:t>
      </w:r>
      <w:r w:rsidRPr="003C0842">
        <w:t xml:space="preserve"> większość od mniejszości</w:t>
      </w:r>
      <w:r w:rsidR="007B3751" w:rsidRPr="003C0842">
        <w:t xml:space="preserve">, w rzeczywistości </w:t>
      </w:r>
      <w:r w:rsidRPr="003C0842">
        <w:t xml:space="preserve">nie </w:t>
      </w:r>
      <w:r w:rsidR="00EC79F0" w:rsidRPr="003C0842">
        <w:t xml:space="preserve">pomniejszały napięcia ani nie </w:t>
      </w:r>
      <w:r w:rsidRPr="003C0842">
        <w:t>wpływał</w:t>
      </w:r>
      <w:r w:rsidR="00EC79F0" w:rsidRPr="003C0842">
        <w:t>y</w:t>
      </w:r>
      <w:r w:rsidRPr="003C0842">
        <w:t xml:space="preserve"> pozytywnie na </w:t>
      </w:r>
      <w:r w:rsidR="00EC79F0" w:rsidRPr="003C0842">
        <w:t xml:space="preserve">rozwój </w:t>
      </w:r>
      <w:r w:rsidRPr="003C0842">
        <w:t>sytuacj</w:t>
      </w:r>
      <w:r w:rsidR="00EC79F0" w:rsidRPr="003C0842">
        <w:t>i. Działania te n</w:t>
      </w:r>
      <w:r w:rsidRPr="003C0842">
        <w:t>ie uwzględniał</w:t>
      </w:r>
      <w:r w:rsidR="00EC79F0" w:rsidRPr="003C0842">
        <w:t xml:space="preserve">y, z reguły ignorowały </w:t>
      </w:r>
      <w:r w:rsidRPr="003C0842">
        <w:t>ogromn</w:t>
      </w:r>
      <w:r w:rsidR="00EC79F0" w:rsidRPr="003C0842">
        <w:t>e zwykle</w:t>
      </w:r>
      <w:r w:rsidRPr="003C0842">
        <w:t xml:space="preserve"> komplikacj</w:t>
      </w:r>
      <w:r w:rsidR="00EC79F0" w:rsidRPr="003C0842">
        <w:t>e</w:t>
      </w:r>
      <w:r w:rsidRPr="003C0842">
        <w:t xml:space="preserve"> narodowościow</w:t>
      </w:r>
      <w:r w:rsidR="00EC79F0" w:rsidRPr="003C0842">
        <w:t>e</w:t>
      </w:r>
      <w:r w:rsidRPr="003C0842">
        <w:t xml:space="preserve"> nieraz w obrębie rodziny, zwłaszcza mieszanej, o różnych obyczajach, tradycji</w:t>
      </w:r>
      <w:r w:rsidRPr="003C0842">
        <w:rPr>
          <w:rStyle w:val="Odwoanieprzypisudolnego"/>
          <w:rFonts w:ascii="Times New Roman" w:hAnsi="Times New Roman"/>
          <w:sz w:val="24"/>
        </w:rPr>
        <w:footnoteReference w:id="471"/>
      </w:r>
      <w:r w:rsidRPr="003C0842">
        <w:t>.</w:t>
      </w:r>
    </w:p>
    <w:p w:rsidR="00BD56B3" w:rsidRDefault="00612B90" w:rsidP="00111348">
      <w:pPr>
        <w:spacing w:line="360" w:lineRule="auto"/>
        <w:ind w:firstLine="709"/>
      </w:pPr>
      <w:r w:rsidRPr="003C0842">
        <w:t>Jednym z najważniejszych problemów polityki wschodniej było kwestionowanie granicy niemiecko-polskiej. Skoro zasadnicza część utraconych ziem znalazła się w granicach odrodzonej Polski</w:t>
      </w:r>
      <w:r w:rsidR="007374F9" w:rsidRPr="003C0842">
        <w:t>,</w:t>
      </w:r>
      <w:r w:rsidRPr="003C0842">
        <w:t xml:space="preserve"> to i wrogość wobec niej była proporcjonalnie duża. Przekonanie o rychłych zmianach wyrażało się popularnością określenia Polski jako „państwa sezonowego”, mającego „płonące granice”. Wielki strach, że ogień może </w:t>
      </w:r>
      <w:r w:rsidR="005F2C0A" w:rsidRPr="003C0842">
        <w:t>się rozprzestrzenić, może nawet aż nad</w:t>
      </w:r>
      <w:r w:rsidRPr="003C0842">
        <w:t xml:space="preserve"> Ren</w:t>
      </w:r>
      <w:r w:rsidR="005F2C0A" w:rsidRPr="003C0842">
        <w:t>,</w:t>
      </w:r>
      <w:r w:rsidRPr="003C0842">
        <w:t xml:space="preserve"> nakazywał francuskiemu sojusznikowi poszukiwać sposobów umniejszania ryzyka i odsuwania go na bezpieczną odległość. Towarzyszyła temu plątanina pomysłów mających </w:t>
      </w:r>
      <w:r w:rsidR="007374F9" w:rsidRPr="003C0842">
        <w:t>przede wszystkim</w:t>
      </w:r>
      <w:r w:rsidRPr="003C0842">
        <w:t xml:space="preserve"> uspokoić</w:t>
      </w:r>
      <w:r w:rsidR="005F2C0A" w:rsidRPr="003C0842">
        <w:t>, także</w:t>
      </w:r>
      <w:r w:rsidRPr="003C0842">
        <w:t xml:space="preserve"> zaspokoić pretensje niemieckie. Koncentrowały się one na Wolnym Mieście Gdańsku i z nim łączonym „korytarzem” oraz niesprawiedliwie wytyczonej granicy po zwycięskim dla Niemiec plebiscycie na Górnym Śląsku.</w:t>
      </w:r>
    </w:p>
    <w:p w:rsidR="00612B90" w:rsidRPr="003C0842" w:rsidRDefault="00612B90" w:rsidP="00111348">
      <w:pPr>
        <w:spacing w:line="360" w:lineRule="auto"/>
        <w:ind w:firstLine="709"/>
      </w:pPr>
      <w:r w:rsidRPr="003C0842">
        <w:t>Argumentów przemawiających za dezyderatami, oczekiwaniami, czy żądaniami pokrzywdzonych nie brakowało. Nie byli na nie odporni nawet niektórzy Polacy, jak Stanisław Stroński i jego pogrobowcy, którzy nie przestają rachować zysków</w:t>
      </w:r>
      <w:r w:rsidR="007374F9" w:rsidRPr="003C0842">
        <w:t>,</w:t>
      </w:r>
      <w:r w:rsidRPr="003C0842">
        <w:t xml:space="preserve"> jakie alians z Niemcami, nawet III Rzeszą mógł dać Polakom i Polsce. Cóż dopiero zżymać się na przedstawicieli innych państw i narodów, którzy zapatrzeni we własne bezpieczeństwo i integralność terytorialną dywagowali o pokoju m</w:t>
      </w:r>
      <w:r w:rsidR="00EC79F0" w:rsidRPr="003C0842">
        <w:t>ożliwym do osiągnięcia cudzym, a więc raczej</w:t>
      </w:r>
      <w:r w:rsidRPr="003C0842">
        <w:t xml:space="preserve"> niewielkim kosztem. Tak też czynili wszyscy wielcy i mali, chociaż bardzo leżała im na sercu ligowa idea współpracy, z bezpieczeństwem zbiorowym na czele. Francuzi, z głęboką wyrwą demograficzną sięgającą ery napoleońskiej, groźbę rewanżu niemieckiego traktowali jako realną. Niestrudzenie zachęcani byli przez rzeczników pokoju i pojednania do </w:t>
      </w:r>
      <w:r w:rsidRPr="003C0842">
        <w:lastRenderedPageBreak/>
        <w:t>znalezienia jakiegoś modus vivendi ze swoim głównym, w zasadzie jedynym wrogiem na kontynencie. Wśród ofiar godnych tego miana mogła być tylko Polska.</w:t>
      </w:r>
    </w:p>
    <w:p w:rsidR="00612B90" w:rsidRPr="003C0842" w:rsidRDefault="00612B90" w:rsidP="00111348">
      <w:pPr>
        <w:spacing w:line="360" w:lineRule="auto"/>
        <w:ind w:firstLine="709"/>
      </w:pPr>
      <w:r w:rsidRPr="003C0842">
        <w:t xml:space="preserve">W ramach prowadzonych wiosną 1925 r. rozmów mających poprawić stosunki z Francją min. Stresemann przekonywał ambasadora de Margerie, że obrona pokoju w Europie wymaga „uporządkowania granic na Wschodzie. </w:t>
      </w:r>
      <w:r w:rsidR="007374F9" w:rsidRPr="003C0842">
        <w:t>[…]</w:t>
      </w:r>
      <w:r w:rsidRPr="003C0842">
        <w:t xml:space="preserve"> O wiele rozsądniej byłoby przecież porozmawiać o tym, czy nie mogą zostać naprawione błędy w wytyczaniu granic i czy Europa nie może przybliżyć się do pokojowego rozwoju”</w:t>
      </w:r>
      <w:r w:rsidRPr="003C0842">
        <w:rPr>
          <w:rStyle w:val="Odwoanieprzypisudolnego"/>
          <w:rFonts w:ascii="Times New Roman" w:hAnsi="Times New Roman"/>
          <w:sz w:val="24"/>
        </w:rPr>
        <w:footnoteReference w:id="472"/>
      </w:r>
      <w:r w:rsidRPr="003C0842">
        <w:t xml:space="preserve">. W sukurs podobnym wypowiedziom szły negocjacje lokarneńskie – może </w:t>
      </w:r>
      <w:r w:rsidR="00EC79F0" w:rsidRPr="003C0842">
        <w:t>dla niektórych badaczy niejednoznaczne, nawet</w:t>
      </w:r>
      <w:r w:rsidRPr="003C0842">
        <w:t xml:space="preserve"> zawiłe, ale zarazem jednoznaczne w swej wymowie. Chociaż założona przez ekipę Stresemanna izolacja Polski nie w pełni się powiodła, to jednak rozgraniczenie granic europejskich na bardziej gwarantowane i raczej „niepewne” stało się faktem</w:t>
      </w:r>
      <w:r w:rsidRPr="003C0842">
        <w:rPr>
          <w:rStyle w:val="Odwoanieprzypisudolnego"/>
          <w:rFonts w:ascii="Times New Roman" w:hAnsi="Times New Roman"/>
          <w:sz w:val="24"/>
        </w:rPr>
        <w:footnoteReference w:id="473"/>
      </w:r>
      <w:r w:rsidRPr="003C0842">
        <w:t xml:space="preserve">. Polska bardziej niż wcześniej stała się obiektem międzynarodowej gry, którą ułatwiały poważne trudności gospodarcze i brak stabilności wewnętrznej. Rosły zatem szanse na pogłębienie „ducha </w:t>
      </w:r>
      <w:r w:rsidR="0003069E" w:rsidRPr="003C0842">
        <w:t>Lo</w:t>
      </w:r>
      <w:r w:rsidR="007F071B">
        <w:t>c</w:t>
      </w:r>
      <w:r w:rsidR="0003069E" w:rsidRPr="003C0842">
        <w:t>arno</w:t>
      </w:r>
      <w:r w:rsidRPr="003C0842">
        <w:t xml:space="preserve">”, chociażby poprzez połączenie ewentualnego wsparcia finansowego z zagadnieniami terytorialnymi. </w:t>
      </w:r>
      <w:r w:rsidR="00871B5B" w:rsidRPr="003C0842">
        <w:t>Wą</w:t>
      </w:r>
      <w:r w:rsidR="00B0751D" w:rsidRPr="003C0842">
        <w:t xml:space="preserve">tek ten </w:t>
      </w:r>
      <w:r w:rsidR="00871B5B" w:rsidRPr="003C0842">
        <w:t xml:space="preserve">był obecny </w:t>
      </w:r>
      <w:r w:rsidR="007374F9" w:rsidRPr="003C0842">
        <w:t xml:space="preserve">w </w:t>
      </w:r>
      <w:r w:rsidR="00871B5B" w:rsidRPr="003C0842">
        <w:t xml:space="preserve">rozmowach pracowników ambasady francuskiej w Berlinie. </w:t>
      </w:r>
      <w:r w:rsidRPr="003C0842">
        <w:t xml:space="preserve">Oswald Hesnard, znany już tłumacz biesiady w oberży Thoiry, rozmawiał w grudniu 1925 r. z szefem Reichsbanku, który pomoc finansową dla Francji skojarzył z potrzebą uprzedniego uregulowania sprawy korytarza i Górnego Śląska. Rozwiązanie tych problemów przez „zwrot” korytarza i Górnego Śląska miało ułatwić zadaniem Schachta poprawę stosunków z Francją. Sprawa korytarza nie wydawała się francuskiemu rozmówcy do obrony i nie podjął jej, ale </w:t>
      </w:r>
      <w:r w:rsidR="00871B5B" w:rsidRPr="003C0842">
        <w:t>dopytywał się</w:t>
      </w:r>
      <w:r w:rsidR="007374F9" w:rsidRPr="003C0842">
        <w:t>,</w:t>
      </w:r>
      <w:r w:rsidR="00871B5B" w:rsidRPr="003C0842">
        <w:t xml:space="preserve"> czy </w:t>
      </w:r>
      <w:r w:rsidRPr="003C0842">
        <w:t>„cały Górny Śląsk miałby być oddany, czy nie mogłyby pozostać przy Polsce pewne małe części? Schacht na to odpowiedział, że o tym można by jeszcze porozmawiać”</w:t>
      </w:r>
      <w:r w:rsidRPr="003C0842">
        <w:rPr>
          <w:rStyle w:val="Odwoanieprzypisudolnego"/>
          <w:rFonts w:ascii="Times New Roman" w:hAnsi="Times New Roman"/>
          <w:sz w:val="24"/>
        </w:rPr>
        <w:footnoteReference w:id="474"/>
      </w:r>
      <w:r w:rsidRPr="003C0842">
        <w:t>.</w:t>
      </w:r>
    </w:p>
    <w:p w:rsidR="00612B90" w:rsidRPr="003C0842" w:rsidRDefault="00612B90" w:rsidP="00111348">
      <w:pPr>
        <w:spacing w:line="360" w:lineRule="auto"/>
        <w:ind w:firstLine="709"/>
      </w:pPr>
      <w:r w:rsidRPr="003C0842">
        <w:t>O rozlewającej s</w:t>
      </w:r>
      <w:r w:rsidR="00871B5B" w:rsidRPr="003C0842">
        <w:t>ię</w:t>
      </w:r>
      <w:r w:rsidRPr="003C0842">
        <w:t xml:space="preserve"> atmosferze rewizjonistycznej zaświadcza popularność ruchu paneuropejskiego związanego wówczas głównie z hr</w:t>
      </w:r>
      <w:r w:rsidR="00871B5B" w:rsidRPr="003C0842">
        <w:t>.</w:t>
      </w:r>
      <w:r w:rsidRPr="003C0842">
        <w:t xml:space="preserve"> Coudenhove-Kolergim. Idea utworzenia wspólnoty europejskiej pozwalającej uniknąć konfliktów między państwami i narodami oraz przeciwstawienia się dominacji amerykańskiej i azjatyckiej, narodziła się w kręgu wiedeńskiej loży „Humanitas” w 1922 r. </w:t>
      </w:r>
      <w:r w:rsidR="00FB17FE" w:rsidRPr="003C0842">
        <w:t>Coudenhove-</w:t>
      </w:r>
      <w:r w:rsidR="00871B5B" w:rsidRPr="003C0842">
        <w:t>Kalergi, b</w:t>
      </w:r>
      <w:r w:rsidRPr="003C0842">
        <w:t>iorąc za podstawę ramy organizacyjne i doświadczenia Stanów Zjednoczonych i Szwajcarii</w:t>
      </w:r>
      <w:r w:rsidR="00871B5B" w:rsidRPr="003C0842">
        <w:t>,</w:t>
      </w:r>
      <w:r w:rsidRPr="003C0842">
        <w:t xml:space="preserve"> chciał stworzyć </w:t>
      </w:r>
      <w:r w:rsidRPr="003C0842">
        <w:lastRenderedPageBreak/>
        <w:t xml:space="preserve">związek państw opartych na liberalizmie i unii celnej, z „superrządem” i wspólną siłą zbrojną. Uspokojenia sytuacji oczekiwał także poprzez konieczne zmiany terytorialne obejmujące m.in. stosunki polsko-litewskie (odnowienie unii realnej), zwrot Wilna, dostęp Polski do morza w Kłajpedzie oraz Gdańsku, gdzie Niemcy utworzą wolny port dla Polski, która stanie się częścią czwórprzymierza francusko-niemiecko-czechosłowackiego. Sojusz ów (po wyeliminowaniu z Paneuropy Wielkiej Brytanii i Rosji) miał być podstawą nowej konstelacji „starego” kontynentu. Celem tej koncepcji było wyciągnięcie wniosków z losów Chin czy Turcji i przeciwdziałanie </w:t>
      </w:r>
      <w:r w:rsidR="00871B5B" w:rsidRPr="003C0842">
        <w:t>„</w:t>
      </w:r>
      <w:r w:rsidRPr="003C0842">
        <w:t>Europie jutra</w:t>
      </w:r>
      <w:r w:rsidR="00871B5B" w:rsidRPr="003C0842">
        <w:t xml:space="preserve">” </w:t>
      </w:r>
      <w:r w:rsidR="00164234" w:rsidRPr="003C0842">
        <w:t>–</w:t>
      </w:r>
      <w:r w:rsidRPr="003C0842">
        <w:t xml:space="preserve"> podzielonej na sfery wpływów</w:t>
      </w:r>
      <w:r w:rsidR="00871B5B" w:rsidRPr="003C0842">
        <w:t>:</w:t>
      </w:r>
      <w:r w:rsidRPr="003C0842">
        <w:t xml:space="preserve"> brytyjskich, rosyjskich i amerykańskich. Warunkiem osiągnięcia tego celu miało być odstąpienie od myślenia o Europie w kategoriach politycznych i powrót do geografii</w:t>
      </w:r>
      <w:r w:rsidRPr="003C0842">
        <w:rPr>
          <w:rStyle w:val="Odwoanieprzypisudolnego"/>
          <w:rFonts w:ascii="Times New Roman" w:hAnsi="Times New Roman"/>
          <w:sz w:val="24"/>
        </w:rPr>
        <w:footnoteReference w:id="475"/>
      </w:r>
      <w:r w:rsidRPr="003C0842">
        <w:t>.</w:t>
      </w:r>
    </w:p>
    <w:p w:rsidR="00BD56B3" w:rsidRDefault="00612B90" w:rsidP="00111348">
      <w:pPr>
        <w:spacing w:line="360" w:lineRule="auto"/>
        <w:ind w:firstLine="709"/>
      </w:pPr>
      <w:r w:rsidRPr="003C0842">
        <w:t xml:space="preserve">Rozważania na temat </w:t>
      </w:r>
      <w:r w:rsidR="00FB17FE" w:rsidRPr="003C0842">
        <w:t>P</w:t>
      </w:r>
      <w:r w:rsidRPr="003C0842">
        <w:t>aneuropy toczyły się w atmosferze sporów dotyczących elit politycznych poszczególnych państw, wśród których nie brakowało osób związanych – jawnie lub skrycie, z masonerią. Temperaturę podgrzewały głosy towarzyszące Lidze Narodów od samych narodzin, że jest ona głównie produktem kompromisu różnych lóż. Projekt paneuropejski godził w Ligę o tyle wyraźniej, że w istocie był on planem zmian, rewizją istniejącego porządku, także w sensie terytorialnym. Obawy budziła perspektywa hegemonii niemieckiej, wobec wykluczenia przez pomysłodawcę Wielkiej Brytanii i Rosji oraz wstrzemięźliwej postawy Francji i krytycznej Włoch, gdzie zwycięski faszyzm postawił całe wolnomularstwo na cenzurowanym</w:t>
      </w:r>
      <w:r w:rsidRPr="003C0842">
        <w:rPr>
          <w:rStyle w:val="Odwoanieprzypisudolnego"/>
          <w:rFonts w:ascii="Times New Roman" w:hAnsi="Times New Roman"/>
          <w:sz w:val="24"/>
        </w:rPr>
        <w:footnoteReference w:id="476"/>
      </w:r>
      <w:r w:rsidRPr="003C0842">
        <w:t>. Obawy te rosły w miarę rozpowszechniania poglądu, że jednym ze sposobów uchronienia Europy przed wojną i upadkiem jest dokonanie przesunięć terytorialnych na wschodzie kontynentu z udziałem skonfliktowanych państw, wśród których najczęściej wymieniano Litwę, Polskę, a zwłaszcza Niemcy. Kalergi przestrzegał przed pasywnością wobec Niemców, którzy stali się zarzewiem buntu prowadzącego do ruiny, rewolucji, wojny.</w:t>
      </w:r>
    </w:p>
    <w:p w:rsidR="00785AD1" w:rsidRPr="003C0842" w:rsidRDefault="00612B90" w:rsidP="00111348">
      <w:pPr>
        <w:spacing w:line="360" w:lineRule="auto"/>
        <w:ind w:firstLine="709"/>
      </w:pPr>
      <w:r w:rsidRPr="003C0842">
        <w:t xml:space="preserve">Wśród niemieckich liderów </w:t>
      </w:r>
      <w:r w:rsidR="00FB17FE" w:rsidRPr="003C0842">
        <w:t>P</w:t>
      </w:r>
      <w:r w:rsidRPr="003C0842">
        <w:t xml:space="preserve">aneuropy, do których zaliczał się przewodniczący Reichstagu Paul Löbe, funkcjonowały też nadzieje na wykorzystanie rozwijającego się ruchu dla przeprowadzenia oczekiwanych zmian w symbiozie, obok lub zamiast LN. Asekuracją przed taką, niekorzystną dla Ligi alternatywą miało być zaangażowanie się w ruchu paneuropejskim czynnych na forum genewskim polityków, jak </w:t>
      </w:r>
      <w:r w:rsidR="00C16BE1" w:rsidRPr="003C0842">
        <w:t xml:space="preserve">np. </w:t>
      </w:r>
      <w:r w:rsidR="00785AD1" w:rsidRPr="003C0842">
        <w:t xml:space="preserve">Edward </w:t>
      </w:r>
      <w:r w:rsidRPr="003C0842">
        <w:t xml:space="preserve">Benesz. Uspokajającą wymowę miała też jego obecność jako wiceprzewodniczącego I Kongresu </w:t>
      </w:r>
      <w:r w:rsidRPr="003C0842">
        <w:lastRenderedPageBreak/>
        <w:t>Związku Paneuropejskiego, który obradował w dniach 3</w:t>
      </w:r>
      <w:r w:rsidR="00FB17FE" w:rsidRPr="003C0842">
        <w:t>-</w:t>
      </w:r>
      <w:r w:rsidRPr="003C0842">
        <w:t>6 października 1926 r. w Wiedniu. Było to duże wydarzenie</w:t>
      </w:r>
      <w:r w:rsidR="00FB17FE" w:rsidRPr="003C0842">
        <w:t>,</w:t>
      </w:r>
      <w:r w:rsidRPr="003C0842">
        <w:t xml:space="preserve"> skoro w obradach uczestniczyło około 2 tys. osób pochodzących z 24 państw. </w:t>
      </w:r>
    </w:p>
    <w:p w:rsidR="00612B90" w:rsidRPr="003C0842" w:rsidRDefault="00612B90" w:rsidP="00111348">
      <w:pPr>
        <w:spacing w:line="360" w:lineRule="auto"/>
        <w:ind w:firstLine="709"/>
      </w:pPr>
      <w:r w:rsidRPr="003C0842">
        <w:t>Mimo zaangażowania gospodarzy, w tym kanclerza Ignaza Seipla, każda próba skonkretyzowania idei paneuropejskiej prowadziła do sporów o zasadniczym znaczeniu. Ujawnione w trakcie obrad oraz bezpośrednio po nich „ciążenie” w kierunku pozyskania sympatii Niemiec, spełniających w ruchu paneuropejskim Kalergiego kluczową rolę, wyzwalało ostre reakcje potencjalnych ofiar.</w:t>
      </w:r>
    </w:p>
    <w:p w:rsidR="00612B90" w:rsidRPr="003C0842" w:rsidRDefault="00612B90" w:rsidP="00900BE3">
      <w:pPr>
        <w:spacing w:line="360" w:lineRule="auto"/>
        <w:ind w:firstLine="709"/>
      </w:pPr>
      <w:r w:rsidRPr="003C0842">
        <w:t xml:space="preserve">W imieniu polskich </w:t>
      </w:r>
      <w:r w:rsidR="00FB17FE" w:rsidRPr="003C0842">
        <w:t>P</w:t>
      </w:r>
      <w:r w:rsidRPr="003C0842">
        <w:t>aneuropejczyków wypowiedział się przewodniczący dopiero co z</w:t>
      </w:r>
      <w:r w:rsidR="00785AD1" w:rsidRPr="003C0842">
        <w:t>a</w:t>
      </w:r>
      <w:r w:rsidRPr="003C0842">
        <w:t xml:space="preserve">wiązanej sekcji polskiej Andrzej Lednicki w liście otwartym do przewodniczącego ruchu, wydrukowanym również w prasie polskiej. Kładł on nacisk na ideę samostanowienia narodów. </w:t>
      </w:r>
      <w:r w:rsidR="00900BE3" w:rsidRPr="001E5F63">
        <w:t>„</w:t>
      </w:r>
      <w:r w:rsidRPr="001E5F63">
        <w:t>Jeśli teraz polska myśl państwowa – pisał Lednicki – formułuje swoje stanowisko na temat znaczenia ujścia Wisły jako warunku egzystencji i rozwoju Polski, to dzieje się to w pełnej zgodności z tym ideałem wolności i z uwzględnieniem prawa Polaków do pracy nad odbudową wolnego kraju. Naród polski w obronie tych fundamentalnych wartości nie będzie szczędził żadnych ofiar, także ofiary krwi</w:t>
      </w:r>
      <w:r w:rsidR="00900BE3" w:rsidRPr="001E5F63">
        <w:t>”</w:t>
      </w:r>
      <w:r w:rsidRPr="001E5F63">
        <w:rPr>
          <w:rStyle w:val="Odwoanieprzypisudolnego"/>
          <w:rFonts w:ascii="Times New Roman" w:hAnsi="Times New Roman"/>
          <w:sz w:val="24"/>
        </w:rPr>
        <w:footnoteReference w:id="477"/>
      </w:r>
      <w:r w:rsidR="00FB17FE" w:rsidRPr="001E5F63">
        <w:t>.</w:t>
      </w:r>
      <w:r w:rsidRPr="001E5F63">
        <w:t>Wątpliwości</w:t>
      </w:r>
      <w:r w:rsidRPr="003C0842">
        <w:t xml:space="preserve"> formułowane w podobnym tonie oraz nasilające się kontrakcje ze strony przeciwników Związku Paneuropejskiego, czy to z kręgów anglosaskich – przeciwnych tworzeniu „drugie</w:t>
      </w:r>
      <w:r w:rsidR="00FB17FE" w:rsidRPr="003C0842">
        <w:t>go”, bądź „powszechnego” Locarno</w:t>
      </w:r>
      <w:r w:rsidRPr="003C0842">
        <w:t>, czy to środowisk filogenewskich, spowodowały, że kongres wiedeński okazał się najważniejszym i największym w dziejach tego ruchu</w:t>
      </w:r>
      <w:r w:rsidRPr="003C0842">
        <w:rPr>
          <w:rStyle w:val="Odwoanieprzypisudolnego"/>
          <w:rFonts w:ascii="Times New Roman" w:hAnsi="Times New Roman"/>
          <w:sz w:val="24"/>
        </w:rPr>
        <w:footnoteReference w:id="478"/>
      </w:r>
      <w:r w:rsidRPr="003C0842">
        <w:t>.</w:t>
      </w:r>
    </w:p>
    <w:p w:rsidR="00612B90" w:rsidRPr="003C0842" w:rsidRDefault="00612B90" w:rsidP="00411DFE">
      <w:pPr>
        <w:spacing w:line="360" w:lineRule="auto"/>
        <w:ind w:firstLine="709"/>
      </w:pPr>
      <w:r w:rsidRPr="003C0842">
        <w:t>Zabiegi jego zwolenników skupionych wokół programu hr</w:t>
      </w:r>
      <w:r w:rsidR="00FB17FE" w:rsidRPr="003C0842">
        <w:t>.Coudenhove-</w:t>
      </w:r>
      <w:r w:rsidRPr="003C0842">
        <w:t xml:space="preserve">Kalergiego zderzyły się też z rywalizacją francusko-niemiecką. Ujawniła się </w:t>
      </w:r>
      <w:r w:rsidR="00411DFE" w:rsidRPr="003C0842">
        <w:t xml:space="preserve">ona </w:t>
      </w:r>
      <w:r w:rsidRPr="003C0842">
        <w:t>wyraźniej po tym jak Rada Naczelna Unii podczas spotkania 2 maja 1927 r. w Paryżu uznała</w:t>
      </w:r>
      <w:r w:rsidR="00411DFE" w:rsidRPr="003C0842">
        <w:t xml:space="preserve"> min.Brianda </w:t>
      </w:r>
      <w:r w:rsidR="00FB17FE" w:rsidRPr="003C0842">
        <w:t xml:space="preserve">za </w:t>
      </w:r>
      <w:r w:rsidRPr="003C0842">
        <w:t>honorow</w:t>
      </w:r>
      <w:r w:rsidR="00FB17FE" w:rsidRPr="003C0842">
        <w:t>ego</w:t>
      </w:r>
      <w:r w:rsidRPr="003C0842">
        <w:t xml:space="preserve"> przewodnicząc</w:t>
      </w:r>
      <w:r w:rsidR="00FB17FE" w:rsidRPr="003C0842">
        <w:t>ego</w:t>
      </w:r>
      <w:r w:rsidRPr="003C0842">
        <w:t xml:space="preserve"> ruchu. </w:t>
      </w:r>
      <w:r w:rsidR="00411DFE" w:rsidRPr="003C0842">
        <w:t>Chociaż był to w istotnej części pokłon wobec francuskiej myśli pacyfistycznej łączonej chętnie z Viktorem Hugo</w:t>
      </w:r>
      <w:r w:rsidR="00411DFE" w:rsidRPr="003C0842">
        <w:rPr>
          <w:rStyle w:val="Odwoanieprzypisudolnego"/>
          <w:rFonts w:ascii="Times New Roman" w:hAnsi="Times New Roman"/>
          <w:sz w:val="24"/>
        </w:rPr>
        <w:footnoteReference w:id="479"/>
      </w:r>
      <w:r w:rsidR="00411DFE" w:rsidRPr="003C0842">
        <w:t>, to jednak d</w:t>
      </w:r>
      <w:r w:rsidRPr="003C0842">
        <w:t>ecyzja ta przesądzała w sensie negatywnym i tak wstrzemięźliwe zaangażowanie się polityków niemieckich</w:t>
      </w:r>
      <w:r w:rsidR="00411DFE" w:rsidRPr="003C0842">
        <w:t>. P</w:t>
      </w:r>
      <w:r w:rsidRPr="003C0842">
        <w:t>onawian</w:t>
      </w:r>
      <w:r w:rsidR="00411DFE" w:rsidRPr="003C0842">
        <w:t>e</w:t>
      </w:r>
      <w:r w:rsidRPr="003C0842">
        <w:t xml:space="preserve"> zabieg</w:t>
      </w:r>
      <w:r w:rsidR="00411DFE" w:rsidRPr="003C0842">
        <w:t>i</w:t>
      </w:r>
      <w:r w:rsidRPr="003C0842">
        <w:t xml:space="preserve"> Kalergiego wobec kanclerza Marxa i min. Stresemanna</w:t>
      </w:r>
      <w:r w:rsidR="00411DFE" w:rsidRPr="003C0842">
        <w:t xml:space="preserve"> nie dały efektów, chociaż</w:t>
      </w:r>
      <w:r w:rsidR="000F486B">
        <w:t xml:space="preserve"> </w:t>
      </w:r>
      <w:r w:rsidR="00411DFE" w:rsidRPr="003C0842">
        <w:t>d</w:t>
      </w:r>
      <w:r w:rsidRPr="003C0842">
        <w:t>ostrzegali oni przydatność ruchu paneuropejskiego jako popularyzatora zmian terytorialnych koniecznych d</w:t>
      </w:r>
      <w:r w:rsidR="00FB17FE" w:rsidRPr="003C0842">
        <w:t>o</w:t>
      </w:r>
      <w:r w:rsidRPr="003C0842">
        <w:t xml:space="preserve"> uspokojenia</w:t>
      </w:r>
      <w:r w:rsidR="00411DFE" w:rsidRPr="003C0842">
        <w:t xml:space="preserve"> i rozwoju</w:t>
      </w:r>
      <w:r w:rsidRPr="003C0842">
        <w:t xml:space="preserve"> Europy. W tym </w:t>
      </w:r>
      <w:r w:rsidRPr="003C0842">
        <w:lastRenderedPageBreak/>
        <w:t>sensie projekty okalające Unię Paneuropejską korespondowały z trwającą już kilka lat, a nasiloną w latach 1925</w:t>
      </w:r>
      <w:r w:rsidR="005A5F3B">
        <w:t>-</w:t>
      </w:r>
      <w:r w:rsidRPr="003C0842">
        <w:t xml:space="preserve">1926 dyskusją o korzyściach i stratach wynikających z udziału Niemiec w pracach Ligi. </w:t>
      </w:r>
    </w:p>
    <w:p w:rsidR="00612B90" w:rsidRPr="003C0842" w:rsidRDefault="00612B90" w:rsidP="00111348">
      <w:pPr>
        <w:spacing w:line="360" w:lineRule="auto"/>
        <w:ind w:firstLine="709"/>
      </w:pPr>
      <w:r w:rsidRPr="003C0842">
        <w:t>Na temat krzyżowania i splątania interesów w skali powszechnej pisano wyżej. Trzeba jednak zwrócić uwagę na wątek szczególny, podnoszony przez Niemców w rozmowach o charakterze dyplomatycznym, a więc na „wyższych szczeblach” – w stolicach państw ościennych i Ge</w:t>
      </w:r>
      <w:r w:rsidR="00785AD1" w:rsidRPr="003C0842">
        <w:t xml:space="preserve">newie. Chodzi o traktowanie </w:t>
      </w:r>
      <w:r w:rsidRPr="003C0842">
        <w:t>wstąpienia do Ligi jako dramatycznie trudnej „ofiary” z powodu jej bardzo silnych związków z traktatem wersalskim. Nie skrywali zarazem, że „ofiara” ta jest swoistą inwestycją, której oprocentowaniem będzie dążenie do stopniowej, pokojowej rewizji istniejącego stanu rzeczy. Tak też widział to Bernhard von Bülow, kierownik referatu Völkerbund</w:t>
      </w:r>
      <w:r w:rsidR="00FB17FE" w:rsidRPr="003C0842">
        <w:t>u</w:t>
      </w:r>
      <w:r w:rsidRPr="003C0842">
        <w:t xml:space="preserve"> w AA, faktyczny koordynator propagandy antywersalskiej</w:t>
      </w:r>
      <w:r w:rsidRPr="003C0842">
        <w:rPr>
          <w:rStyle w:val="Odwoanieprzypisudolnego"/>
          <w:rFonts w:ascii="Times New Roman" w:hAnsi="Times New Roman"/>
          <w:sz w:val="24"/>
        </w:rPr>
        <w:footnoteReference w:id="480"/>
      </w:r>
      <w:r w:rsidRPr="003C0842">
        <w:t xml:space="preserve">. Towarzyszący mu sceptycyzm odnośnie </w:t>
      </w:r>
      <w:r w:rsidR="00FB17FE" w:rsidRPr="003C0842">
        <w:t xml:space="preserve">do </w:t>
      </w:r>
      <w:r w:rsidRPr="003C0842">
        <w:t>efektywnego wykorzystania LN d</w:t>
      </w:r>
      <w:r w:rsidR="00FB17FE" w:rsidRPr="003C0842">
        <w:t>o</w:t>
      </w:r>
      <w:r w:rsidRPr="003C0842">
        <w:t xml:space="preserve"> korekt terytorialnych był równoważony lub majoryzowany przez zwolenników poglądu, że żadne kalkulacje odnośnie pokojowych zmian nie wydawały się realne z pominięciem LN. Jej twórcy przewidzieli taką możliwość</w:t>
      </w:r>
      <w:r w:rsidR="00FB17FE" w:rsidRPr="003C0842">
        <w:t>,</w:t>
      </w:r>
      <w:r w:rsidRPr="003C0842">
        <w:t xml:space="preserve"> wprowadzając do Paktu art. 19,</w:t>
      </w:r>
      <w:r w:rsidR="00C16BE1" w:rsidRPr="003C0842">
        <w:t xml:space="preserve"> który okazał się</w:t>
      </w:r>
      <w:r w:rsidRPr="003C0842">
        <w:t xml:space="preserve"> najbardziej kontrowersyjn</w:t>
      </w:r>
      <w:r w:rsidR="00C16BE1" w:rsidRPr="003C0842">
        <w:t>ie</w:t>
      </w:r>
      <w:r w:rsidRPr="003C0842">
        <w:t xml:space="preserve"> i niechlujnie zredagowany. Mówił on, że „Zgromadzenie może od czasu do czasu wzywać członków Ligi, aby przystąpili do ponownego zbadania traktatów, które nie dają się już stosować oraz sytuacji międzynarodowej, której trwanie mogłoby zagrozić pokojowi świata”. Zapis ten odpowiadał na towarzyszące narodzinom Ligi wątpliwości płynące z kategorycznego charakteru art. 10 zobowiązującego członków Ligi do „szanowania i ochrony” całości terytorialnej i „obecnej niezależności politycznej wszystkich członków Ligi”. Uzgodniony tekst art. 19, będący w</w:t>
      </w:r>
      <w:r w:rsidR="00FB17FE" w:rsidRPr="003C0842">
        <w:t>edłu</w:t>
      </w:r>
      <w:r w:rsidRPr="003C0842">
        <w:t>g opinii Franka Waltersa „wykastrowaną” wersją propozycji Roberta Cecila, miał dawać szansę pokojowych zmian, takich które okażą się konieczne</w:t>
      </w:r>
      <w:r w:rsidRPr="003C0842">
        <w:rPr>
          <w:rStyle w:val="Odwoanieprzypisudolnego"/>
          <w:rFonts w:ascii="Times New Roman" w:hAnsi="Times New Roman"/>
          <w:sz w:val="24"/>
        </w:rPr>
        <w:footnoteReference w:id="481"/>
      </w:r>
      <w:r w:rsidRPr="003C0842">
        <w:t>.</w:t>
      </w:r>
    </w:p>
    <w:p w:rsidR="004B03FE" w:rsidRPr="003C0842" w:rsidRDefault="00612B90" w:rsidP="00111348">
      <w:pPr>
        <w:spacing w:line="360" w:lineRule="auto"/>
        <w:ind w:firstLine="709"/>
      </w:pPr>
      <w:r w:rsidRPr="003C0842">
        <w:t>Do treści art. 19 odwoływały się wyłącznie państwa niezadowolone z istniejącego stanu rzeczy, rachujące na zwrot, odzyskanie, ale też zdobycie nowych ziem, lepszego miejsca w międzynarodowej stratyfikacji. Znaczyło to, że międzynarodowy rozgłos towarzyszący art. 19 nie ograniczał się do Europy. Zresztą samo jego zaistnienie i to już w końcu 1920 r. złączyło się z Boliwią i Peru, które powołując się na art. 19</w:t>
      </w:r>
      <w:r w:rsidR="00FB17FE" w:rsidRPr="003C0842">
        <w:t>,</w:t>
      </w:r>
      <w:r w:rsidRPr="003C0842">
        <w:t xml:space="preserve"> wnosiły o rewizję porozumień z lat 1883 i 1904. Utworzona wówczas komisja prawników salwowała się opinią, że Zgromadzenie nie jest władne zmieniać traktatów, a jedynie radzić stronom rozważenie ich </w:t>
      </w:r>
      <w:r w:rsidRPr="003C0842">
        <w:lastRenderedPageBreak/>
        <w:t>zmiany</w:t>
      </w:r>
      <w:r w:rsidR="00FB17FE" w:rsidRPr="003C0842">
        <w:t>,</w:t>
      </w:r>
      <w:r w:rsidRPr="003C0842">
        <w:t xml:space="preserve"> jeśli stanowią one „zagrożenie pokoju światowego”</w:t>
      </w:r>
      <w:r w:rsidRPr="003C0842">
        <w:rPr>
          <w:rStyle w:val="Odwoanieprzypisudolnego"/>
          <w:rFonts w:ascii="Times New Roman" w:hAnsi="Times New Roman"/>
          <w:sz w:val="24"/>
        </w:rPr>
        <w:footnoteReference w:id="482"/>
      </w:r>
      <w:r w:rsidRPr="003C0842">
        <w:t>. Liga</w:t>
      </w:r>
      <w:r w:rsidR="00FB17FE" w:rsidRPr="003C0842">
        <w:t>,</w:t>
      </w:r>
      <w:r w:rsidRPr="003C0842">
        <w:t xml:space="preserve"> oddalając wniosek Boliwii mający na celu uwolnienie się od układu zawartego z Chile w 1904 r.</w:t>
      </w:r>
      <w:r w:rsidR="00FB17FE" w:rsidRPr="003C0842">
        <w:t>,</w:t>
      </w:r>
      <w:r w:rsidRPr="003C0842">
        <w:t xml:space="preserve"> ukierunkowała całą dyskusję nad wykorzystaniemart. 19 do rewizji traktatów pokojowych. Strony </w:t>
      </w:r>
      <w:r w:rsidR="00FB17FE" w:rsidRPr="003C0842">
        <w:t>(</w:t>
      </w:r>
      <w:r w:rsidRPr="003C0842">
        <w:t>lub strona</w:t>
      </w:r>
      <w:r w:rsidR="00FB17FE" w:rsidRPr="003C0842">
        <w:t>) wnoszące</w:t>
      </w:r>
      <w:r w:rsidRPr="003C0842">
        <w:t xml:space="preserve"> o wszczęci</w:t>
      </w:r>
      <w:r w:rsidR="00FB17FE" w:rsidRPr="003C0842">
        <w:t>e postępowania z art. 19 musiały</w:t>
      </w:r>
      <w:r w:rsidRPr="003C0842">
        <w:t xml:space="preserve"> dowieść, że dalsze funkcjonowanie określonej umowy międzynarodowej może „zagrozić pokojowi świata”</w:t>
      </w:r>
      <w:r w:rsidRPr="003C0842">
        <w:rPr>
          <w:rStyle w:val="Odwoanieprzypisudolnego"/>
          <w:rFonts w:ascii="Times New Roman" w:hAnsi="Times New Roman"/>
          <w:sz w:val="24"/>
        </w:rPr>
        <w:footnoteReference w:id="483"/>
      </w:r>
      <w:r w:rsidRPr="003C0842">
        <w:t>.</w:t>
      </w:r>
    </w:p>
    <w:p w:rsidR="00612B90" w:rsidRPr="003C0842" w:rsidRDefault="004B03FE" w:rsidP="00111348">
      <w:pPr>
        <w:spacing w:line="360" w:lineRule="auto"/>
        <w:ind w:firstLine="709"/>
      </w:pPr>
      <w:r w:rsidRPr="003C0842">
        <w:t>Stroniąc</w:t>
      </w:r>
      <w:r w:rsidR="00612B90" w:rsidRPr="003C0842">
        <w:t xml:space="preserve"> od wielowątkowych, utylitarnych interpretacji art. 19</w:t>
      </w:r>
      <w:r w:rsidR="00FB17FE" w:rsidRPr="003C0842">
        <w:t>,</w:t>
      </w:r>
      <w:r w:rsidR="00612B90" w:rsidRPr="003C0842">
        <w:t xml:space="preserve"> należy wskazać na jego polityczną i propagandową przydatność d</w:t>
      </w:r>
      <w:r w:rsidR="00FB17FE" w:rsidRPr="003C0842">
        <w:t>o</w:t>
      </w:r>
      <w:r w:rsidR="00612B90" w:rsidRPr="003C0842">
        <w:t xml:space="preserve"> podtrzymania atmosfery rewizjonistycznej. Chociaż w środowisku prawników prawa międzynarodowego, w tym także skupionych wokół AA oraz polityków działających w referacie Völkerbund</w:t>
      </w:r>
      <w:r w:rsidR="00FB17FE" w:rsidRPr="003C0842">
        <w:t>u</w:t>
      </w:r>
      <w:r w:rsidR="00612B90" w:rsidRPr="003C0842">
        <w:t xml:space="preserve"> panował sceptycyzm co do możliwości sięgnięcia po art. 19 dla rewizji granic, to jednak pewne nadzieje z nim związane były stale obecne. Dobitny był także min. Stresemann, który w marcu 1925 r. na konferencji prasowej </w:t>
      </w:r>
      <w:r w:rsidR="00FB17FE" w:rsidRPr="003C0842">
        <w:t xml:space="preserve">mówił </w:t>
      </w:r>
      <w:r w:rsidR="00612B90" w:rsidRPr="003C0842">
        <w:t>o możliwości zmiany granic na drodze pokojowej, właśnie z powołaniem się na art. 19. O zaistnieniu warunków do sięgnięcia po art. 19 mówił też w grudniu tegoż roku</w:t>
      </w:r>
      <w:r w:rsidR="00FB17FE" w:rsidRPr="003C0842">
        <w:t>,</w:t>
      </w:r>
      <w:r w:rsidR="00612B90" w:rsidRPr="003C0842">
        <w:t xml:space="preserve"> łącząc go z sytuacją grożącą pokojowi europejskiemu lub</w:t>
      </w:r>
      <w:r w:rsidR="00E746E3" w:rsidRPr="003C0842">
        <w:t xml:space="preserve"> koniecznością</w:t>
      </w:r>
      <w:r w:rsidR="00612B90" w:rsidRPr="003C0842">
        <w:t>„gospodarczej konsolidacji” kontynentu. Wskazując w obu tych wypowiedziach na „granice na wschodzie” jako przyczynę braku owej konsolidacji</w:t>
      </w:r>
      <w:r w:rsidR="00FB17FE" w:rsidRPr="003C0842">
        <w:t>,</w:t>
      </w:r>
      <w:r w:rsidR="00612B90" w:rsidRPr="003C0842">
        <w:t xml:space="preserve"> mówił o „możliwości realizacji swych żądań przez Niemcy, jeśli z jednej strony będą znajdowały się w przyjaznych stosunkach politycznych, a z drugiej strony we wspólnocie interesów gospodarczych z tymi mocarstwami światowymi, do których należy decyzja w tej sprawie”</w:t>
      </w:r>
      <w:r w:rsidR="00612B90" w:rsidRPr="003C0842">
        <w:rPr>
          <w:rStyle w:val="Odwoanieprzypisudolnego"/>
          <w:rFonts w:ascii="Times New Roman" w:hAnsi="Times New Roman"/>
          <w:sz w:val="24"/>
        </w:rPr>
        <w:footnoteReference w:id="484"/>
      </w:r>
      <w:r w:rsidR="00612B90" w:rsidRPr="003C0842">
        <w:t>.</w:t>
      </w:r>
    </w:p>
    <w:p w:rsidR="004B03FE" w:rsidRPr="003C0842" w:rsidRDefault="00612B90" w:rsidP="00111348">
      <w:pPr>
        <w:widowControl w:val="0"/>
        <w:autoSpaceDE w:val="0"/>
        <w:autoSpaceDN w:val="0"/>
        <w:adjustRightInd w:val="0"/>
        <w:spacing w:line="360" w:lineRule="auto"/>
        <w:ind w:firstLine="709"/>
      </w:pPr>
      <w:r w:rsidRPr="003C0842">
        <w:t xml:space="preserve">Istotą niemieckiego rewizjonizmu były ponawiane próby wykorzystania bezpośrednich kontaktów z mocarstwami, zdolnych według mniemania Berlina przeforsować pożądane zmiany także </w:t>
      </w:r>
      <w:r w:rsidR="00FB17FE" w:rsidRPr="003C0842">
        <w:t>z</w:t>
      </w:r>
      <w:r w:rsidRPr="003C0842">
        <w:t xml:space="preserve"> pomoc</w:t>
      </w:r>
      <w:r w:rsidR="00FB17FE" w:rsidRPr="003C0842">
        <w:t>ą</w:t>
      </w:r>
      <w:r w:rsidRPr="003C0842">
        <w:t xml:space="preserve"> instytucji genewskiej. W tej optyce, również historyk</w:t>
      </w:r>
      <w:r w:rsidR="004B03FE" w:rsidRPr="003C0842">
        <w:t xml:space="preserve"> –świadom</w:t>
      </w:r>
      <w:r w:rsidRPr="003C0842">
        <w:t xml:space="preserve"> zarzut</w:t>
      </w:r>
      <w:r w:rsidR="004B03FE" w:rsidRPr="003C0842">
        <w:t xml:space="preserve">ów o polonocentryzm </w:t>
      </w:r>
      <w:r w:rsidR="00164234" w:rsidRPr="003C0842">
        <w:t>–</w:t>
      </w:r>
      <w:r w:rsidRPr="003C0842">
        <w:t xml:space="preserve"> musi podkreślić pierwszoplanowe miejsce Polski w rewizjonistycznych planach niemieckich. Jak to już sygnalizowano wyżej, życzliwe dla oczekiwań niemieckich wątpliwości zwłaszcza w sprawie „korytarza” i Górnego Śląska były obecne wszędzie tam, gdzie brano pod uwagę, a i „liczono” na dobrą współpracę z Berlinem. Dotyczyło to też Francji, stosunkowo najbardziej rozumiejącej polską (ale i swoją) rację stanu, co nigdy nie oznaczało dystansowania się à priori od rozmów nad utrzymaniem pokoju, warunkami dobrej współpracy itd. Strony konfliktu licytowały i przerzucały się argumentami </w:t>
      </w:r>
      <w:r w:rsidRPr="003C0842">
        <w:lastRenderedPageBreak/>
        <w:t xml:space="preserve">nie znoszącymi sprzeciwu. Liga była w nich bardzo często obecna. </w:t>
      </w:r>
    </w:p>
    <w:p w:rsidR="00612B90" w:rsidRPr="003C0842" w:rsidRDefault="00612B90" w:rsidP="00111348">
      <w:pPr>
        <w:widowControl w:val="0"/>
        <w:autoSpaceDE w:val="0"/>
        <w:autoSpaceDN w:val="0"/>
        <w:adjustRightInd w:val="0"/>
        <w:spacing w:line="360" w:lineRule="auto"/>
        <w:ind w:firstLine="709"/>
      </w:pPr>
      <w:r w:rsidRPr="003C0842">
        <w:t xml:space="preserve">Henryk Korab-Kucharski opublikował w „Rzeczpospolitej” 21 marca 1925 r. wypowiedź „jednego z najważniejszych i najbardziej kompetentnych i wpływowych” urzędników francuskiego ministerstwa spraw zagranicznych, który dezawuował pogłoski na temat możliwości „pokojowego” zmieniania granic. </w:t>
      </w:r>
      <w:r w:rsidR="00900BE3" w:rsidRPr="001E5F63">
        <w:t>„</w:t>
      </w:r>
      <w:r w:rsidRPr="001E5F63">
        <w:t xml:space="preserve">Nie ma takiego terenu dyplomatycznego, takiego organizmu międzynarodowego, stałego lub nadzwyczajnego gdzie można skutecznie przeprowadzić najdrobniejszą choćby zmianę granic polskich </w:t>
      </w:r>
      <w:r w:rsidR="00FB17FE" w:rsidRPr="001E5F63">
        <w:t xml:space="preserve">[…] </w:t>
      </w:r>
      <w:r w:rsidRPr="001E5F63">
        <w:t>Wszelkie zatem terytorialne zmiany istniejących traktatów mogą być jedynie przeprowadzone przez Radę Ligi. Otóż jak panu wiadomo, Rada Ligi może powziąć podobne postanowienia tylko jednomyślnie. Czyż sobie pan wyobraża, że Niemcy mogłyby osiągnąć w Radzi</w:t>
      </w:r>
      <w:r w:rsidR="004B03FE" w:rsidRPr="001E5F63">
        <w:t xml:space="preserve">e jednomyślność dla zniweczenia </w:t>
      </w:r>
      <w:r w:rsidRPr="001E5F63">
        <w:t>Traktatu Wersalskiego, który tę Ligę stworzył? Już to samo zapytanie jest absurdalne</w:t>
      </w:r>
      <w:r w:rsidR="00900BE3" w:rsidRPr="001E5F63">
        <w:t>”</w:t>
      </w:r>
      <w:r w:rsidRPr="001E5F63">
        <w:t>.</w:t>
      </w:r>
    </w:p>
    <w:p w:rsidR="00612B90" w:rsidRPr="003C0842" w:rsidRDefault="00612B90" w:rsidP="00111348">
      <w:pPr>
        <w:spacing w:line="360" w:lineRule="auto"/>
        <w:ind w:firstLine="709"/>
      </w:pPr>
      <w:r w:rsidRPr="003C0842">
        <w:t>Nie dla wszystkich, skoro przynajmniej dla kilku państw (nie ważne</w:t>
      </w:r>
      <w:r w:rsidR="00FB17FE" w:rsidRPr="003C0842">
        <w:t>,</w:t>
      </w:r>
      <w:r w:rsidRPr="003C0842">
        <w:t xml:space="preserve"> przez jakiej barwy rządy kierowane) żadne pytanie idące w kierunku „naprawy ówczesnego stanu rzeczy” nie było absurdalne. Argumentów – prawdziwych, prawdopodobnych, kłamliwie i intencjonalnie interpretowanych – w polityce i jej siostrze najbliższej propagandzie – nigdy nie brakowało. Współtworzyli je bardzo ruchliwi w prowileńskiej agitacji Litwini, którzy z determinacją walczyli o swoje najważniejsze miasto, wpisane do konstytucji jako stolicę państwa. We wrogim Polsce przypominaniu braku wzajemnych, jakichkolwiek stosunków, prawicowy rząd chciał pozyskać sympatyków nie tylko na arenie międzynarodowej, ale też wśród własnych obywateli. </w:t>
      </w:r>
      <w:r w:rsidR="0003069E" w:rsidRPr="003C0842">
        <w:t>Nie wykluczano</w:t>
      </w:r>
      <w:r w:rsidRPr="003C0842">
        <w:t xml:space="preserve"> dywersj</w:t>
      </w:r>
      <w:r w:rsidR="0003069E" w:rsidRPr="003C0842">
        <w:t>i</w:t>
      </w:r>
      <w:r w:rsidRPr="003C0842">
        <w:t xml:space="preserve"> organizowan</w:t>
      </w:r>
      <w:r w:rsidR="0003069E" w:rsidRPr="003C0842">
        <w:t>ej</w:t>
      </w:r>
      <w:r w:rsidRPr="003C0842">
        <w:t xml:space="preserve"> lub wspieran</w:t>
      </w:r>
      <w:r w:rsidR="0003069E" w:rsidRPr="003C0842">
        <w:t>ej</w:t>
      </w:r>
      <w:r w:rsidRPr="003C0842">
        <w:t xml:space="preserve"> przez Polaków, czym tłumaczono i usprawiedliwiano surowe obchodzenie się z opozycją (głównie centro-lewicową), której przypisywano wysługiwanie się wrogom państwa za judaszowe srebrniki</w:t>
      </w:r>
      <w:r w:rsidRPr="003C0842">
        <w:rPr>
          <w:rStyle w:val="Odwoanieprzypisudolnego"/>
          <w:rFonts w:ascii="Times New Roman" w:hAnsi="Times New Roman"/>
          <w:sz w:val="24"/>
        </w:rPr>
        <w:footnoteReference w:id="485"/>
      </w:r>
      <w:r w:rsidRPr="003C0842">
        <w:t>.</w:t>
      </w:r>
    </w:p>
    <w:p w:rsidR="004B03FE" w:rsidRPr="003C0842" w:rsidRDefault="00612B90" w:rsidP="00111348">
      <w:pPr>
        <w:spacing w:line="360" w:lineRule="auto"/>
        <w:ind w:firstLine="709"/>
      </w:pPr>
      <w:r w:rsidRPr="003C0842">
        <w:t xml:space="preserve">Utrzymywanie przez Litwę „stanu wojny” z Polską w sposób dobitny pokazywało imperialistyczną politykę prowadzoną przez jej kilkakroć większego i silniejszego sąsiada. Obawy przed rozpamiętywaną inwazją ze strony Polski pchnęły Litwę w objęcia Rosji, z którą 28 września 1926 r. został podpisany traktat o przyjaźni. Tym samym w ciągu kilku miesięcy Związek Radziecki zawarł przyjacielskie porozumienia z dwoma sąsiadami Polski, którzy nie skrywali swych rewizjonistycznych planów. Nie skrywała ich także Moskwa, </w:t>
      </w:r>
      <w:r w:rsidR="004B03FE" w:rsidRPr="003C0842">
        <w:t xml:space="preserve">posiłkująca się </w:t>
      </w:r>
      <w:r w:rsidRPr="003C0842">
        <w:t xml:space="preserve">dla „totalnego” rewizjonizmu rozsianymi po świecie sekcjami Kominternu. </w:t>
      </w:r>
      <w:r w:rsidRPr="003C0842">
        <w:lastRenderedPageBreak/>
        <w:t xml:space="preserve">Przypominanie funkcjonującej w przestrzeni publicznej linii Curzona było fragmentem strategii o światowym i dziejowym wymiarze. </w:t>
      </w:r>
    </w:p>
    <w:p w:rsidR="00612B90" w:rsidRPr="003C0842" w:rsidRDefault="00612B90" w:rsidP="00111348">
      <w:pPr>
        <w:spacing w:line="360" w:lineRule="auto"/>
        <w:ind w:firstLine="709"/>
      </w:pPr>
      <w:r w:rsidRPr="003C0842">
        <w:t xml:space="preserve">Wszystkie one rezonowały w Genewie, chociażby półoficjalnie, nawet </w:t>
      </w:r>
      <w:r w:rsidR="00B37304" w:rsidRPr="003C0842">
        <w:t>wtedy</w:t>
      </w:r>
      <w:r w:rsidRPr="003C0842">
        <w:t xml:space="preserve"> kiedy aktywny tam min. Edward Benesz spieszył z pojednawczymi ofertami, mającymi załagodzić konflikt towarzyszący wyróżniającemu wejściu Niemiec do Ligi. W ofercie jego dominowała chęć pozytywnego zaistnienia Czechosłowacji na ligowej arenie i zdobycia „punktów” u Francji, Wielkiej Brytanii, państw skandynawskich, ewentualnie Niemiec. Nie było natomiast chęci wsparcia interesów Polski, z którą konflikt graniczny, zwłaszcza o Zaolzie był znany i żywy. Podniecał go nieprzyjazny stosunek pierwszych figur w państwie, obraźliwych słów Piłsudskiego wobec min. Benesza nie wyłączając.</w:t>
      </w:r>
    </w:p>
    <w:p w:rsidR="00BD56B3" w:rsidRDefault="00612B90" w:rsidP="00111348">
      <w:pPr>
        <w:spacing w:line="360" w:lineRule="auto"/>
        <w:ind w:firstLine="709"/>
      </w:pPr>
      <w:r w:rsidRPr="003C0842">
        <w:t>Powrót Piłsudskiego do władzy nadał tym relacjom wymiar polityczno-międzynarodowych spekulacji. Kalkulacjom na zwiększenie aktywności na wschodzie wobec Litwy i Rosji, towarzyszyły sprzeczne opinie, upowszechniane zwłaszcza przez wrogów wewnętrznych. Ochłodzeniu stosunków z Francją miało towarzyszyć ocieplenie z Niemcami, którym przypisywano udział w przewrocie majowym</w:t>
      </w:r>
      <w:r w:rsidRPr="003C0842">
        <w:rPr>
          <w:rStyle w:val="Odwoanieprzypisudolnego"/>
          <w:rFonts w:ascii="Times New Roman" w:hAnsi="Times New Roman"/>
          <w:sz w:val="24"/>
        </w:rPr>
        <w:footnoteReference w:id="486"/>
      </w:r>
      <w:r w:rsidRPr="003C0842">
        <w:t>. Toczącym się w Genewie i poza nią sporom o skład Rady towarzyszyły opinie, że i Polska pod wodzą marszałka, nienawykłego do demokratycznych procedur, może Ligę opuścić. Wszystkie te wątki były rozpamiętywane przez prasę, dla której plany „transakcji” terytorialnych były atrakcyjne, podawane najczęściej jako sensacji. Kłajpeda, Wilno, Górny Śląsk, a zwłaszcza „korytarz” gdański były analizowane w kontekście art. 11 Paktu, który nakazywał Lidze eliminowanie z życia międzynarodowego okoliczności mogąc</w:t>
      </w:r>
      <w:r w:rsidR="004B03FE" w:rsidRPr="003C0842">
        <w:t>ych</w:t>
      </w:r>
      <w:r w:rsidRPr="003C0842">
        <w:t xml:space="preserve"> zakłócić pokój. Tymczasem wszystkie powyżej przywołane punkty na pograniczu niemiecko-polsko-litewskim wymagały porozumienia, bo od nich „zależy pokój”.</w:t>
      </w:r>
    </w:p>
    <w:p w:rsidR="00612B90" w:rsidRPr="003C0842" w:rsidRDefault="00612B90" w:rsidP="00111348">
      <w:pPr>
        <w:spacing w:line="360" w:lineRule="auto"/>
        <w:ind w:firstLine="709"/>
      </w:pPr>
      <w:r w:rsidRPr="003C0842">
        <w:t xml:space="preserve">Wyolbrzymiano rolę półwyspu Westerplatte, który Rada Ligi oddawała do wyłącznej dyspozycji Polski 14 marca 1924 r. dla celów wojskowych. Wokół stacjonowania tam oddziału wartowniczego w sile 88 ludzi trwała społeczno-polityczna burza. Pod presją Senatu Wolnego Miasta oraz alarmów prasy gdańskiej i niemieckiej piszącej o niebezpieczeństwach grożących ludności i miastu, Komisarz LN Mac Donell przekazał 19 listopada 1925 r. sprawę do Rady Ligi. Tym samym Gdańsk w wersji roszczeniowej znów znalazł się na wokandzie genewskiej. Oplatało ją podnoszone i raz po raz przypominane zagrożenie ze strony Polski, </w:t>
      </w:r>
      <w:r w:rsidRPr="003C0842">
        <w:lastRenderedPageBreak/>
        <w:t>przygotowującej siłowe zmiany drogą faktów dokonanych</w:t>
      </w:r>
      <w:r w:rsidRPr="003C0842">
        <w:rPr>
          <w:rStyle w:val="Odwoanieprzypisudolnego"/>
          <w:rFonts w:ascii="Times New Roman" w:hAnsi="Times New Roman"/>
          <w:sz w:val="24"/>
        </w:rPr>
        <w:footnoteReference w:id="487"/>
      </w:r>
      <w:r w:rsidRPr="003C0842">
        <w:t>. Ich prawdopodobieństwo po powrocie do władzy marszałka Piłsudskiego w</w:t>
      </w:r>
      <w:r w:rsidR="00B37304" w:rsidRPr="003C0842">
        <w:t>edłu</w:t>
      </w:r>
      <w:r w:rsidRPr="003C0842">
        <w:t>g propagandy antypolskiej rosło także dlatego, że Polska, znajdując się w rozpaczliwej sytuacji gospodarczej (bez nadziei na zagraniczne kredyty)</w:t>
      </w:r>
      <w:r w:rsidR="00B37304" w:rsidRPr="003C0842">
        <w:t>,</w:t>
      </w:r>
      <w:r w:rsidRPr="003C0842">
        <w:t xml:space="preserve"> będzie poszukiwała skanalizowania niezadowolenia wewnętrznego na awanturniczej akcji wojsk</w:t>
      </w:r>
      <w:r w:rsidR="00BC084D" w:rsidRPr="003C0842">
        <w:t xml:space="preserve">owej. </w:t>
      </w:r>
      <w:r w:rsidR="00BC084D" w:rsidRPr="003C0842">
        <w:rPr>
          <w:i/>
        </w:rPr>
        <w:t>Die brenn</w:t>
      </w:r>
      <w:r w:rsidRPr="003C0842">
        <w:rPr>
          <w:i/>
        </w:rPr>
        <w:t>ende Grenze</w:t>
      </w:r>
      <w:r w:rsidRPr="003C0842">
        <w:t xml:space="preserve"> może rozlać się z łatwością na cały rejon. Katastrofę należy uprzedzić, poprzez zadośćuczynienie żądaniom państwa niezadowolonego</w:t>
      </w:r>
      <w:r w:rsidRPr="003C0842">
        <w:rPr>
          <w:rStyle w:val="Odwoanieprzypisudolnego"/>
          <w:rFonts w:ascii="Times New Roman" w:hAnsi="Times New Roman"/>
          <w:sz w:val="24"/>
        </w:rPr>
        <w:footnoteReference w:id="488"/>
      </w:r>
      <w:r w:rsidRPr="003C0842">
        <w:t>.</w:t>
      </w:r>
    </w:p>
    <w:p w:rsidR="00B677AA" w:rsidRPr="003C0842" w:rsidRDefault="00612B90" w:rsidP="00111348">
      <w:pPr>
        <w:spacing w:line="360" w:lineRule="auto"/>
        <w:ind w:firstLine="709"/>
      </w:pPr>
      <w:r w:rsidRPr="003C0842">
        <w:t>Splot wielu czynników, w zasadniczej części przedstawionych wyżej, spowodował, że czasy przybliżania się Niemiec do Genewy wyróżnia wzmożony nacisk propagandowy w duchu rewizjonistycznym. Polscy dyplomaci omawianego czasu mieli świadomość, że w grę wchodziło dążenie do ukazania Polski w czarnych kolorach, której niestabilna sytuacja polityczna i gospodarcza grozi niekontrolowanym wybuchem o nieprzewidywalnych konsekwencjach. Gerard Labuda, polski polihistor z nutą zawodowego zażenowania napisał: „Jest rzeczą zdumiewającą jak jedne i te same fakty, jedne i te same liczby służyły uczonym polskim i niemieckim do udowadniania przeciwstawnych sobie tez”</w:t>
      </w:r>
      <w:r w:rsidRPr="003C0842">
        <w:rPr>
          <w:rStyle w:val="Odwoanieprzypisudolnego"/>
          <w:rFonts w:ascii="Times New Roman" w:hAnsi="Times New Roman"/>
          <w:sz w:val="24"/>
        </w:rPr>
        <w:footnoteReference w:id="489"/>
      </w:r>
      <w:r w:rsidRPr="003C0842">
        <w:t xml:space="preserve">. Nie może jednak zdumiewać, że owa eskalacja towarzyszyła wejściu Niemiec do Ligi, która miała stać się swoistą trampoliną w pożądanych zmianach o charakterze globalnym. Nie po to zdecydowali się Niemcy – jak twierdziła propaganda kierowana przez prawicowe ugrupowania Republiki – na poniesienie ofiary ze wstąpienia do organizacji będącej integralnym elementem Wersalu, żeby pozostawić go w stanie niezmienionym. </w:t>
      </w:r>
    </w:p>
    <w:p w:rsidR="00612B90" w:rsidRPr="003C0842" w:rsidRDefault="00612B90" w:rsidP="00111348">
      <w:pPr>
        <w:spacing w:line="360" w:lineRule="auto"/>
        <w:ind w:firstLine="709"/>
      </w:pPr>
      <w:r w:rsidRPr="003C0842">
        <w:t>Nieprzypadkowo silne uderzenie zostało skierowane w jeden z fundamentów LN zawarty w art. 16, który dotyczył pomocy wzajemnej członków Ligi. To Francja i Wielka Brytania zgodziły się</w:t>
      </w:r>
      <w:r w:rsidR="00B37304" w:rsidRPr="003C0842">
        <w:t>,</w:t>
      </w:r>
      <w:r w:rsidRPr="003C0842">
        <w:t xml:space="preserve"> aby Niemcy, a więc i każde państwo, samo decydowało czy ma przyjąć zaproponowaną przez Radę formę pomocy ofierze agresji. Świat dowiedział się, że pod presją niemiecką dopuszczalne jest ogłoszenie neutralności wobec każdego konfliktu zbrojnego. Tym samym w zasadzie runęło budowane dopiero i ukorzeniające się w świadomości międzynarodowej pojęcie bezpieczeństwa zbiorowego. Zapowiadana neutralność Niemiec wobec spodziewanej wojny, w domyśle polsko-rosyjskiej, czyniło z pomocy wzajemnej przewidywanej przez art. 16 Paktu zapis martwy, burzący całą ligową konstrukcję. Destrukcyjny wymiar wymuszonej przez Niemcy interpretacji art. 16 pokazują noty ZSRR i Litwy towarzyszące paktowi o nieagresji z 28 września 1926 r. Min. Mykolas Šlezevičius </w:t>
      </w:r>
      <w:r w:rsidRPr="003C0842">
        <w:lastRenderedPageBreak/>
        <w:t>wyjaśniał, że przynależność do Ligi nie może „wyrządzić szkody dążeniu narodu litewskiego do neutralności, która jak najbardziej odpowiada jego żywotnym interesom”</w:t>
      </w:r>
      <w:r w:rsidRPr="003C0842">
        <w:rPr>
          <w:rStyle w:val="Odwoanieprzypisudolnego"/>
          <w:rFonts w:ascii="Times New Roman" w:hAnsi="Times New Roman"/>
          <w:sz w:val="24"/>
        </w:rPr>
        <w:footnoteReference w:id="490"/>
      </w:r>
      <w:r w:rsidRPr="003C0842">
        <w:t>.</w:t>
      </w:r>
    </w:p>
    <w:p w:rsidR="00612B90" w:rsidRPr="003C0842" w:rsidRDefault="00612B90" w:rsidP="00111348">
      <w:pPr>
        <w:spacing w:line="360" w:lineRule="auto"/>
        <w:ind w:firstLine="709"/>
      </w:pPr>
      <w:r w:rsidRPr="003C0842">
        <w:t>Kontredans z udziałem głównych wrogów Polski, z których każdy zgłaszał zasadnicze pretensje o charakterze terytorialnym nie pomniejszał propagandowej wartości art. 19 mówiącego o możliwości rewizji traktatów. Ogromny szum towarzyszący dyskusjom nad możliwym jego wykorzystaniem okazał się tylko szumem, aczkolwiek o długim trwaniu. Jeśli sięgano do niego</w:t>
      </w:r>
      <w:r w:rsidR="00B37304" w:rsidRPr="003C0842">
        <w:t>,</w:t>
      </w:r>
      <w:r w:rsidRPr="003C0842">
        <w:t xml:space="preserve"> to bardziej dla podkreślenia jego znaczenia moralnego, jako założonego przez twórców Ligi drogowskazu</w:t>
      </w:r>
      <w:r w:rsidR="00A860F3" w:rsidRPr="003C0842">
        <w:t>,</w:t>
      </w:r>
      <w:r w:rsidRPr="003C0842">
        <w:t xml:space="preserve"> będącego zarazem swoistym „wentylem bezpieczeństwa”, który będzie zapobiegał wojennej katastrofie. Chcąc jej uniknąć</w:t>
      </w:r>
      <w:r w:rsidR="00B37304" w:rsidRPr="003C0842">
        <w:t>,</w:t>
      </w:r>
      <w:r w:rsidRPr="003C0842">
        <w:t xml:space="preserve"> Liga miała uprzedzać możliwy wybuch, tak jak to widział stosowany passus art. 11.</w:t>
      </w:r>
    </w:p>
    <w:p w:rsidR="00612B90" w:rsidRPr="003C0842" w:rsidRDefault="00612B90" w:rsidP="00111348">
      <w:pPr>
        <w:spacing w:line="360" w:lineRule="auto"/>
        <w:ind w:firstLine="709"/>
      </w:pPr>
      <w:r w:rsidRPr="003C0842">
        <w:t>Koncentracja niemieckich aspiracji rewizjonistycznych na jej wschodnich rubieżach po ich wejściu do Ligi była źródłem strachu, ale i konfrontowania art. 19 z innymi dyspozycjami Paktu. Oto 9 stycznia 1927 r. min. August Zaleski publicznie mówił o art. 10, który gwarantował nienaruszalność granic. Za abs</w:t>
      </w:r>
      <w:r w:rsidR="00A860F3" w:rsidRPr="003C0842">
        <w:t>urdalne</w:t>
      </w:r>
      <w:r w:rsidR="0003069E" w:rsidRPr="003C0842">
        <w:t xml:space="preserve"> uważał </w:t>
      </w:r>
      <w:r w:rsidRPr="003C0842">
        <w:t>on postępowanie „zachodniego sąsiada, który szczególnie w ostatnich czasach rozwija przeciwko naszym zachodnim granicom niesłychanie gwałtowną ofensywę propagandową”. Aktywność tę uznałmin. Zaleski za niezgodną z Paktem i wysoce niebezpieczną dla pokoju nie tylko Polski, lecz i pokoju powszechnego. Jakkolwiek dążeniem Polski jest ustalenie i utrwalenie jak najlepszych stosunków sąsiedzkich z Republiką Weimarską</w:t>
      </w:r>
      <w:r w:rsidR="00B37304" w:rsidRPr="003C0842">
        <w:t>,</w:t>
      </w:r>
      <w:r w:rsidRPr="003C0842">
        <w:t xml:space="preserve"> to jednak „za te dobre stosunki sąsiedzkie ceny rewizji naszych zachodnichgranic nie zapłacimy. Za żadną cenę nie odstąpimy piędzi ziemi pomorskiej lub śląskiej, ziem odwiecznie polskich, które przemoc nam zabrała, a które zwycięstwo prawa i sprawiedliwości nam z powrotem przywróciło”</w:t>
      </w:r>
      <w:r w:rsidRPr="003C0842">
        <w:rPr>
          <w:rStyle w:val="Odwoanieprzypisudolnego"/>
          <w:rFonts w:ascii="Times New Roman" w:hAnsi="Times New Roman"/>
          <w:sz w:val="24"/>
        </w:rPr>
        <w:footnoteReference w:id="491"/>
      </w:r>
      <w:r w:rsidRPr="003C0842">
        <w:t>.</w:t>
      </w:r>
    </w:p>
    <w:p w:rsidR="00612B90" w:rsidRPr="003C0842" w:rsidRDefault="00612B90" w:rsidP="00111348">
      <w:pPr>
        <w:spacing w:line="360" w:lineRule="auto"/>
        <w:ind w:firstLine="709"/>
      </w:pPr>
      <w:r w:rsidRPr="003C0842">
        <w:t>Mowa ta wygłoszona w warszawskim Towarzystwie Badania Zagadnień Międzynarodowych została przekazana min. Stresemannowi, który dwa dni później oświadczył, że art. 10 nie został naruszony</w:t>
      </w:r>
      <w:r w:rsidR="00B37304" w:rsidRPr="003C0842">
        <w:t>,</w:t>
      </w:r>
      <w:r w:rsidRPr="003C0842">
        <w:t xml:space="preserve"> gdyż „stanowisko niemieckie w sprawie polskich granic zachodnich znane jest od dawna i nie wymaga żadnej propagandy”. Jednocześnie Stresemann przypomniał art. 19</w:t>
      </w:r>
      <w:r w:rsidR="00B37304" w:rsidRPr="003C0842">
        <w:t>,</w:t>
      </w:r>
      <w:r w:rsidRPr="003C0842">
        <w:t xml:space="preserve"> z którego wynika, że znaczenie Paktu „nie polega na tym, by miał on na zawsze zahamować żywy rozwój odpowiadający interesom narodów”</w:t>
      </w:r>
      <w:r w:rsidRPr="003C0842">
        <w:rPr>
          <w:rStyle w:val="Odwoanieprzypisudolnego"/>
          <w:rFonts w:ascii="Times New Roman" w:hAnsi="Times New Roman"/>
          <w:sz w:val="24"/>
        </w:rPr>
        <w:footnoteReference w:id="492"/>
      </w:r>
      <w:r w:rsidRPr="003C0842">
        <w:t>.</w:t>
      </w:r>
    </w:p>
    <w:p w:rsidR="00612B90" w:rsidRPr="003C0842" w:rsidRDefault="00612B90" w:rsidP="00111348">
      <w:pPr>
        <w:spacing w:line="360" w:lineRule="auto"/>
        <w:ind w:firstLine="709"/>
      </w:pPr>
      <w:r w:rsidRPr="003C0842">
        <w:t>Republika Weimarska</w:t>
      </w:r>
      <w:r w:rsidR="00B37304" w:rsidRPr="003C0842">
        <w:t>,</w:t>
      </w:r>
      <w:r w:rsidRPr="003C0842">
        <w:t xml:space="preserve"> wchodząc do Ligi</w:t>
      </w:r>
      <w:r w:rsidR="00B37304" w:rsidRPr="003C0842">
        <w:t>,</w:t>
      </w:r>
      <w:r w:rsidRPr="003C0842">
        <w:t xml:space="preserve"> miała duży problem ze zdefiniowaniem „własnych interesów”. Zgodzono się, że skupiają się one w rewizji traktatu wersalskiego i systemu przezeń stworzonego. Dla osiągnięcia tego celu w Niemczech zapanowała niemal </w:t>
      </w:r>
      <w:r w:rsidRPr="003C0842">
        <w:lastRenderedPageBreak/>
        <w:t xml:space="preserve">powszechna zgoda wg porzekadła: „wszystkie ręce na pokład”. W tej szczególnej mobilizacji rola LN była duża, chociaż coraz bardziej jako forum do zgłaszania pretensji na złe, </w:t>
      </w:r>
      <w:r w:rsidR="00FC4BBA" w:rsidRPr="003C0842">
        <w:t xml:space="preserve">niesprawiedliwe i nie </w:t>
      </w:r>
      <w:r w:rsidRPr="003C0842">
        <w:t>równ</w:t>
      </w:r>
      <w:r w:rsidR="00FC4BBA" w:rsidRPr="003C0842">
        <w:t>e</w:t>
      </w:r>
      <w:r w:rsidRPr="003C0842">
        <w:t xml:space="preserve"> traktowanie.</w:t>
      </w:r>
    </w:p>
    <w:p w:rsidR="00612B90" w:rsidRPr="003C0842" w:rsidRDefault="00612B90" w:rsidP="00111348">
      <w:pPr>
        <w:autoSpaceDE w:val="0"/>
        <w:autoSpaceDN w:val="0"/>
        <w:adjustRightInd w:val="0"/>
        <w:spacing w:line="360" w:lineRule="auto"/>
        <w:ind w:firstLine="709"/>
      </w:pPr>
    </w:p>
    <w:p w:rsidR="00930F1A" w:rsidRPr="003C0842" w:rsidRDefault="00930F1A" w:rsidP="00111348">
      <w:pPr>
        <w:autoSpaceDE w:val="0"/>
        <w:autoSpaceDN w:val="0"/>
        <w:adjustRightInd w:val="0"/>
        <w:spacing w:line="360" w:lineRule="auto"/>
        <w:ind w:firstLine="709"/>
      </w:pPr>
    </w:p>
    <w:p w:rsidR="00700849" w:rsidRPr="003C0842" w:rsidRDefault="00700849" w:rsidP="00700849">
      <w:pPr>
        <w:shd w:val="clear" w:color="auto" w:fill="FFFFFF"/>
        <w:spacing w:line="360" w:lineRule="auto"/>
        <w:ind w:firstLine="840"/>
        <w:rPr>
          <w:color w:val="000000"/>
        </w:rPr>
      </w:pPr>
      <w:r w:rsidRPr="003C0842">
        <w:rPr>
          <w:color w:val="000000"/>
        </w:rPr>
        <w:t>ZAKOŃCZENIE</w:t>
      </w:r>
    </w:p>
    <w:p w:rsidR="00700849" w:rsidRPr="003C0842" w:rsidRDefault="00700849" w:rsidP="00700849">
      <w:pPr>
        <w:shd w:val="clear" w:color="auto" w:fill="FFFFFF"/>
        <w:spacing w:line="360" w:lineRule="auto"/>
        <w:ind w:firstLine="840"/>
        <w:rPr>
          <w:color w:val="000000"/>
        </w:rPr>
      </w:pPr>
      <w:r w:rsidRPr="003C0842">
        <w:rPr>
          <w:color w:val="000000"/>
        </w:rPr>
        <w:t>Działania na rzecz uniwersalnej Ligi Narodów należało do jej oczekiwanych i pożądanych działań. Każda z kilku kolejnych akcesji, obejmująca także państwa z różnych kręgów cywilizacyjnych</w:t>
      </w:r>
      <w:r w:rsidR="00B37304" w:rsidRPr="003C0842">
        <w:rPr>
          <w:color w:val="000000"/>
        </w:rPr>
        <w:t>,</w:t>
      </w:r>
      <w:r w:rsidRPr="003C0842">
        <w:rPr>
          <w:color w:val="000000"/>
        </w:rPr>
        <w:t xml:space="preserve"> jak np. Etiopia, miała na ogół dobrą prasę i żywe poparcie środowisk uważających pojawienie się instytucji genewskiej za wyraz właściwej ewolucji stosunków między państwami i narodami. Nie brakowało jednak także wątpliwości, zwłaszcza wobec akcesji państw wrogo usposobionych do powstałego po wojnie systemu. Z reguły podnosili je członkowie, którzy byli w stosunku do pokonanego w wojnie sąsiada beneficjentem. Ich zastrzeżenia miały rozwiać specjalne deklaracje o lojalnym i skrupulatnym wykonywaniu zobowiązań zapisanych w traktatach pokojowych. Państwa mniejsze, jak Austria czy Bułgaria, a nawet najbardziej </w:t>
      </w:r>
      <w:r w:rsidR="00BC084D" w:rsidRPr="003C0842">
        <w:rPr>
          <w:color w:val="000000"/>
        </w:rPr>
        <w:t xml:space="preserve">spośród nich </w:t>
      </w:r>
      <w:r w:rsidRPr="003C0842">
        <w:rPr>
          <w:color w:val="000000"/>
        </w:rPr>
        <w:t xml:space="preserve">antysystemowo usposobione Węgry, nie uchylały się od tego typu oczekiwań. Odmówiły natomiast Niemcy, i to zdecydowanie. W kwestii tej w Berlinie nie robiono złudzeń od początku rozmów na temat ich udziału w pracach genewskich. To jeden z istotnych powodów, że stale brane pod uwagę wstąpienie Niemiec przez pierwsze lata funkcjonowania systemu wersalskiego nie było rozpatrywane. </w:t>
      </w:r>
    </w:p>
    <w:p w:rsidR="00700849" w:rsidRPr="003C0842" w:rsidRDefault="00700849" w:rsidP="00700849">
      <w:pPr>
        <w:shd w:val="clear" w:color="auto" w:fill="FFFFFF"/>
        <w:spacing w:line="360" w:lineRule="auto"/>
        <w:ind w:firstLine="840"/>
        <w:rPr>
          <w:color w:val="000000"/>
        </w:rPr>
      </w:pPr>
      <w:r w:rsidRPr="003C0842">
        <w:rPr>
          <w:color w:val="000000"/>
        </w:rPr>
        <w:t>Przełomem były rokowania, a więc targi na temat jakichś ustępstw, korzyści, kompromisu, które dobito w Locarno. Ich znaczenie dla dziejów Ligi było ogromne, porównywalne do zmian zafundowanych całemu porządkowi powstałemu po wojnie. Dla państw, którym wówczas Niemcy odmówiły gwarancji ich granic, kwestia deklaracji o respektowaniu posiadanych zobowiązań międzynarodowych przybierała na sile. Chciały one od Niemiec suplementarnych gwarancji, czegoś więcej niż tylko zobowiązania zawartego w preambule Pak</w:t>
      </w:r>
      <w:r w:rsidR="00B37304" w:rsidRPr="003C0842">
        <w:rPr>
          <w:color w:val="000000"/>
        </w:rPr>
        <w:t>y</w:t>
      </w:r>
      <w:r w:rsidRPr="003C0842">
        <w:rPr>
          <w:color w:val="000000"/>
        </w:rPr>
        <w:t>u o przestrzeganiu sprawiedliwości i „skrupulatnym szanowaniu wszelkich zobowiązań traktatowych we wzajemnych stosunkach międ</w:t>
      </w:r>
      <w:r w:rsidRPr="003C0842">
        <w:t xml:space="preserve">zy zorganizowanymi narodami”. Państwa graniczące z Niemcami od południa i wschodu nie podzielały zachwytów nad dziełem wypracowanym w Locarno. Widziały w tych umowach niezbyt skrywaną zachętę dla szukania rewizjonistycznych satysfakcji w tych właśnie rejonach Europy. Ocena tych intencji i ich skutków była i pozostała rozdzielna, także w historiografii. Odmienna okazała się także ocena ukartowanego przez „wielkich” wprowadzenia Niemiec do Ligi, któremu państwa średnie i mniejsze dały odpór, jedyny taki w jej dziejach. </w:t>
      </w:r>
    </w:p>
    <w:p w:rsidR="00BD56B3" w:rsidRDefault="00700849" w:rsidP="00700849">
      <w:pPr>
        <w:shd w:val="clear" w:color="auto" w:fill="FFFFFF"/>
        <w:spacing w:line="360" w:lineRule="auto"/>
        <w:ind w:firstLine="840"/>
        <w:rPr>
          <w:color w:val="000000"/>
        </w:rPr>
      </w:pPr>
      <w:r w:rsidRPr="003C0842">
        <w:rPr>
          <w:color w:val="000000"/>
        </w:rPr>
        <w:lastRenderedPageBreak/>
        <w:t>Spory i kalkulacje towarzyszące wstąpieniu Niemiec do LN dostarczyły światu, Europie, w tym zwłaszcza politykom i społeczeństwu Rzeszy, wielu emocji. Próby rozważnego bilansowania tego procesu nadal nastręczają trudności i wcale nie prowadzą do jednoznacznych wniosków. Odnosi się to zarówno do oceny tego zjawiska z niemieckiego, jak i genewskiego punktu obserwacyjnego.</w:t>
      </w:r>
    </w:p>
    <w:p w:rsidR="00700849" w:rsidRPr="003C0842" w:rsidRDefault="00700849" w:rsidP="00700849">
      <w:pPr>
        <w:shd w:val="clear" w:color="auto" w:fill="FFFFFF"/>
        <w:spacing w:line="360" w:lineRule="auto"/>
        <w:ind w:firstLine="840"/>
        <w:rPr>
          <w:color w:val="000000"/>
        </w:rPr>
      </w:pPr>
      <w:r w:rsidRPr="003C0842">
        <w:rPr>
          <w:color w:val="000000"/>
        </w:rPr>
        <w:t>Wieloletnie, ogólnonarodowe rozpamiętywanie zalet i wad, zysków i strat wynikających ze współpracy Niemiec z Europą i światem z udziałem Ligi Narodów zostało wzmożone zaskakującym fiaskiem nadzwyczajnego Zgromadzenia Ligi w marcu 1926 r. Z arsenałów wytoczono broń lekką, ale ciężką zarazem – poczcie urazy, zadrapanie narodowej dumy. Zwolennicy akcesu doznali gorzkiego zawodu i przycichli; przeciwnicy utwierdzili się w zajmowanym stanowisku. Wzmogły i upowszechniły się obawy, że politycy i urzędnicy Rzeszy nie znajdą w Genewie warunków do działania, że będą tam izolowani. Utyskiwania z tego powodu rychło okazały się słuszne. Podbudowywała j</w:t>
      </w:r>
      <w:r w:rsidR="003A0BF7" w:rsidRPr="003C0842">
        <w:rPr>
          <w:color w:val="000000"/>
        </w:rPr>
        <w:t>ą</w:t>
      </w:r>
      <w:r w:rsidRPr="003C0842">
        <w:rPr>
          <w:color w:val="000000"/>
        </w:rPr>
        <w:t xml:space="preserve"> teza o zaniżanych wpływach</w:t>
      </w:r>
      <w:r w:rsidR="003A0BF7" w:rsidRPr="003C0842">
        <w:rPr>
          <w:color w:val="000000"/>
        </w:rPr>
        <w:t xml:space="preserve"> personalnych</w:t>
      </w:r>
      <w:r w:rsidRPr="003C0842">
        <w:rPr>
          <w:color w:val="000000"/>
        </w:rPr>
        <w:t>, które nie odpowiadały pozycji i obiektywnie spełnianej roli Niemiec w Europie i świecie. Zabiegi, wręcz walka o wprowadzenie do Sekretariatu możliwie największej liczby „swoich” nie satysfakcjonowała</w:t>
      </w:r>
      <w:r w:rsidR="00772152" w:rsidRPr="003C0842">
        <w:rPr>
          <w:color w:val="000000"/>
        </w:rPr>
        <w:t xml:space="preserve"> zupełnie</w:t>
      </w:r>
      <w:r w:rsidRPr="003C0842">
        <w:rPr>
          <w:color w:val="000000"/>
        </w:rPr>
        <w:t>. Opór stawiali nie tylko członkowie (państwa), którzy uważali się za pokrzywdzonych przez zaniżoną obecność ich obywateli w Sekretariacie lub nie mieli tam urzędników ze swojego kraju w ogóle. Był to jednak także efekt ukształtowanej i podtrzymywanej atmosfery podkreślającej egoizm niemieckiej „reprezentacji”. Jakkolwiek wszystkie rządy chciały traktować swoich obywateli w Sekretariacie jako nadal pozostających w narodowej służbie, to jednak obawy o lojalność w przypadku urzędników z Niemiec były większe. Do wyraźnie formułowanych oczekiwań w tym względzie w Tokio i Rzymie doszedł w 1926 r. Berlin. Wiedziano, że niektórzy z urzędników rekomendowanych przez tamtejsze rządy</w:t>
      </w:r>
      <w:r w:rsidR="00772152" w:rsidRPr="003C0842">
        <w:rPr>
          <w:color w:val="000000"/>
        </w:rPr>
        <w:t>,</w:t>
      </w:r>
      <w:r w:rsidRPr="003C0842">
        <w:rPr>
          <w:color w:val="000000"/>
        </w:rPr>
        <w:t xml:space="preserve"> zasługiwali na miano agentów w instytucji międzynarodowej za składkowe pieniądze. Otrzymywali nie tylko sugestie i polecenia, ale nawet dodatkowe „diety”. Chodziło o wspieranie, forsowanie, pozyskiwanie współpracowników, popleczników wywodzących się z innych krajów. </w:t>
      </w:r>
    </w:p>
    <w:p w:rsidR="00BD56B3" w:rsidRDefault="00700849" w:rsidP="00700849">
      <w:pPr>
        <w:shd w:val="clear" w:color="auto" w:fill="FFFFFF"/>
        <w:spacing w:line="360" w:lineRule="auto"/>
        <w:ind w:firstLine="840"/>
        <w:rPr>
          <w:color w:val="000000"/>
        </w:rPr>
      </w:pPr>
      <w:r w:rsidRPr="003C0842">
        <w:rPr>
          <w:color w:val="000000"/>
        </w:rPr>
        <w:t xml:space="preserve">Targi poprzedzające pojawienie się Niemców w Genewie, jedyne tego rodzaju w dziejach Ligi, wzmagały obawy, że walka z systemem wersalskim obejmie też Ligę Narodów, będącą jednym z filarów tego systemu. Został on przecież zbudowany na założeniu obrony status quo – dla wielu „na zawsze”, dla niektórych – jak Wielkiej Brytanii – jak długo będzie to możliwe. Każda więc próba wykorzystania genewskiego forum do zmiany porządku międzynarodowego ustanowionego po „wielkiej wojnie” wywoływała strach, protesty, obawy – co najmniej wątpliwości. Towarzyszyły one również brytyjskiemu sekretarzowi </w:t>
      </w:r>
      <w:r w:rsidRPr="003C0842">
        <w:rPr>
          <w:color w:val="000000"/>
        </w:rPr>
        <w:lastRenderedPageBreak/>
        <w:t xml:space="preserve">generalnemu i jego francuskiemu zastępcy, którzy – także z tego powodu – skutecznie tamowali rozrost drużyny niemieckiej w Sekretariacie. </w:t>
      </w:r>
    </w:p>
    <w:p w:rsidR="00700849" w:rsidRPr="003C0842" w:rsidRDefault="00700849" w:rsidP="00700849">
      <w:pPr>
        <w:shd w:val="clear" w:color="auto" w:fill="FFFFFF"/>
        <w:suppressAutoHyphens/>
        <w:spacing w:line="360" w:lineRule="auto"/>
        <w:ind w:right="40" w:firstLine="840"/>
      </w:pPr>
      <w:r w:rsidRPr="003C0842">
        <w:rPr>
          <w:color w:val="000000"/>
        </w:rPr>
        <w:t>Sytuacja ta była tym bardziej dla Berlina frustrująca, że pierwsze osoby Sekretariatu (zwłaszcza „wszechmocny” sir Eric Drummond) potrafiły odgrodzić niemieckiego podsekretarzageneralnego od wpływu na decyzje, ważne z międzynarodowego punktu widzenia lub ogólniejszej działalności Ligi. Jego zabiegi o zwiększanie liczby stanowisk, czy też zdobycie efektywnego wpływu na pracę Sekretariatu nie dawały efektów. Nazwisko Dufour-Feronce’a, który piastował najwyższe wśród Niemców stanowisko podsekretarza generalnego, nie funkcjonuje w syntezach omawiających działalność instytucji genewskiej, i to niezależnie od tego czy powstały one przed wojną czy współcześnie</w:t>
      </w:r>
      <w:r w:rsidRPr="003C0842">
        <w:rPr>
          <w:i/>
          <w:iCs/>
          <w:color w:val="000000"/>
        </w:rPr>
        <w:t>.</w:t>
      </w:r>
    </w:p>
    <w:p w:rsidR="00700849" w:rsidRPr="003C0842" w:rsidRDefault="00700849" w:rsidP="00700849">
      <w:pPr>
        <w:shd w:val="clear" w:color="auto" w:fill="FFFFFF"/>
        <w:suppressAutoHyphens/>
        <w:spacing w:line="360" w:lineRule="auto"/>
        <w:ind w:right="40" w:firstLine="840"/>
        <w:rPr>
          <w:color w:val="000000"/>
        </w:rPr>
      </w:pPr>
      <w:r w:rsidRPr="003C0842">
        <w:rPr>
          <w:color w:val="000000"/>
        </w:rPr>
        <w:t xml:space="preserve">Traktowany w tej pracy ze szczególną uwagą międzynarodowy kontekst przyłączenia się Niemiec do działalności Ligi zobowiązuje uwypuklić wagę rozstania się z Genewą dwóch ważnych państw – Hiszpanii i Brazylii. Wśród polityków mniej życzliwych Niemcom, a zwłaszcza w opiniotwórczych kręgach zwolenników idealizowanej Ligi Narodówjako stowarzyszenia wolnych i równych państw, </w:t>
      </w:r>
      <w:r w:rsidR="00F6668C" w:rsidRPr="003C0842">
        <w:rPr>
          <w:color w:val="000000"/>
        </w:rPr>
        <w:t>funkcjonowała opinia</w:t>
      </w:r>
      <w:r w:rsidRPr="003C0842">
        <w:rPr>
          <w:color w:val="000000"/>
        </w:rPr>
        <w:t xml:space="preserve"> o wyłącznej odpowiedzialności Rzeszy </w:t>
      </w:r>
      <w:r w:rsidR="00F6668C" w:rsidRPr="003C0842">
        <w:rPr>
          <w:color w:val="000000"/>
        </w:rPr>
        <w:t>za powstałą</w:t>
      </w:r>
      <w:r w:rsidRPr="003C0842">
        <w:rPr>
          <w:color w:val="000000"/>
        </w:rPr>
        <w:t xml:space="preserve"> sytuację. Jest to opinia chybiona. Jeśli w ogóle można mówić o swoistej zamianie Brazylii i Hiszpanii na Niemcy, to jedynie w kontekście współodpowiedzialności wszystkich twórców systemu lokarneńskiego za naruszenie fundamentów utworzonego po wojnie układu międzynarodowego. Wymowne też pozostaje łatwiejsze pogodzenie się ogółu członków Rady z utratą Brazylii niż Hiszpanii. Stanowi to dodatkowy argument potwierdzający „europeizowanie” się Ligi. </w:t>
      </w:r>
    </w:p>
    <w:p w:rsidR="00700849" w:rsidRPr="003C0842" w:rsidRDefault="00700849" w:rsidP="00700849">
      <w:pPr>
        <w:shd w:val="clear" w:color="auto" w:fill="FFFFFF"/>
        <w:suppressAutoHyphens/>
        <w:spacing w:line="360" w:lineRule="auto"/>
        <w:ind w:right="40" w:firstLine="840"/>
        <w:rPr>
          <w:color w:val="000000"/>
        </w:rPr>
      </w:pPr>
      <w:r w:rsidRPr="003C0842">
        <w:rPr>
          <w:color w:val="000000"/>
        </w:rPr>
        <w:t>Proces ten od 1926 r. uległ wyraźnemu przyspieszeniu. Przegrana Brazylii, możliwa do uzasadnienia racjonalnymi przesłankami, poważnie pomniejszała aktywa Ameryki w Genewie. Nie były tam reprezentowane także Stany Zjednoczone, Meksyk i Argentyna, które zresztą aspiracjom Brazylii specjalnie nie kibicowały. Odnieść to również trzeba do większości państw tego regionu. Na zwolnione przez Brazylię miejsce niestałego członka Rady chętnych było wielu, najczęściej wzajemnie zawistnych. Europeizowanie Ligi to także wstrzemięźliwa aktywność Japonii, rezerwująca sobie uprzywilejowany głos w sprawach Azji, w tym szczególnie ich interesujących Chin. Japonia z blokadą starań chińskich do stałej obecności w Radzie nie miała specjalnych trudności. Znana była bardzo niestabilna sytuacja wewnętrzna, podniecana przez rywalizujące o wpływy światowe mocarstwa jak Stany Zjednoczone i ZSRR, częściowo również Niemcy i Wielka Brytania. Końcowa zgoda na udział Chin w Radzie z niestałym mandatem nie poprawiała ich międzynarodowego statusu.</w:t>
      </w:r>
    </w:p>
    <w:p w:rsidR="00700849" w:rsidRPr="003C0842" w:rsidRDefault="0003069E" w:rsidP="00700849">
      <w:pPr>
        <w:shd w:val="clear" w:color="auto" w:fill="FFFFFF"/>
        <w:suppressAutoHyphens/>
        <w:spacing w:line="360" w:lineRule="auto"/>
        <w:ind w:right="40" w:firstLine="840"/>
        <w:rPr>
          <w:color w:val="000000"/>
        </w:rPr>
      </w:pPr>
      <w:r w:rsidRPr="003C0842">
        <w:rPr>
          <w:color w:val="000000"/>
        </w:rPr>
        <w:lastRenderedPageBreak/>
        <w:t>Owo e</w:t>
      </w:r>
      <w:r w:rsidR="00700849" w:rsidRPr="003C0842">
        <w:rPr>
          <w:color w:val="000000"/>
        </w:rPr>
        <w:t>uropeizowanie</w:t>
      </w:r>
      <w:r w:rsidRPr="003C0842">
        <w:rPr>
          <w:color w:val="000000"/>
        </w:rPr>
        <w:t xml:space="preserve"> się </w:t>
      </w:r>
      <w:r w:rsidR="00700849" w:rsidRPr="003C0842">
        <w:rPr>
          <w:color w:val="000000"/>
        </w:rPr>
        <w:t>Ligi ujawni</w:t>
      </w:r>
      <w:r w:rsidRPr="003C0842">
        <w:rPr>
          <w:color w:val="000000"/>
        </w:rPr>
        <w:t>a</w:t>
      </w:r>
      <w:r w:rsidR="00700849" w:rsidRPr="003C0842">
        <w:rPr>
          <w:color w:val="000000"/>
        </w:rPr>
        <w:t xml:space="preserve">ło się także, może przede wszystkim w tym, że większość spraw podejmowanych w jej organach (Sekretariacie, Radzie, Zgromadzeniu), w tym także Międzynarodowej Organizacji Pracy oraz Stałego Trybunału Sprawiedliwości Międzynarodowej, dotyczyło „starego kontynentu”. Wejście Niemiec do Ligi, z programem wykorzystania forum genewskiego dla zmiany traktatów pokojowych, wzmagało spory i konflikty. Na ich pozytywne załatwienie widoki były niewielkie lub żadne. Sytuację pogarszało składanie współrodakom obietnic z reguły przekraczających możliwości ich realizacji. To także wzmagało międzynarodowe napięcie, ale i frustrację społeczeństw uważających się za pokrzywdzonych, niesprawiedliwie osądzonych. Ewentualnie ulgi, sukcesy, przeciwnicy Ligi i opozycja wewnętrzna, pomniejszały twierdzeniem, że uzyskano jedynie to, co im się słusznie i od dawna należało. Klincz zwolenników i przeciwników rewizji powojennego porządku międzynarodowego przekładał się na pretensje do Ligi. Krytykowano ją, że wcale nie jest ostoją, ani gwarantem sprawiedliwości, że stoi na straży sił i państw chcących utrzymywać pokonanych (podstępnie!) w stałym pognębieniu. </w:t>
      </w:r>
    </w:p>
    <w:p w:rsidR="00700849" w:rsidRPr="003C0842" w:rsidRDefault="00700849" w:rsidP="00700849">
      <w:pPr>
        <w:shd w:val="clear" w:color="auto" w:fill="FFFFFF"/>
        <w:suppressAutoHyphens/>
        <w:spacing w:line="360" w:lineRule="auto"/>
        <w:ind w:right="40" w:firstLine="840"/>
        <w:rPr>
          <w:color w:val="000000"/>
        </w:rPr>
      </w:pPr>
      <w:r w:rsidRPr="003C0842">
        <w:rPr>
          <w:color w:val="000000"/>
        </w:rPr>
        <w:t xml:space="preserve">Zadowolenie wszystkich nie wchodziło w grę. </w:t>
      </w:r>
    </w:p>
    <w:p w:rsidR="00700849" w:rsidRPr="003C0842" w:rsidRDefault="00700849" w:rsidP="00700849">
      <w:pPr>
        <w:shd w:val="clear" w:color="auto" w:fill="FFFFFF"/>
        <w:suppressAutoHyphens/>
        <w:spacing w:line="360" w:lineRule="auto"/>
        <w:ind w:right="40" w:firstLine="840"/>
        <w:rPr>
          <w:color w:val="000000"/>
        </w:rPr>
      </w:pPr>
      <w:r w:rsidRPr="003C0842">
        <w:rPr>
          <w:color w:val="000000"/>
        </w:rPr>
        <w:t xml:space="preserve">Oczekiwania ze strony społeczeństwa niemieckiego były o tyle większe, że w 1926 r. ich kraj znalazł się w elitarnym, uprzywilejowanym gronie. Wyprowadzano z tego wniosek, że drastycznie niesprawiedliwe decyzje zostaną cofnięte lub poddane istotnej zmianie. Najczęściej i najbardziej energicznie odwoływano się do takich </w:t>
      </w:r>
      <w:r w:rsidR="00F6668C" w:rsidRPr="003C0842">
        <w:rPr>
          <w:color w:val="000000"/>
        </w:rPr>
        <w:t>oskarżeń</w:t>
      </w:r>
      <w:r w:rsidRPr="003C0842">
        <w:rPr>
          <w:color w:val="000000"/>
        </w:rPr>
        <w:t xml:space="preserve"> jak wyłączna wina Rzeszy za wywołanie wojny, czy takich rozstrzygnięć jak haniebne konsultacje plebiscytowe (Eupen</w:t>
      </w:r>
      <w:r w:rsidR="00BC084D" w:rsidRPr="003C0842">
        <w:rPr>
          <w:color w:val="000000"/>
        </w:rPr>
        <w:t xml:space="preserve"> i</w:t>
      </w:r>
      <w:r w:rsidRPr="003C0842">
        <w:rPr>
          <w:color w:val="000000"/>
        </w:rPr>
        <w:t xml:space="preserve"> Malmedy, Górny Śląsk), rozczłonkowanie państwa przez „korytarz gdański”, oddanie Francji władzy w Komisji Zarządzającej w Saarze, okupacja Nadrenii, a ponadto rozbrojenie, mniejszości, kolonie. Wszystkie te decyzje wyłożone w traktacie wersalskim były kontestowane już w czasie ich narodzin. Na przełomie wojny i pokoju zwycięscy zdawali sobie sprawę, że budowany gmach genewski – chcąc nie chcąc – ma antyniemieckie fundamenty. Jednocześnie, zwłaszcza Brytyjczycy i Amerykanie, zakładali stopniową zmianę sytuacji. Towarzyszyła im świadomość, że bez pozytywnego głosu niemieckiego nie będzie możliwe rozwiązanie, ani postęp w żadnym z głównych celów Ligi. „Era spełniania” zapoczątkowana przez rząd Stresemanna w 1923 r. oraz aktywne włączenie się kapitału międzynarodowego do odbudowy gospodarki niemieckiej, co znalazło adekwatny wyraz w </w:t>
      </w:r>
      <w:r w:rsidR="00B37304" w:rsidRPr="003C0842">
        <w:rPr>
          <w:color w:val="000000"/>
        </w:rPr>
        <w:t>p</w:t>
      </w:r>
      <w:r w:rsidRPr="003C0842">
        <w:rPr>
          <w:color w:val="000000"/>
        </w:rPr>
        <w:t xml:space="preserve">lanie Dawesa, otwiera de facto marsz Berlina w kierunku Genewy. </w:t>
      </w:r>
    </w:p>
    <w:p w:rsidR="00700849" w:rsidRPr="003C0842" w:rsidRDefault="00700849" w:rsidP="00700849">
      <w:pPr>
        <w:shd w:val="clear" w:color="auto" w:fill="FFFFFF"/>
        <w:suppressAutoHyphens/>
        <w:spacing w:line="360" w:lineRule="auto"/>
        <w:ind w:right="40" w:firstLine="840"/>
        <w:rPr>
          <w:color w:val="000000"/>
        </w:rPr>
      </w:pPr>
      <w:r w:rsidRPr="003C0842">
        <w:rPr>
          <w:color w:val="000000"/>
        </w:rPr>
        <w:t xml:space="preserve">Finał tego marszu okrzyknięty został jako wielki sukces, nawet wydarzenie przełomowe. Niemcy powracały do elitarnego grona państw współdecydujących o kształcie ówczesnej Europy, świata. Po stronie niemieckiej wielką popularnością cieszyło się </w:t>
      </w:r>
      <w:r w:rsidRPr="003C0842">
        <w:rPr>
          <w:color w:val="000000"/>
        </w:rPr>
        <w:lastRenderedPageBreak/>
        <w:t xml:space="preserve">twierdzenie, że ich obecność w Genewie była ważna dla samej Ligi. Uwagę skupiano raczej na efektywności działania Ligi, która bez Niemiec – zwłaszcza w kwestiach dotyczących Europy, nie mogła wiele zdziałać. Aktywność Niemiec otwierała możliwość efektywnych zmian – od likwidacji Sojuszniczej Komisji Kontroli poczynając. Wskazywano też na postępującą uniwersalizację instytucji genewskiej, która właśnie objęła swym zasięgiem ważne, może nawet najważniejsze państwo Europy. Było ono zarazem promotorem przystąpienia kolejnego mocarstwa – ZSRR. Po ziemi niemieckiej rozlały się argumenty nawiązujące do tradycji wilhelmińskiej, eksploatującej zwycięski pochód Rzeszy w rywalizacji o miejsce w Europie z pozycji siły, gdzie przewagę i decydujący głos miał najsilniejszy. </w:t>
      </w:r>
    </w:p>
    <w:p w:rsidR="0042720B" w:rsidRPr="003C0842" w:rsidRDefault="00700849" w:rsidP="0042720B">
      <w:pPr>
        <w:pStyle w:val="Tekstprzypisudolnego"/>
        <w:spacing w:line="360" w:lineRule="auto"/>
        <w:ind w:firstLine="708"/>
        <w:rPr>
          <w:color w:val="000000"/>
          <w:sz w:val="24"/>
          <w:szCs w:val="24"/>
        </w:rPr>
      </w:pPr>
      <w:r w:rsidRPr="003C0842">
        <w:rPr>
          <w:color w:val="000000"/>
          <w:sz w:val="24"/>
          <w:szCs w:val="24"/>
        </w:rPr>
        <w:t xml:space="preserve">Poglądy tego </w:t>
      </w:r>
      <w:r w:rsidR="00F6668C" w:rsidRPr="003C0842">
        <w:rPr>
          <w:color w:val="000000"/>
          <w:sz w:val="24"/>
          <w:szCs w:val="24"/>
        </w:rPr>
        <w:t>rodzaju</w:t>
      </w:r>
      <w:r w:rsidRPr="003C0842">
        <w:rPr>
          <w:color w:val="000000"/>
          <w:sz w:val="24"/>
          <w:szCs w:val="24"/>
        </w:rPr>
        <w:t xml:space="preserve"> znajdowały silne wsparcie w manifestowanej kordialności względem delegacji niemieckiej podczas VII Zgromadzenia, które przez aklamację zaakceptowało wniosek o wstąpienie Niemiec do Ligi. Minister Stresemann stał się pierwszoplanową figurą, skutecznie rywalizując o tę rolę z Briandem oraz mniej aktywnym w takim rankingu Chamberlainem. Pozycję tę uwypuklały poufne narady z ministrami Wielkiej Brytanii i Francji, które poprzedzać miały zwyczajne, publiczne sesje Rady, czy też komisji powoływanych podczas dorocznych Zgromadzeń. Owe okrzyczane </w:t>
      </w:r>
      <w:r w:rsidRPr="003C0842">
        <w:rPr>
          <w:i/>
          <w:color w:val="000000"/>
          <w:sz w:val="24"/>
          <w:szCs w:val="24"/>
        </w:rPr>
        <w:t>tee part</w:t>
      </w:r>
      <w:r w:rsidR="00B37304" w:rsidRPr="003C0842">
        <w:rPr>
          <w:i/>
          <w:color w:val="000000"/>
          <w:sz w:val="24"/>
          <w:szCs w:val="24"/>
        </w:rPr>
        <w:t>ies</w:t>
      </w:r>
      <w:r w:rsidR="00413C94" w:rsidRPr="003C0842">
        <w:rPr>
          <w:color w:val="000000"/>
          <w:sz w:val="24"/>
          <w:szCs w:val="24"/>
        </w:rPr>
        <w:t xml:space="preserve"> w gabinecie sekretarza g</w:t>
      </w:r>
      <w:r w:rsidRPr="003C0842">
        <w:rPr>
          <w:color w:val="000000"/>
          <w:sz w:val="24"/>
          <w:szCs w:val="24"/>
        </w:rPr>
        <w:t>eneralnego lub u Brianda, Chamberlaina czy Stresemanna stanowiły najbardziej jaskrawy wyraz zmian</w:t>
      </w:r>
      <w:r w:rsidR="00B37304" w:rsidRPr="003C0842">
        <w:rPr>
          <w:color w:val="000000"/>
          <w:sz w:val="24"/>
          <w:szCs w:val="24"/>
        </w:rPr>
        <w:t>,</w:t>
      </w:r>
      <w:r w:rsidRPr="003C0842">
        <w:rPr>
          <w:color w:val="000000"/>
          <w:sz w:val="24"/>
          <w:szCs w:val="24"/>
        </w:rPr>
        <w:t xml:space="preserve"> jakie dokonały się w praktyce negocjacyjnej Ligi. Mówiono i pisano, że w Genewie odgrzano stare metody, z minionej epoki, którą powstanie Ligi miało zamknąć. Niezadowoleni z takiej praktyki byli pozostali członkowie Rady, którzy mieli miejsca stałe. Problem w tym, że Mussolini jako minister spraw zagranicznych do Genewy się nie fatygował, podobnie jak minister japoński, którego odstręczała odległość i ograniczone zainteresowanie debatami w Genewie. Reprezentowali ich dyplomaci w randze ministrów pełnomocnych, a także urzędnicy Sekretariatu, </w:t>
      </w:r>
      <w:r w:rsidR="00B37304" w:rsidRPr="003C0842">
        <w:rPr>
          <w:color w:val="000000"/>
          <w:sz w:val="24"/>
          <w:szCs w:val="24"/>
        </w:rPr>
        <w:t>gdyż</w:t>
      </w:r>
      <w:r w:rsidRPr="003C0842">
        <w:rPr>
          <w:color w:val="000000"/>
          <w:sz w:val="24"/>
          <w:szCs w:val="24"/>
        </w:rPr>
        <w:t xml:space="preserve"> Włochy i Japonia miały w nim stanowiska podsekretarzy generalnych. </w:t>
      </w:r>
    </w:p>
    <w:p w:rsidR="00700849" w:rsidRPr="003C0842" w:rsidRDefault="0042720B" w:rsidP="0042720B">
      <w:pPr>
        <w:pStyle w:val="Tekstprzypisudolnego"/>
        <w:spacing w:line="360" w:lineRule="auto"/>
        <w:ind w:firstLine="708"/>
        <w:rPr>
          <w:sz w:val="24"/>
          <w:szCs w:val="24"/>
        </w:rPr>
      </w:pPr>
      <w:r w:rsidRPr="003C0842">
        <w:rPr>
          <w:sz w:val="24"/>
          <w:szCs w:val="24"/>
        </w:rPr>
        <w:t xml:space="preserve">Jeszcze większe pretensje </w:t>
      </w:r>
      <w:r w:rsidR="008934B4" w:rsidRPr="003C0842">
        <w:rPr>
          <w:sz w:val="24"/>
          <w:szCs w:val="24"/>
        </w:rPr>
        <w:t xml:space="preserve">zgłaszali </w:t>
      </w:r>
      <w:r w:rsidRPr="003C0842">
        <w:rPr>
          <w:sz w:val="24"/>
          <w:szCs w:val="24"/>
        </w:rPr>
        <w:t>niestali członkowie Rady, de facto pomijani w debacie, która miała rozsławiać ich państwa i długo nieraz oczekiwaną, a teraz</w:t>
      </w:r>
      <w:r w:rsidR="008934B4" w:rsidRPr="003C0842">
        <w:rPr>
          <w:sz w:val="24"/>
          <w:szCs w:val="24"/>
        </w:rPr>
        <w:t xml:space="preserve"> –</w:t>
      </w:r>
      <w:r w:rsidRPr="003C0842">
        <w:rPr>
          <w:sz w:val="24"/>
          <w:szCs w:val="24"/>
        </w:rPr>
        <w:t xml:space="preserve"> w 1926 r. </w:t>
      </w:r>
      <w:r w:rsidR="008934B4" w:rsidRPr="003C0842">
        <w:rPr>
          <w:sz w:val="24"/>
          <w:szCs w:val="24"/>
        </w:rPr>
        <w:t>–</w:t>
      </w:r>
      <w:r w:rsidRPr="003C0842">
        <w:rPr>
          <w:sz w:val="24"/>
          <w:szCs w:val="24"/>
        </w:rPr>
        <w:t xml:space="preserve">wywalczoną reprezentację. </w:t>
      </w:r>
      <w:r w:rsidR="008934B4" w:rsidRPr="003C0842">
        <w:rPr>
          <w:sz w:val="24"/>
          <w:szCs w:val="24"/>
        </w:rPr>
        <w:t xml:space="preserve">Dotyczyło to zwłaszcza nowo wybranych członków Rady. Podkreślenia wymaga, że w wyniku kontrowersji </w:t>
      </w:r>
      <w:r w:rsidRPr="003C0842">
        <w:rPr>
          <w:sz w:val="24"/>
          <w:szCs w:val="24"/>
        </w:rPr>
        <w:t>powstał</w:t>
      </w:r>
      <w:r w:rsidR="008934B4" w:rsidRPr="003C0842">
        <w:rPr>
          <w:sz w:val="24"/>
          <w:szCs w:val="24"/>
        </w:rPr>
        <w:t xml:space="preserve">ych </w:t>
      </w:r>
      <w:r w:rsidRPr="003C0842">
        <w:rPr>
          <w:sz w:val="24"/>
          <w:szCs w:val="24"/>
        </w:rPr>
        <w:t>w związku ze wstąpieniem Niemiec, żaden z niestałych członków Rady z wiosny 1926 r. nie znalazł się w jej składzie jesienią tegoż roku.</w:t>
      </w:r>
    </w:p>
    <w:p w:rsidR="00700849" w:rsidRPr="003C0842" w:rsidRDefault="00700849" w:rsidP="00700849">
      <w:pPr>
        <w:shd w:val="clear" w:color="auto" w:fill="FFFFFF"/>
        <w:suppressAutoHyphens/>
        <w:spacing w:line="360" w:lineRule="auto"/>
        <w:ind w:right="40" w:firstLine="840"/>
      </w:pPr>
      <w:r w:rsidRPr="003C0842">
        <w:rPr>
          <w:color w:val="000000"/>
        </w:rPr>
        <w:t>Szczególna, zdaniem wielu uprzywilejowana</w:t>
      </w:r>
      <w:r w:rsidR="00F6668C" w:rsidRPr="003C0842">
        <w:rPr>
          <w:color w:val="000000"/>
        </w:rPr>
        <w:t>,</w:t>
      </w:r>
      <w:r w:rsidRPr="003C0842">
        <w:rPr>
          <w:color w:val="000000"/>
        </w:rPr>
        <w:t xml:space="preserve"> rola Stresemanna irytowała ministrów z innych państw, angażujących się w prace Rady. Świadomość, że zasadnicze sprawy były </w:t>
      </w:r>
      <w:r w:rsidRPr="003C0842">
        <w:rPr>
          <w:color w:val="000000"/>
        </w:rPr>
        <w:lastRenderedPageBreak/>
        <w:t xml:space="preserve">rozpatrywane, czy nawet zadecydowane w wąskim gronie, zanim pozostali uczestnicy sesji Rady przedstawią swój punkt widzenia, wywoływały sprzeciw i silne </w:t>
      </w:r>
      <w:r w:rsidR="00F6668C" w:rsidRPr="003C0842">
        <w:rPr>
          <w:color w:val="000000"/>
        </w:rPr>
        <w:t xml:space="preserve">nieraz </w:t>
      </w:r>
      <w:r w:rsidRPr="003C0842">
        <w:rPr>
          <w:color w:val="000000"/>
        </w:rPr>
        <w:t>emocje. Objęły one nawet delegację polską, w k</w:t>
      </w:r>
      <w:r w:rsidR="00F6668C" w:rsidRPr="003C0842">
        <w:rPr>
          <w:color w:val="000000"/>
        </w:rPr>
        <w:t xml:space="preserve">tórej pojawiły się wątpliwości </w:t>
      </w:r>
      <w:r w:rsidRPr="003C0842">
        <w:rPr>
          <w:color w:val="000000"/>
        </w:rPr>
        <w:t>co do zasadności członkostwa w Lidze, mimo wyróżnienia półstałym miejscem w Radzie. Swemu niezadowoleniu dał upust także Józef Beck, który u boku Piłsudskiego uczestniczył w słynnej sesji Rady dotyczącej Wilna. Szef gabinetu ministra spraw wojskowych zauważył, że Stresemanna traktowano tam „mimo wszystko jak kogoś w rodzaju przestępcy” i to nawet przez ugodowe osoby jak Briand. Niemiecki minister miał mie</w:t>
      </w:r>
      <w:r w:rsidR="005A486D" w:rsidRPr="003C0842">
        <w:rPr>
          <w:color w:val="000000"/>
        </w:rPr>
        <w:t>ć świadomość tej sytuacji, która</w:t>
      </w:r>
      <w:r w:rsidRPr="003C0842">
        <w:rPr>
          <w:color w:val="000000"/>
        </w:rPr>
        <w:t xml:space="preserve"> go bardzo irytowała</w:t>
      </w:r>
      <w:r w:rsidRPr="003C0842">
        <w:rPr>
          <w:rStyle w:val="Odwoanieprzypisudolnego"/>
          <w:rFonts w:ascii="Times New Roman" w:hAnsi="Times New Roman"/>
          <w:color w:val="000000"/>
          <w:sz w:val="24"/>
        </w:rPr>
        <w:footnoteReference w:id="493"/>
      </w:r>
      <w:r w:rsidRPr="003C0842">
        <w:rPr>
          <w:color w:val="000000"/>
        </w:rPr>
        <w:t>.</w:t>
      </w:r>
    </w:p>
    <w:p w:rsidR="00700849" w:rsidRPr="003C0842" w:rsidRDefault="00700849" w:rsidP="00700849">
      <w:pPr>
        <w:shd w:val="clear" w:color="auto" w:fill="FFFFFF"/>
        <w:suppressAutoHyphens/>
        <w:spacing w:line="360" w:lineRule="auto"/>
        <w:ind w:right="40" w:firstLine="840"/>
        <w:rPr>
          <w:color w:val="000000"/>
        </w:rPr>
      </w:pPr>
      <w:r w:rsidRPr="003C0842">
        <w:rPr>
          <w:color w:val="000000"/>
        </w:rPr>
        <w:t>Aklamacja Zgromadzenia w dniu 8 września 1926 r. była próbą usatysfakcjonowania społeczeństwa niemieckiego. Tę samą rolę miało spełnić przyjacielskie i serdeczne przemówienie Briandawitającego delegację niemiecką w sali Zgromadzenia. Ogromne zainteresowanie, jakie towarzyszyło temu wydarzeniu, stało się wszakże źródłem odnotowanych już wyżej wątpliwości. W prasie, zwłaszcza związanej z obozem francuskim, mnożyły się pytania dotyczące słuszności tak serdecznego przyjęcia Niemiec w Genewie. Przecież ,,szowinizm niemiecki przyczaił się na razie, ale zgoła nie wymarł, a w pewnych sferach niemieckich nawet wciąż dominuje. Z tego powodu można nawet mniemać, że i z punktu widzenia samych Niemiec stało się źle, iż ich wielkie winy zostały im tak prędko puszczone w niepamięć. Pewne minimum pedagogiki niezbędnym jest w życiu jednostek, lecz i w życiu narodów; bezkarność prowadzi do nowych win i rezultat tego będzie ten, że atmosfera panująca w Genewie w dzień przyjęcia Niemiec do Ligi rozzuchwali z natury rzeczy owe nieprzejednane żywioły niemieckie, które po dawnemu będą ciągle bruździć i wstrzymywać naród niemiecki od ostatecznego wejścia na drogę wyraźnego pacyfizmu”</w:t>
      </w:r>
      <w:r w:rsidRPr="003C0842">
        <w:rPr>
          <w:rStyle w:val="Odwoanieprzypisudolnego"/>
          <w:rFonts w:ascii="Times New Roman" w:hAnsi="Times New Roman"/>
          <w:color w:val="000000"/>
          <w:sz w:val="24"/>
        </w:rPr>
        <w:footnoteReference w:id="494"/>
      </w:r>
      <w:r w:rsidRPr="003C0842">
        <w:rPr>
          <w:color w:val="000000"/>
        </w:rPr>
        <w:t>.</w:t>
      </w:r>
    </w:p>
    <w:p w:rsidR="00700849" w:rsidRPr="003C0842" w:rsidRDefault="00700849" w:rsidP="00700849">
      <w:pPr>
        <w:shd w:val="clear" w:color="auto" w:fill="FFFFFF"/>
        <w:suppressAutoHyphens/>
        <w:spacing w:line="360" w:lineRule="auto"/>
        <w:ind w:right="40" w:firstLine="840"/>
        <w:rPr>
          <w:color w:val="000000"/>
        </w:rPr>
      </w:pPr>
      <w:r w:rsidRPr="003C0842">
        <w:rPr>
          <w:color w:val="000000"/>
        </w:rPr>
        <w:t xml:space="preserve">Podniesione wątpliwości wynikały z generalnej, manifestowanej nienawiści ogółu Niemców do systemu wersalskiego. Wybitne miejsce zawarowane w tym systemie dla Ligi Narodów budziło jednoznaczne skojarzenia. Wymaga podkreślania i stałej pamięci roszczeniowy charakter dla akceptacji udziału w pracach genewskich. Była ona obwarowana istotnymi warunkami formułowanymi przez rząd, który podlegał silnej presji ze strony społeczeństwa niemieckiego. Skoro nadrzędnym jego celem było wyzbycie się ograniczeń traktatowych, to trzeba się przychylić do poglądu o destrukcyjnym wpływie obecności Niemiec w Genewie. Jakkolwiek sam fakt wstąpienia może uchodzić za apogeum nadziei wiązanych z dobrodziejstwem instytucji genewskiej, to jednak rychło okazało się, że </w:t>
      </w:r>
      <w:r w:rsidRPr="003C0842">
        <w:rPr>
          <w:color w:val="000000"/>
        </w:rPr>
        <w:lastRenderedPageBreak/>
        <w:t>niezadowolenie z osiąganych rezultatów powiększało liczbę osób krytycznie oceniających przydatność Ligi dla polityki niemieckiej. Także w Genewie, jako synonimie Ligi, zachwyty nie było ani jednolite ani powszechne.</w:t>
      </w:r>
    </w:p>
    <w:p w:rsidR="00E25880" w:rsidRPr="003C0842" w:rsidRDefault="00E25880" w:rsidP="00E25880">
      <w:pPr>
        <w:pStyle w:val="Tekstprzypisudolnego"/>
        <w:spacing w:line="240" w:lineRule="auto"/>
        <w:ind w:firstLine="0"/>
        <w:rPr>
          <w:b/>
          <w:sz w:val="24"/>
          <w:szCs w:val="24"/>
        </w:rPr>
      </w:pPr>
    </w:p>
    <w:p w:rsidR="00685D78" w:rsidRPr="003C0842" w:rsidRDefault="00685D78" w:rsidP="00685D78">
      <w:pPr>
        <w:pStyle w:val="Tekstprzypisudolnego"/>
        <w:spacing w:line="240" w:lineRule="auto"/>
        <w:ind w:firstLine="709"/>
        <w:jc w:val="center"/>
        <w:rPr>
          <w:b/>
          <w:sz w:val="24"/>
          <w:szCs w:val="24"/>
        </w:rPr>
      </w:pPr>
    </w:p>
    <w:p w:rsidR="00C36A56" w:rsidRPr="003C0842" w:rsidRDefault="00C36A56" w:rsidP="00685D78">
      <w:pPr>
        <w:pStyle w:val="Tekstprzypisudolnego"/>
        <w:spacing w:line="240" w:lineRule="auto"/>
        <w:ind w:firstLine="709"/>
        <w:jc w:val="center"/>
        <w:rPr>
          <w:b/>
          <w:sz w:val="24"/>
          <w:szCs w:val="24"/>
        </w:rPr>
      </w:pPr>
    </w:p>
    <w:p w:rsidR="00C36A56" w:rsidRPr="003C0842" w:rsidRDefault="00C36A56" w:rsidP="00685D78">
      <w:pPr>
        <w:pStyle w:val="Tekstprzypisudolnego"/>
        <w:spacing w:line="240" w:lineRule="auto"/>
        <w:ind w:firstLine="709"/>
        <w:jc w:val="center"/>
        <w:rPr>
          <w:b/>
          <w:sz w:val="24"/>
          <w:szCs w:val="24"/>
        </w:rPr>
      </w:pPr>
    </w:p>
    <w:p w:rsidR="00C36A56" w:rsidRPr="003C0842" w:rsidRDefault="00C36A56" w:rsidP="00685D78">
      <w:pPr>
        <w:pStyle w:val="Tekstprzypisudolnego"/>
        <w:spacing w:line="240" w:lineRule="auto"/>
        <w:ind w:firstLine="709"/>
        <w:jc w:val="center"/>
        <w:rPr>
          <w:b/>
          <w:sz w:val="24"/>
          <w:szCs w:val="24"/>
        </w:rPr>
      </w:pPr>
    </w:p>
    <w:p w:rsidR="00C36A56" w:rsidRPr="003C0842" w:rsidRDefault="00C36A56" w:rsidP="00685D78">
      <w:pPr>
        <w:pStyle w:val="Tekstprzypisudolnego"/>
        <w:spacing w:line="240" w:lineRule="auto"/>
        <w:ind w:firstLine="709"/>
        <w:jc w:val="center"/>
        <w:rPr>
          <w:b/>
          <w:sz w:val="24"/>
          <w:szCs w:val="24"/>
        </w:rPr>
      </w:pPr>
    </w:p>
    <w:p w:rsidR="00C36A56" w:rsidRPr="003C0842" w:rsidRDefault="00C36A56" w:rsidP="00685D78">
      <w:pPr>
        <w:pStyle w:val="Tekstprzypisudolnego"/>
        <w:spacing w:line="240" w:lineRule="auto"/>
        <w:ind w:firstLine="709"/>
        <w:jc w:val="center"/>
        <w:rPr>
          <w:b/>
          <w:sz w:val="24"/>
          <w:szCs w:val="24"/>
        </w:rPr>
      </w:pPr>
    </w:p>
    <w:p w:rsidR="00C36A56" w:rsidRPr="003C0842" w:rsidRDefault="00C36A56" w:rsidP="00685D78">
      <w:pPr>
        <w:pStyle w:val="Tekstprzypisudolnego"/>
        <w:spacing w:line="240" w:lineRule="auto"/>
        <w:ind w:firstLine="709"/>
        <w:jc w:val="center"/>
        <w:rPr>
          <w:b/>
          <w:sz w:val="24"/>
          <w:szCs w:val="24"/>
        </w:rPr>
      </w:pPr>
    </w:p>
    <w:p w:rsidR="00C36A56" w:rsidRPr="003C0842" w:rsidRDefault="00C36A56" w:rsidP="00685D78">
      <w:pPr>
        <w:pStyle w:val="Tekstprzypisudolnego"/>
        <w:spacing w:line="240" w:lineRule="auto"/>
        <w:ind w:firstLine="709"/>
        <w:jc w:val="center"/>
        <w:rPr>
          <w:b/>
          <w:sz w:val="24"/>
          <w:szCs w:val="24"/>
        </w:rPr>
      </w:pPr>
    </w:p>
    <w:p w:rsidR="00C36A56" w:rsidRPr="003C0842" w:rsidRDefault="00C36A56" w:rsidP="00685D78">
      <w:pPr>
        <w:pStyle w:val="Tekstprzypisudolnego"/>
        <w:spacing w:line="240" w:lineRule="auto"/>
        <w:ind w:firstLine="709"/>
        <w:jc w:val="center"/>
        <w:rPr>
          <w:b/>
          <w:sz w:val="24"/>
          <w:szCs w:val="24"/>
        </w:rPr>
      </w:pPr>
    </w:p>
    <w:p w:rsidR="00C36A56" w:rsidRPr="003C0842" w:rsidRDefault="00C36A56" w:rsidP="00685D78">
      <w:pPr>
        <w:pStyle w:val="Tekstprzypisudolnego"/>
        <w:spacing w:line="240" w:lineRule="auto"/>
        <w:ind w:firstLine="709"/>
        <w:jc w:val="center"/>
        <w:rPr>
          <w:b/>
          <w:sz w:val="24"/>
          <w:szCs w:val="24"/>
        </w:rPr>
      </w:pPr>
    </w:p>
    <w:p w:rsidR="00C36A56" w:rsidRPr="003C0842" w:rsidRDefault="00C36A56" w:rsidP="00685D78">
      <w:pPr>
        <w:pStyle w:val="Tekstprzypisudolnego"/>
        <w:spacing w:line="240" w:lineRule="auto"/>
        <w:ind w:firstLine="709"/>
        <w:jc w:val="center"/>
        <w:rPr>
          <w:b/>
          <w:sz w:val="24"/>
          <w:szCs w:val="24"/>
        </w:rPr>
      </w:pPr>
    </w:p>
    <w:p w:rsidR="00C36A56" w:rsidRPr="003C0842" w:rsidRDefault="00C36A56" w:rsidP="00685D78">
      <w:pPr>
        <w:pStyle w:val="Tekstprzypisudolnego"/>
        <w:spacing w:line="240" w:lineRule="auto"/>
        <w:ind w:firstLine="709"/>
        <w:jc w:val="center"/>
        <w:rPr>
          <w:b/>
          <w:sz w:val="24"/>
          <w:szCs w:val="24"/>
        </w:rPr>
      </w:pPr>
    </w:p>
    <w:p w:rsidR="00C36A56" w:rsidRPr="003C0842" w:rsidRDefault="00C36A56" w:rsidP="00685D78">
      <w:pPr>
        <w:pStyle w:val="Tekstprzypisudolnego"/>
        <w:spacing w:line="240" w:lineRule="auto"/>
        <w:ind w:firstLine="709"/>
        <w:jc w:val="center"/>
        <w:rPr>
          <w:b/>
          <w:sz w:val="24"/>
          <w:szCs w:val="24"/>
        </w:rPr>
      </w:pPr>
    </w:p>
    <w:p w:rsidR="00DC36AE" w:rsidRPr="003C0842" w:rsidRDefault="00685D78" w:rsidP="00685D78">
      <w:pPr>
        <w:pStyle w:val="Tekstprzypisudolnego"/>
        <w:spacing w:line="240" w:lineRule="auto"/>
        <w:ind w:firstLine="709"/>
        <w:jc w:val="center"/>
        <w:rPr>
          <w:b/>
          <w:sz w:val="24"/>
          <w:szCs w:val="24"/>
        </w:rPr>
      </w:pPr>
      <w:r w:rsidRPr="003C0842">
        <w:rPr>
          <w:b/>
          <w:sz w:val="24"/>
          <w:szCs w:val="24"/>
        </w:rPr>
        <w:t>Źródła i literatura</w:t>
      </w:r>
    </w:p>
    <w:p w:rsidR="00685D78" w:rsidRPr="003C0842" w:rsidRDefault="00DC36AE" w:rsidP="00685D78">
      <w:pPr>
        <w:pStyle w:val="Tekstprzypisudolnego"/>
        <w:spacing w:line="240" w:lineRule="auto"/>
        <w:ind w:firstLine="709"/>
        <w:jc w:val="center"/>
        <w:rPr>
          <w:b/>
          <w:sz w:val="24"/>
          <w:szCs w:val="24"/>
        </w:rPr>
      </w:pPr>
      <w:r w:rsidRPr="003C0842">
        <w:rPr>
          <w:b/>
          <w:sz w:val="24"/>
          <w:szCs w:val="24"/>
        </w:rPr>
        <w:t>wy</w:t>
      </w:r>
      <w:r w:rsidR="009C388F" w:rsidRPr="003C0842">
        <w:rPr>
          <w:b/>
          <w:sz w:val="24"/>
          <w:szCs w:val="24"/>
        </w:rPr>
        <w:t>stępujące</w:t>
      </w:r>
      <w:r w:rsidRPr="003C0842">
        <w:rPr>
          <w:b/>
          <w:sz w:val="24"/>
          <w:szCs w:val="24"/>
        </w:rPr>
        <w:t xml:space="preserve"> w książce</w:t>
      </w:r>
    </w:p>
    <w:p w:rsidR="004E68B5" w:rsidRPr="003C0842" w:rsidRDefault="009C388F" w:rsidP="00685D78">
      <w:pPr>
        <w:pStyle w:val="Tekstprzypisudolnego"/>
        <w:spacing w:line="240" w:lineRule="auto"/>
        <w:ind w:firstLine="709"/>
        <w:jc w:val="center"/>
        <w:rPr>
          <w:b/>
          <w:color w:val="FF0000"/>
          <w:sz w:val="24"/>
          <w:szCs w:val="24"/>
        </w:rPr>
      </w:pPr>
      <w:r w:rsidRPr="003C0842">
        <w:rPr>
          <w:b/>
          <w:color w:val="FF0000"/>
          <w:sz w:val="24"/>
          <w:szCs w:val="24"/>
        </w:rPr>
        <w:t xml:space="preserve">obecne, </w:t>
      </w:r>
      <w:r w:rsidR="004E68B5" w:rsidRPr="003C0842">
        <w:rPr>
          <w:b/>
          <w:color w:val="FF0000"/>
          <w:sz w:val="24"/>
          <w:szCs w:val="24"/>
        </w:rPr>
        <w:t>przytoczone, wymienione, przywołane</w:t>
      </w:r>
    </w:p>
    <w:p w:rsidR="00685D78" w:rsidRPr="003C0842" w:rsidRDefault="00685D78" w:rsidP="00685D78">
      <w:pPr>
        <w:pStyle w:val="Tekstprzypisudolnego"/>
        <w:spacing w:line="240" w:lineRule="auto"/>
        <w:ind w:firstLine="709"/>
        <w:jc w:val="center"/>
        <w:rPr>
          <w:b/>
          <w:sz w:val="24"/>
          <w:szCs w:val="24"/>
        </w:rPr>
      </w:pPr>
    </w:p>
    <w:p w:rsidR="00685D78" w:rsidRPr="003C0842" w:rsidRDefault="00685D78" w:rsidP="00685D78">
      <w:pPr>
        <w:pStyle w:val="Tekstprzypisudolnego"/>
        <w:spacing w:line="240" w:lineRule="auto"/>
        <w:ind w:firstLine="709"/>
        <w:jc w:val="center"/>
        <w:rPr>
          <w:b/>
          <w:sz w:val="24"/>
          <w:szCs w:val="24"/>
        </w:rPr>
      </w:pPr>
      <w:r w:rsidRPr="003C0842">
        <w:rPr>
          <w:b/>
          <w:sz w:val="24"/>
          <w:szCs w:val="24"/>
        </w:rPr>
        <w:t>Archiwalia</w:t>
      </w:r>
    </w:p>
    <w:p w:rsidR="007106A1" w:rsidRPr="003C0842" w:rsidRDefault="007106A1" w:rsidP="00685D78">
      <w:pPr>
        <w:pStyle w:val="Tekstprzypisudolnego"/>
        <w:spacing w:line="240" w:lineRule="auto"/>
        <w:ind w:firstLine="709"/>
        <w:jc w:val="center"/>
        <w:rPr>
          <w:b/>
          <w:sz w:val="24"/>
          <w:szCs w:val="24"/>
        </w:rPr>
      </w:pPr>
    </w:p>
    <w:p w:rsidR="007106A1" w:rsidRPr="003C0842" w:rsidRDefault="00685D78" w:rsidP="009C388F">
      <w:pPr>
        <w:pStyle w:val="Tekstprzypisudolnego"/>
        <w:spacing w:line="240" w:lineRule="auto"/>
        <w:ind w:left="709" w:hanging="709"/>
        <w:jc w:val="left"/>
        <w:rPr>
          <w:sz w:val="24"/>
          <w:szCs w:val="24"/>
        </w:rPr>
      </w:pPr>
      <w:r w:rsidRPr="003C0842">
        <w:rPr>
          <w:sz w:val="24"/>
          <w:szCs w:val="24"/>
        </w:rPr>
        <w:t>Archiwum Akt Nowych (AAN)</w:t>
      </w:r>
    </w:p>
    <w:p w:rsidR="00D51FAE" w:rsidRPr="003C0842" w:rsidRDefault="00164234" w:rsidP="007106A1">
      <w:pPr>
        <w:pStyle w:val="Tekstprzypisudolnego"/>
        <w:spacing w:line="240" w:lineRule="auto"/>
        <w:ind w:left="1049" w:hanging="709"/>
        <w:jc w:val="left"/>
        <w:rPr>
          <w:sz w:val="24"/>
          <w:szCs w:val="24"/>
        </w:rPr>
      </w:pPr>
      <w:r w:rsidRPr="003C0842">
        <w:rPr>
          <w:sz w:val="24"/>
          <w:szCs w:val="24"/>
        </w:rPr>
        <w:t>–</w:t>
      </w:r>
      <w:r w:rsidR="003B5281" w:rsidRPr="003C0842">
        <w:rPr>
          <w:sz w:val="24"/>
          <w:szCs w:val="24"/>
        </w:rPr>
        <w:t xml:space="preserve">Ambasada Londyn </w:t>
      </w:r>
    </w:p>
    <w:p w:rsidR="00685D78" w:rsidRPr="003C0842" w:rsidRDefault="00164234" w:rsidP="007106A1">
      <w:pPr>
        <w:pStyle w:val="Tekstprzypisudolnego"/>
        <w:spacing w:line="240" w:lineRule="auto"/>
        <w:ind w:left="1049" w:hanging="709"/>
        <w:jc w:val="left"/>
        <w:rPr>
          <w:sz w:val="24"/>
          <w:szCs w:val="24"/>
        </w:rPr>
      </w:pPr>
      <w:r w:rsidRPr="003C0842">
        <w:rPr>
          <w:sz w:val="24"/>
          <w:szCs w:val="24"/>
        </w:rPr>
        <w:t>–</w:t>
      </w:r>
      <w:r w:rsidR="003B5281" w:rsidRPr="003C0842">
        <w:rPr>
          <w:sz w:val="24"/>
          <w:szCs w:val="24"/>
        </w:rPr>
        <w:t>Ambasada Berlin</w:t>
      </w:r>
    </w:p>
    <w:p w:rsidR="00685D78" w:rsidRPr="003C0842" w:rsidRDefault="00164234" w:rsidP="007106A1">
      <w:pPr>
        <w:pStyle w:val="Tekstprzypisudolnego"/>
        <w:spacing w:line="240" w:lineRule="auto"/>
        <w:ind w:left="1049" w:hanging="709"/>
        <w:jc w:val="left"/>
        <w:rPr>
          <w:sz w:val="24"/>
          <w:szCs w:val="24"/>
        </w:rPr>
      </w:pPr>
      <w:r w:rsidRPr="003C0842">
        <w:rPr>
          <w:sz w:val="24"/>
          <w:szCs w:val="24"/>
        </w:rPr>
        <w:t>–</w:t>
      </w:r>
      <w:r w:rsidR="00685D78" w:rsidRPr="003C0842">
        <w:rPr>
          <w:sz w:val="24"/>
          <w:szCs w:val="24"/>
        </w:rPr>
        <w:t xml:space="preserve">Ambasada </w:t>
      </w:r>
      <w:r w:rsidR="00D51FAE" w:rsidRPr="003C0842">
        <w:rPr>
          <w:sz w:val="24"/>
          <w:szCs w:val="24"/>
        </w:rPr>
        <w:t>P</w:t>
      </w:r>
      <w:r w:rsidR="00685D78" w:rsidRPr="003C0842">
        <w:rPr>
          <w:sz w:val="24"/>
          <w:szCs w:val="24"/>
        </w:rPr>
        <w:t>aryż</w:t>
      </w:r>
    </w:p>
    <w:p w:rsidR="00685D78" w:rsidRPr="003C0842" w:rsidRDefault="00164234" w:rsidP="007106A1">
      <w:pPr>
        <w:pStyle w:val="Tekstprzypisudolnego"/>
        <w:spacing w:line="240" w:lineRule="auto"/>
        <w:ind w:left="1049" w:hanging="709"/>
        <w:jc w:val="left"/>
        <w:rPr>
          <w:sz w:val="24"/>
          <w:szCs w:val="24"/>
        </w:rPr>
      </w:pPr>
      <w:r w:rsidRPr="003C0842">
        <w:rPr>
          <w:sz w:val="24"/>
          <w:szCs w:val="24"/>
        </w:rPr>
        <w:t>–</w:t>
      </w:r>
      <w:r w:rsidR="00685D78" w:rsidRPr="003C0842">
        <w:rPr>
          <w:sz w:val="24"/>
          <w:szCs w:val="24"/>
        </w:rPr>
        <w:t>Delegacja Rzeczypospolit</w:t>
      </w:r>
      <w:r w:rsidR="004E68B5" w:rsidRPr="003C0842">
        <w:rPr>
          <w:sz w:val="24"/>
          <w:szCs w:val="24"/>
        </w:rPr>
        <w:t>ej Polskiej przy Lidze Narodów</w:t>
      </w:r>
    </w:p>
    <w:p w:rsidR="00685D78" w:rsidRPr="003C0842" w:rsidRDefault="00164234" w:rsidP="007106A1">
      <w:pPr>
        <w:pStyle w:val="Tekstprzypisudolnego"/>
        <w:spacing w:line="360" w:lineRule="auto"/>
        <w:ind w:left="340" w:firstLine="0"/>
        <w:contextualSpacing/>
        <w:rPr>
          <w:sz w:val="24"/>
          <w:szCs w:val="24"/>
          <w:lang w:val="it-IT"/>
        </w:rPr>
      </w:pPr>
      <w:r w:rsidRPr="003C0842">
        <w:rPr>
          <w:sz w:val="24"/>
          <w:szCs w:val="24"/>
          <w:lang w:val="it-IT"/>
        </w:rPr>
        <w:t>–</w:t>
      </w:r>
      <w:r w:rsidR="00685D78" w:rsidRPr="003C0842">
        <w:rPr>
          <w:sz w:val="24"/>
          <w:szCs w:val="24"/>
          <w:lang w:val="it-IT"/>
        </w:rPr>
        <w:t>Ministerstwo Spraw Zagranicznych</w:t>
      </w:r>
    </w:p>
    <w:p w:rsidR="007106A1" w:rsidRPr="003C0842" w:rsidRDefault="007106A1" w:rsidP="007106A1">
      <w:pPr>
        <w:pStyle w:val="Tekstprzypisudolnego"/>
        <w:spacing w:line="360" w:lineRule="auto"/>
        <w:ind w:left="340" w:firstLine="0"/>
        <w:contextualSpacing/>
        <w:rPr>
          <w:sz w:val="24"/>
          <w:szCs w:val="24"/>
          <w:lang w:val="it-IT"/>
        </w:rPr>
      </w:pPr>
    </w:p>
    <w:p w:rsidR="00685D78" w:rsidRPr="003C0842" w:rsidRDefault="00685D78" w:rsidP="007106A1">
      <w:pPr>
        <w:pStyle w:val="Tekstprzypisudolnego"/>
        <w:spacing w:line="360" w:lineRule="auto"/>
        <w:ind w:left="709" w:hanging="709"/>
        <w:contextualSpacing/>
        <w:rPr>
          <w:sz w:val="24"/>
          <w:szCs w:val="24"/>
          <w:lang w:val="fr-FR"/>
        </w:rPr>
      </w:pPr>
      <w:r w:rsidRPr="003C0842">
        <w:rPr>
          <w:sz w:val="24"/>
          <w:szCs w:val="24"/>
          <w:lang w:val="it-IT"/>
        </w:rPr>
        <w:t xml:space="preserve">Archivio Storico Diplomatico, Roma, Affari Politici. </w:t>
      </w:r>
      <w:r w:rsidRPr="003C0842">
        <w:rPr>
          <w:sz w:val="24"/>
          <w:szCs w:val="24"/>
          <w:lang w:val="fr-FR"/>
        </w:rPr>
        <w:t>Lituania, Polonia</w:t>
      </w:r>
    </w:p>
    <w:p w:rsidR="007106A1" w:rsidRPr="003C0842" w:rsidRDefault="00566A5D" w:rsidP="007D72D0">
      <w:pPr>
        <w:pStyle w:val="Nagwek3"/>
        <w:spacing w:line="360" w:lineRule="auto"/>
        <w:ind w:firstLine="0"/>
        <w:contextualSpacing/>
        <w:jc w:val="both"/>
        <w:rPr>
          <w:rFonts w:ascii="Times New Roman" w:hAnsi="Times New Roman"/>
          <w:b w:val="0"/>
          <w:sz w:val="24"/>
          <w:lang w:val="fr-FR"/>
        </w:rPr>
      </w:pPr>
      <w:r w:rsidRPr="003C0842">
        <w:rPr>
          <w:rFonts w:ascii="Times New Roman" w:hAnsi="Times New Roman"/>
          <w:b w:val="0"/>
          <w:sz w:val="24"/>
          <w:lang w:val="fr-FR"/>
        </w:rPr>
        <w:t>Archives de la Société des Nations 1919-1</w:t>
      </w:r>
      <w:r w:rsidR="007D72D0" w:rsidRPr="003C0842">
        <w:rPr>
          <w:rFonts w:ascii="Times New Roman" w:hAnsi="Times New Roman"/>
          <w:b w:val="0"/>
          <w:sz w:val="24"/>
          <w:lang w:val="fr-FR"/>
        </w:rPr>
        <w:t>946</w:t>
      </w:r>
    </w:p>
    <w:p w:rsidR="009459DC" w:rsidRPr="003C0842" w:rsidRDefault="00164234" w:rsidP="003B5281">
      <w:pPr>
        <w:spacing w:line="276" w:lineRule="auto"/>
        <w:rPr>
          <w:lang w:val="fr-FR"/>
        </w:rPr>
      </w:pPr>
      <w:r w:rsidRPr="003C0842">
        <w:rPr>
          <w:lang w:val="fr-FR"/>
        </w:rPr>
        <w:t>–</w:t>
      </w:r>
      <w:r w:rsidR="009459DC" w:rsidRPr="003C0842">
        <w:rPr>
          <w:lang w:val="fr-FR"/>
        </w:rPr>
        <w:t xml:space="preserve"> Council, General, Procès-verbaux, Séances secrets</w:t>
      </w:r>
    </w:p>
    <w:p w:rsidR="009459DC" w:rsidRPr="003C0842" w:rsidRDefault="00164234" w:rsidP="003B5281">
      <w:pPr>
        <w:spacing w:line="276" w:lineRule="auto"/>
        <w:rPr>
          <w:lang w:val="fr-FR"/>
        </w:rPr>
      </w:pPr>
      <w:r w:rsidRPr="003C0842">
        <w:rPr>
          <w:lang w:val="fr-FR"/>
        </w:rPr>
        <w:t>–</w:t>
      </w:r>
      <w:r w:rsidR="009459DC" w:rsidRPr="003C0842">
        <w:rPr>
          <w:lang w:val="fr-FR"/>
        </w:rPr>
        <w:t xml:space="preserve"> Fonds du Secretariat 1919-1927</w:t>
      </w:r>
    </w:p>
    <w:p w:rsidR="003B5281" w:rsidRPr="003C0842" w:rsidRDefault="00164234" w:rsidP="003B5281">
      <w:pPr>
        <w:spacing w:line="276" w:lineRule="auto"/>
        <w:rPr>
          <w:lang w:val="fr-FR"/>
        </w:rPr>
      </w:pPr>
      <w:r w:rsidRPr="003C0842">
        <w:rPr>
          <w:lang w:val="fr-FR"/>
        </w:rPr>
        <w:t>–</w:t>
      </w:r>
      <w:r w:rsidR="009459DC" w:rsidRPr="003C0842">
        <w:rPr>
          <w:lang w:val="fr-FR"/>
        </w:rPr>
        <w:t xml:space="preserve"> Fonds Martin, Conversations 2ème série, </w:t>
      </w:r>
    </w:p>
    <w:p w:rsidR="009459DC" w:rsidRPr="003C0842" w:rsidRDefault="00164234" w:rsidP="003B5281">
      <w:pPr>
        <w:spacing w:line="276" w:lineRule="auto"/>
        <w:rPr>
          <w:lang w:val="fr-FR"/>
        </w:rPr>
      </w:pPr>
      <w:r w:rsidRPr="003C0842">
        <w:rPr>
          <w:lang w:val="fr-FR"/>
        </w:rPr>
        <w:t>–</w:t>
      </w:r>
      <w:r w:rsidR="009459DC" w:rsidRPr="003C0842">
        <w:rPr>
          <w:lang w:val="fr-FR"/>
        </w:rPr>
        <w:t xml:space="preserve"> Fonds Paul Mantoux. P. 31</w:t>
      </w:r>
    </w:p>
    <w:p w:rsidR="003B5281" w:rsidRPr="003C0842" w:rsidRDefault="00164234" w:rsidP="00122B81">
      <w:pPr>
        <w:pStyle w:val="Tekstprzypisudolnego"/>
        <w:spacing w:line="276" w:lineRule="auto"/>
        <w:ind w:left="397" w:firstLine="0"/>
        <w:contextualSpacing/>
        <w:rPr>
          <w:sz w:val="24"/>
          <w:szCs w:val="24"/>
          <w:lang w:val="fr-FR"/>
        </w:rPr>
      </w:pPr>
      <w:r w:rsidRPr="003C0842">
        <w:rPr>
          <w:sz w:val="24"/>
          <w:szCs w:val="24"/>
          <w:lang w:val="fr-FR"/>
        </w:rPr>
        <w:t>–</w:t>
      </w:r>
      <w:r w:rsidR="003B5281" w:rsidRPr="003C0842">
        <w:rPr>
          <w:sz w:val="24"/>
          <w:szCs w:val="24"/>
          <w:lang w:val="fr-FR"/>
        </w:rPr>
        <w:t xml:space="preserve"> Fonds Section du Poltique</w:t>
      </w:r>
    </w:p>
    <w:p w:rsidR="009459DC" w:rsidRPr="003C0842" w:rsidRDefault="00164234" w:rsidP="00122B81">
      <w:pPr>
        <w:pStyle w:val="Tekstprzypisudolnego"/>
        <w:spacing w:line="276" w:lineRule="auto"/>
        <w:ind w:left="397" w:firstLine="0"/>
        <w:contextualSpacing/>
        <w:rPr>
          <w:sz w:val="24"/>
          <w:szCs w:val="24"/>
          <w:lang w:val="fr-FR"/>
        </w:rPr>
      </w:pPr>
      <w:r w:rsidRPr="003C0842">
        <w:rPr>
          <w:sz w:val="24"/>
          <w:szCs w:val="24"/>
          <w:lang w:val="fr-FR"/>
        </w:rPr>
        <w:t>–</w:t>
      </w:r>
      <w:r w:rsidR="009459DC" w:rsidRPr="003C0842">
        <w:rPr>
          <w:sz w:val="24"/>
          <w:szCs w:val="24"/>
          <w:lang w:val="fr-FR"/>
        </w:rPr>
        <w:t xml:space="preserve"> Services d’Information</w:t>
      </w:r>
    </w:p>
    <w:p w:rsidR="00685D78" w:rsidRPr="003C0842" w:rsidRDefault="00122B81" w:rsidP="00122B81">
      <w:pPr>
        <w:pStyle w:val="Tekstprzypisudolnego"/>
        <w:spacing w:line="276" w:lineRule="auto"/>
        <w:ind w:left="397" w:firstLine="0"/>
        <w:contextualSpacing/>
        <w:rPr>
          <w:sz w:val="24"/>
          <w:szCs w:val="24"/>
          <w:lang w:val="fr-FR"/>
        </w:rPr>
      </w:pPr>
      <w:r w:rsidRPr="003C0842">
        <w:rPr>
          <w:sz w:val="24"/>
          <w:szCs w:val="24"/>
          <w:lang w:val="fr-FR"/>
        </w:rPr>
        <w:t>–</w:t>
      </w:r>
      <w:r w:rsidR="00685D78" w:rsidRPr="003C0842">
        <w:rPr>
          <w:sz w:val="24"/>
          <w:szCs w:val="24"/>
          <w:lang w:val="fr-FR"/>
        </w:rPr>
        <w:t xml:space="preserve"> S</w:t>
      </w:r>
      <w:r w:rsidR="009459DC" w:rsidRPr="003C0842">
        <w:rPr>
          <w:sz w:val="24"/>
          <w:szCs w:val="24"/>
          <w:lang w:val="fr-FR"/>
        </w:rPr>
        <w:t>ervices Intérieurs et du Personel (</w:t>
      </w:r>
      <w:r w:rsidR="00685D78" w:rsidRPr="003C0842">
        <w:rPr>
          <w:sz w:val="24"/>
          <w:szCs w:val="24"/>
          <w:lang w:val="fr-FR"/>
        </w:rPr>
        <w:t>Bureau Personnel</w:t>
      </w:r>
      <w:r w:rsidR="009459DC" w:rsidRPr="003C0842">
        <w:rPr>
          <w:sz w:val="24"/>
          <w:szCs w:val="24"/>
          <w:lang w:val="fr-FR"/>
        </w:rPr>
        <w:t xml:space="preserve">, </w:t>
      </w:r>
      <w:r w:rsidR="00685D78" w:rsidRPr="003C0842">
        <w:rPr>
          <w:sz w:val="24"/>
          <w:szCs w:val="24"/>
          <w:lang w:val="fr-FR"/>
        </w:rPr>
        <w:t>Dossiers du Personnel 1926, 1928</w:t>
      </w:r>
      <w:r w:rsidR="009459DC" w:rsidRPr="003C0842">
        <w:rPr>
          <w:sz w:val="24"/>
          <w:szCs w:val="24"/>
          <w:lang w:val="fr-FR"/>
        </w:rPr>
        <w:t>)</w:t>
      </w:r>
    </w:p>
    <w:p w:rsidR="00685D78" w:rsidRPr="003C0842" w:rsidRDefault="00164234" w:rsidP="00122B81">
      <w:pPr>
        <w:pStyle w:val="Tekstprzypisudolnego"/>
        <w:spacing w:line="360" w:lineRule="auto"/>
        <w:ind w:left="397" w:firstLine="0"/>
        <w:contextualSpacing/>
        <w:rPr>
          <w:sz w:val="24"/>
          <w:szCs w:val="24"/>
          <w:lang w:val="en-US"/>
        </w:rPr>
      </w:pPr>
      <w:r w:rsidRPr="003C0842">
        <w:rPr>
          <w:sz w:val="24"/>
          <w:szCs w:val="24"/>
          <w:lang w:val="en-US"/>
        </w:rPr>
        <w:t>–</w:t>
      </w:r>
      <w:r w:rsidR="00685D78" w:rsidRPr="003C0842">
        <w:rPr>
          <w:sz w:val="24"/>
          <w:szCs w:val="24"/>
          <w:lang w:val="en-US"/>
        </w:rPr>
        <w:t>ASDN</w:t>
      </w:r>
      <w:r w:rsidR="0071202F" w:rsidRPr="003C0842">
        <w:rPr>
          <w:sz w:val="24"/>
          <w:szCs w:val="24"/>
          <w:lang w:val="en-US"/>
        </w:rPr>
        <w:t>,</w:t>
      </w:r>
      <w:r w:rsidR="00685D78" w:rsidRPr="003C0842">
        <w:rPr>
          <w:sz w:val="24"/>
          <w:szCs w:val="24"/>
          <w:lang w:val="en-US"/>
        </w:rPr>
        <w:t>11/5948/4192; R. 572</w:t>
      </w:r>
    </w:p>
    <w:p w:rsidR="00BD56B3" w:rsidRDefault="00164234" w:rsidP="00122B81">
      <w:pPr>
        <w:pStyle w:val="Tekstprzypisudolnego"/>
        <w:spacing w:line="360" w:lineRule="auto"/>
        <w:ind w:left="397" w:firstLine="0"/>
        <w:contextualSpacing/>
        <w:rPr>
          <w:sz w:val="24"/>
          <w:szCs w:val="24"/>
          <w:lang w:val="en-US"/>
        </w:rPr>
      </w:pPr>
      <w:r w:rsidRPr="003C0842">
        <w:rPr>
          <w:sz w:val="24"/>
          <w:szCs w:val="24"/>
          <w:lang w:val="en-US"/>
        </w:rPr>
        <w:t>–</w:t>
      </w:r>
      <w:r w:rsidR="00685D78" w:rsidRPr="003C0842">
        <w:rPr>
          <w:sz w:val="24"/>
          <w:szCs w:val="24"/>
          <w:lang w:val="en-US"/>
        </w:rPr>
        <w:t>ASDN, 14/9887/2385,R</w:t>
      </w:r>
      <w:r w:rsidR="0071202F" w:rsidRPr="003C0842">
        <w:rPr>
          <w:sz w:val="24"/>
          <w:szCs w:val="24"/>
          <w:lang w:val="en-US"/>
        </w:rPr>
        <w:t>.</w:t>
      </w:r>
      <w:r w:rsidR="00685D78" w:rsidRPr="003C0842">
        <w:rPr>
          <w:sz w:val="24"/>
          <w:szCs w:val="24"/>
          <w:lang w:val="en-US"/>
        </w:rPr>
        <w:t xml:space="preserve"> 6228</w:t>
      </w:r>
      <w:r w:rsidR="004E68B5" w:rsidRPr="003C0842">
        <w:rPr>
          <w:sz w:val="24"/>
          <w:szCs w:val="24"/>
          <w:lang w:val="en-US"/>
        </w:rPr>
        <w:t>, Secret Meetings</w:t>
      </w:r>
    </w:p>
    <w:p w:rsidR="000254E2" w:rsidRPr="003C0842" w:rsidRDefault="00164234" w:rsidP="00122B81">
      <w:pPr>
        <w:pStyle w:val="Tekstprzypisudolnego"/>
        <w:spacing w:line="360" w:lineRule="auto"/>
        <w:ind w:left="397" w:firstLine="0"/>
        <w:contextualSpacing/>
        <w:rPr>
          <w:sz w:val="24"/>
          <w:szCs w:val="24"/>
          <w:lang w:val="fr-FR"/>
        </w:rPr>
      </w:pPr>
      <w:r w:rsidRPr="003C0842">
        <w:rPr>
          <w:sz w:val="24"/>
          <w:szCs w:val="24"/>
          <w:lang w:val="fr-FR"/>
        </w:rPr>
        <w:t>–</w:t>
      </w:r>
      <w:r w:rsidR="00685D78" w:rsidRPr="003C0842">
        <w:rPr>
          <w:sz w:val="24"/>
          <w:szCs w:val="24"/>
          <w:lang w:val="fr-FR"/>
        </w:rPr>
        <w:t>ASDN, 27/49488/48486, R</w:t>
      </w:r>
      <w:r w:rsidR="0071202F" w:rsidRPr="003C0842">
        <w:rPr>
          <w:sz w:val="24"/>
          <w:szCs w:val="24"/>
          <w:lang w:val="fr-FR"/>
        </w:rPr>
        <w:t>.</w:t>
      </w:r>
      <w:r w:rsidR="00685D78" w:rsidRPr="003C0842">
        <w:rPr>
          <w:sz w:val="24"/>
          <w:szCs w:val="24"/>
          <w:lang w:val="fr-FR"/>
        </w:rPr>
        <w:t xml:space="preserve"> 1439</w:t>
      </w:r>
      <w:r w:rsidR="000254E2" w:rsidRPr="003C0842">
        <w:rPr>
          <w:sz w:val="24"/>
          <w:szCs w:val="24"/>
          <w:lang w:val="fr-FR"/>
        </w:rPr>
        <w:t>, Dossier secret gardé à la Chambre forte de la Bibliothèque</w:t>
      </w:r>
    </w:p>
    <w:p w:rsidR="00685D78" w:rsidRPr="003C0842" w:rsidRDefault="00164234" w:rsidP="00122B81">
      <w:pPr>
        <w:pStyle w:val="Tekstprzypisudolnego"/>
        <w:spacing w:line="360" w:lineRule="auto"/>
        <w:ind w:left="397" w:firstLine="0"/>
        <w:contextualSpacing/>
        <w:rPr>
          <w:sz w:val="24"/>
          <w:szCs w:val="24"/>
          <w:lang w:val="fr-FR"/>
        </w:rPr>
      </w:pPr>
      <w:r w:rsidRPr="003C0842">
        <w:rPr>
          <w:sz w:val="24"/>
          <w:szCs w:val="24"/>
          <w:lang w:val="fr-FR"/>
        </w:rPr>
        <w:lastRenderedPageBreak/>
        <w:t>–</w:t>
      </w:r>
      <w:r w:rsidR="00685D78" w:rsidRPr="003C0842">
        <w:rPr>
          <w:sz w:val="24"/>
          <w:szCs w:val="24"/>
          <w:lang w:val="fr-FR"/>
        </w:rPr>
        <w:t>ASDN, 27/50207/49486, R</w:t>
      </w:r>
      <w:r w:rsidR="0071202F" w:rsidRPr="003C0842">
        <w:rPr>
          <w:sz w:val="24"/>
          <w:szCs w:val="24"/>
          <w:lang w:val="fr-FR"/>
        </w:rPr>
        <w:t>.</w:t>
      </w:r>
      <w:r w:rsidR="00685D78" w:rsidRPr="003C0842">
        <w:rPr>
          <w:sz w:val="24"/>
          <w:szCs w:val="24"/>
          <w:lang w:val="fr-FR"/>
        </w:rPr>
        <w:t xml:space="preserve"> 1439</w:t>
      </w:r>
    </w:p>
    <w:p w:rsidR="00685D78" w:rsidRPr="003C0842" w:rsidRDefault="00164234" w:rsidP="00122B81">
      <w:pPr>
        <w:pStyle w:val="Tekstprzypisudolnego"/>
        <w:spacing w:line="360" w:lineRule="auto"/>
        <w:ind w:left="397" w:firstLine="0"/>
        <w:contextualSpacing/>
        <w:rPr>
          <w:sz w:val="24"/>
          <w:szCs w:val="24"/>
          <w:lang w:val="fr-FR"/>
        </w:rPr>
      </w:pPr>
      <w:r w:rsidRPr="003C0842">
        <w:rPr>
          <w:sz w:val="24"/>
          <w:szCs w:val="24"/>
          <w:lang w:val="fr-FR"/>
        </w:rPr>
        <w:t>–</w:t>
      </w:r>
      <w:r w:rsidR="00DC36AE" w:rsidRPr="003C0842">
        <w:rPr>
          <w:sz w:val="24"/>
          <w:szCs w:val="24"/>
          <w:lang w:val="fr-FR"/>
        </w:rPr>
        <w:t xml:space="preserve">ASDN, </w:t>
      </w:r>
      <w:r w:rsidR="00685D78" w:rsidRPr="003C0842">
        <w:rPr>
          <w:sz w:val="24"/>
          <w:szCs w:val="24"/>
          <w:lang w:val="fr-FR"/>
        </w:rPr>
        <w:t>27/49936/49466; R. 1439, Lettre du Déléqué de la Chine, Genève, le 15 mars 1926</w:t>
      </w:r>
    </w:p>
    <w:p w:rsidR="00685D78" w:rsidRPr="003C0842" w:rsidRDefault="00164234" w:rsidP="00122B81">
      <w:pPr>
        <w:pStyle w:val="Tekstprzypisudolnego"/>
        <w:spacing w:line="360" w:lineRule="auto"/>
        <w:ind w:left="397" w:firstLine="0"/>
        <w:contextualSpacing/>
        <w:rPr>
          <w:sz w:val="24"/>
          <w:szCs w:val="24"/>
          <w:lang w:val="en-US"/>
        </w:rPr>
      </w:pPr>
      <w:r w:rsidRPr="003C0842">
        <w:rPr>
          <w:sz w:val="24"/>
          <w:szCs w:val="24"/>
          <w:lang w:val="en-US"/>
        </w:rPr>
        <w:t>–</w:t>
      </w:r>
      <w:r w:rsidR="00685D78" w:rsidRPr="003C0842">
        <w:rPr>
          <w:sz w:val="24"/>
          <w:szCs w:val="24"/>
          <w:lang w:val="en-US"/>
        </w:rPr>
        <w:t>ASDN, 27/49486/49486, R: 1939</w:t>
      </w:r>
    </w:p>
    <w:p w:rsidR="00685D78" w:rsidRPr="003C0842" w:rsidRDefault="00164234" w:rsidP="00122B81">
      <w:pPr>
        <w:pStyle w:val="Tekstprzypisudolnego"/>
        <w:spacing w:line="360" w:lineRule="auto"/>
        <w:ind w:left="397" w:firstLine="0"/>
        <w:contextualSpacing/>
        <w:rPr>
          <w:sz w:val="24"/>
          <w:szCs w:val="24"/>
          <w:lang w:val="en-US"/>
        </w:rPr>
      </w:pPr>
      <w:r w:rsidRPr="003C0842">
        <w:rPr>
          <w:sz w:val="24"/>
          <w:szCs w:val="24"/>
          <w:lang w:val="en-US"/>
        </w:rPr>
        <w:t>–</w:t>
      </w:r>
      <w:r w:rsidR="00DC36AE" w:rsidRPr="003C0842">
        <w:rPr>
          <w:sz w:val="24"/>
          <w:szCs w:val="24"/>
          <w:lang w:val="en-US"/>
        </w:rPr>
        <w:t xml:space="preserve">ASDN, </w:t>
      </w:r>
      <w:r w:rsidR="00685D78" w:rsidRPr="003C0842">
        <w:rPr>
          <w:sz w:val="24"/>
          <w:szCs w:val="24"/>
          <w:lang w:val="en-US"/>
        </w:rPr>
        <w:t>27/51305/50426, R: 1441</w:t>
      </w:r>
    </w:p>
    <w:p w:rsidR="00685D78" w:rsidRPr="003C0842" w:rsidRDefault="00164234" w:rsidP="00122B81">
      <w:pPr>
        <w:pStyle w:val="Tekstprzypisudolnego"/>
        <w:spacing w:line="360" w:lineRule="auto"/>
        <w:ind w:left="397" w:firstLine="0"/>
        <w:contextualSpacing/>
        <w:rPr>
          <w:sz w:val="24"/>
          <w:szCs w:val="24"/>
          <w:lang w:val="en-US"/>
        </w:rPr>
      </w:pPr>
      <w:r w:rsidRPr="003C0842">
        <w:rPr>
          <w:sz w:val="24"/>
          <w:szCs w:val="24"/>
          <w:lang w:val="en-US"/>
        </w:rPr>
        <w:t>–</w:t>
      </w:r>
      <w:r w:rsidR="00DC36AE" w:rsidRPr="003C0842">
        <w:rPr>
          <w:sz w:val="24"/>
          <w:szCs w:val="24"/>
          <w:lang w:val="en-US"/>
        </w:rPr>
        <w:t xml:space="preserve">ASDN, </w:t>
      </w:r>
      <w:r w:rsidR="00685D78" w:rsidRPr="003C0842">
        <w:rPr>
          <w:sz w:val="24"/>
          <w:szCs w:val="24"/>
          <w:lang w:val="en-US"/>
        </w:rPr>
        <w:t>27/50778/50424, R: 1441</w:t>
      </w:r>
    </w:p>
    <w:p w:rsidR="00685D78" w:rsidRPr="003C0842" w:rsidRDefault="00164234" w:rsidP="00122B81">
      <w:pPr>
        <w:pStyle w:val="Tekstprzypisudolnego"/>
        <w:spacing w:line="360" w:lineRule="auto"/>
        <w:ind w:left="397" w:firstLine="0"/>
        <w:contextualSpacing/>
        <w:rPr>
          <w:sz w:val="24"/>
          <w:szCs w:val="24"/>
          <w:lang w:val="en-US"/>
        </w:rPr>
      </w:pPr>
      <w:r w:rsidRPr="003C0842">
        <w:rPr>
          <w:sz w:val="24"/>
          <w:szCs w:val="24"/>
          <w:lang w:val="en-US"/>
        </w:rPr>
        <w:t>–</w:t>
      </w:r>
      <w:r w:rsidR="00685D78" w:rsidRPr="003C0842">
        <w:rPr>
          <w:sz w:val="24"/>
          <w:szCs w:val="24"/>
          <w:lang w:val="en-US"/>
        </w:rPr>
        <w:t>ASDN, 29/18166/18166, R: 1458. Council for the Representat</w:t>
      </w:r>
      <w:r w:rsidR="0052059B" w:rsidRPr="003C0842">
        <w:rPr>
          <w:sz w:val="24"/>
          <w:szCs w:val="24"/>
          <w:lang w:val="en-US"/>
        </w:rPr>
        <w:t>ion of Women in the League of Na</w:t>
      </w:r>
      <w:r w:rsidR="00685D78" w:rsidRPr="003C0842">
        <w:rPr>
          <w:sz w:val="24"/>
          <w:szCs w:val="24"/>
          <w:lang w:val="en-US"/>
        </w:rPr>
        <w:t xml:space="preserve">tions. Report of the Executive </w:t>
      </w:r>
      <w:r w:rsidR="00385588" w:rsidRPr="003C0842">
        <w:rPr>
          <w:sz w:val="24"/>
          <w:szCs w:val="24"/>
          <w:lang w:val="en-US"/>
        </w:rPr>
        <w:t>C</w:t>
      </w:r>
      <w:r w:rsidR="00685D78" w:rsidRPr="003C0842">
        <w:rPr>
          <w:sz w:val="24"/>
          <w:szCs w:val="24"/>
          <w:lang w:val="en-US"/>
        </w:rPr>
        <w:t>ommittee, November 1925, to November 1926</w:t>
      </w:r>
    </w:p>
    <w:p w:rsidR="00B37304" w:rsidRPr="003C0842" w:rsidRDefault="00B37304" w:rsidP="00685D78">
      <w:pPr>
        <w:pStyle w:val="Tekstprzypisudolnego"/>
        <w:spacing w:line="240" w:lineRule="auto"/>
        <w:ind w:firstLine="709"/>
        <w:jc w:val="center"/>
        <w:rPr>
          <w:b/>
          <w:sz w:val="24"/>
          <w:szCs w:val="24"/>
          <w:lang w:val="en-US"/>
        </w:rPr>
      </w:pPr>
    </w:p>
    <w:p w:rsidR="00685D78" w:rsidRPr="003C0842" w:rsidRDefault="00685D78" w:rsidP="00685D78">
      <w:pPr>
        <w:pStyle w:val="Tekstprzypisudolnego"/>
        <w:spacing w:line="240" w:lineRule="auto"/>
        <w:ind w:firstLine="709"/>
        <w:rPr>
          <w:b/>
          <w:sz w:val="24"/>
          <w:szCs w:val="24"/>
          <w:lang w:val="en-US"/>
        </w:rPr>
      </w:pPr>
      <w:r w:rsidRPr="003C0842">
        <w:rPr>
          <w:b/>
          <w:sz w:val="24"/>
          <w:szCs w:val="24"/>
          <w:lang w:val="en-US"/>
        </w:rPr>
        <w:t>Dokumenty</w:t>
      </w:r>
      <w:r w:rsidR="004F7987" w:rsidRPr="003C0842">
        <w:rPr>
          <w:b/>
          <w:sz w:val="24"/>
          <w:szCs w:val="24"/>
          <w:lang w:val="en-US"/>
        </w:rPr>
        <w:t xml:space="preserve"> i druki</w:t>
      </w:r>
      <w:r w:rsidRPr="003C0842">
        <w:rPr>
          <w:b/>
          <w:sz w:val="24"/>
          <w:szCs w:val="24"/>
          <w:lang w:val="en-US"/>
        </w:rPr>
        <w:t xml:space="preserve"> Ligi Narodów</w:t>
      </w:r>
    </w:p>
    <w:p w:rsidR="00563921" w:rsidRPr="003C0842" w:rsidRDefault="00563921" w:rsidP="00563921">
      <w:pPr>
        <w:pStyle w:val="Tekstprzypisudolnego"/>
        <w:spacing w:line="240" w:lineRule="auto"/>
        <w:ind w:firstLine="426"/>
        <w:rPr>
          <w:b/>
          <w:sz w:val="24"/>
          <w:szCs w:val="24"/>
          <w:lang w:val="en-US"/>
        </w:rPr>
      </w:pPr>
    </w:p>
    <w:p w:rsidR="00563921" w:rsidRPr="003C0842" w:rsidRDefault="00563921" w:rsidP="00122B81">
      <w:pPr>
        <w:spacing w:line="360" w:lineRule="auto"/>
        <w:ind w:left="709" w:hanging="709"/>
        <w:jc w:val="left"/>
        <w:rPr>
          <w:lang w:val="fr-FR"/>
        </w:rPr>
      </w:pPr>
      <w:r w:rsidRPr="003C0842">
        <w:rPr>
          <w:lang w:val="fr-FR"/>
        </w:rPr>
        <w:t>Archives de la Société des Nations 1919-1946. Répertoire Général 1919-1946. Genève bd., vol. 1-3</w:t>
      </w:r>
    </w:p>
    <w:p w:rsidR="00685D78" w:rsidRPr="003C0842" w:rsidRDefault="00563921" w:rsidP="00122B81">
      <w:pPr>
        <w:spacing w:line="360" w:lineRule="auto"/>
        <w:ind w:left="709" w:hanging="709"/>
        <w:jc w:val="left"/>
        <w:rPr>
          <w:lang w:val="fr-FR"/>
        </w:rPr>
      </w:pPr>
      <w:r w:rsidRPr="003C0842">
        <w:rPr>
          <w:lang w:val="fr-FR"/>
        </w:rPr>
        <w:t>Guidedes Archives de la Société des Nations 1919-1946, Genève 1977</w:t>
      </w:r>
    </w:p>
    <w:p w:rsidR="00563921" w:rsidRPr="003C0842" w:rsidRDefault="003B5281" w:rsidP="00122B81">
      <w:pPr>
        <w:pStyle w:val="Tekstprzypisudolnego"/>
        <w:spacing w:line="360" w:lineRule="auto"/>
        <w:ind w:left="709" w:hanging="709"/>
        <w:contextualSpacing/>
        <w:jc w:val="left"/>
        <w:rPr>
          <w:sz w:val="24"/>
          <w:szCs w:val="24"/>
          <w:lang w:val="fr-FR"/>
        </w:rPr>
      </w:pPr>
      <w:r w:rsidRPr="003C0842">
        <w:rPr>
          <w:sz w:val="24"/>
          <w:szCs w:val="24"/>
          <w:lang w:val="fr-FR"/>
        </w:rPr>
        <w:t xml:space="preserve">Société des Nations, </w:t>
      </w:r>
      <w:r w:rsidR="00685D78" w:rsidRPr="003C0842">
        <w:rPr>
          <w:sz w:val="24"/>
          <w:szCs w:val="24"/>
          <w:lang w:val="fr-FR"/>
        </w:rPr>
        <w:t>J</w:t>
      </w:r>
      <w:r w:rsidR="003101A3" w:rsidRPr="003C0842">
        <w:rPr>
          <w:sz w:val="24"/>
          <w:szCs w:val="24"/>
          <w:lang w:val="fr-FR"/>
        </w:rPr>
        <w:t xml:space="preserve">ournal </w:t>
      </w:r>
      <w:r w:rsidR="00685D78" w:rsidRPr="003C0842">
        <w:rPr>
          <w:sz w:val="24"/>
          <w:szCs w:val="24"/>
          <w:lang w:val="fr-FR"/>
        </w:rPr>
        <w:t>O</w:t>
      </w:r>
      <w:r w:rsidR="003101A3" w:rsidRPr="003C0842">
        <w:rPr>
          <w:sz w:val="24"/>
          <w:szCs w:val="24"/>
          <w:lang w:val="fr-FR"/>
        </w:rPr>
        <w:t>fficiel</w:t>
      </w:r>
      <w:r w:rsidR="009C388F" w:rsidRPr="003C0842">
        <w:rPr>
          <w:sz w:val="24"/>
          <w:szCs w:val="24"/>
          <w:lang w:val="fr-FR"/>
        </w:rPr>
        <w:t>:</w:t>
      </w:r>
    </w:p>
    <w:p w:rsidR="00563921" w:rsidRPr="003C0842" w:rsidRDefault="00164234" w:rsidP="00122B81">
      <w:pPr>
        <w:pStyle w:val="Tekstprzypisudolnego"/>
        <w:spacing w:line="360" w:lineRule="auto"/>
        <w:ind w:left="709" w:hanging="709"/>
        <w:contextualSpacing/>
        <w:jc w:val="left"/>
        <w:rPr>
          <w:sz w:val="24"/>
          <w:szCs w:val="24"/>
          <w:lang w:val="fr-FR"/>
        </w:rPr>
      </w:pPr>
      <w:r w:rsidRPr="003C0842">
        <w:rPr>
          <w:sz w:val="24"/>
          <w:szCs w:val="24"/>
          <w:lang w:val="fr-FR"/>
        </w:rPr>
        <w:t>–</w:t>
      </w:r>
      <w:r w:rsidR="00563921" w:rsidRPr="003C0842">
        <w:rPr>
          <w:sz w:val="24"/>
          <w:szCs w:val="24"/>
          <w:lang w:val="fr-FR"/>
        </w:rPr>
        <w:t>Cinquième Assemblèe</w:t>
      </w:r>
      <w:r w:rsidR="007D72D0" w:rsidRPr="003C0842">
        <w:rPr>
          <w:sz w:val="24"/>
          <w:szCs w:val="24"/>
          <w:lang w:val="fr-FR"/>
        </w:rPr>
        <w:t>,</w:t>
      </w:r>
      <w:r w:rsidR="00563921" w:rsidRPr="003C0842">
        <w:rPr>
          <w:sz w:val="24"/>
          <w:szCs w:val="24"/>
          <w:lang w:val="fr-FR"/>
        </w:rPr>
        <w:t xml:space="preserve"> Genève 1924</w:t>
      </w:r>
    </w:p>
    <w:p w:rsidR="00563921" w:rsidRPr="003C0842" w:rsidRDefault="00164234" w:rsidP="00122B81">
      <w:pPr>
        <w:pStyle w:val="Tekstprzypisudolnego"/>
        <w:spacing w:line="360" w:lineRule="auto"/>
        <w:ind w:left="709" w:hanging="709"/>
        <w:contextualSpacing/>
        <w:jc w:val="left"/>
        <w:rPr>
          <w:sz w:val="24"/>
          <w:szCs w:val="24"/>
          <w:lang w:val="fr-FR"/>
        </w:rPr>
      </w:pPr>
      <w:r w:rsidRPr="003C0842">
        <w:rPr>
          <w:sz w:val="24"/>
          <w:szCs w:val="24"/>
          <w:lang w:val="fr-FR"/>
        </w:rPr>
        <w:t>–</w:t>
      </w:r>
      <w:r w:rsidR="00563921" w:rsidRPr="003C0842">
        <w:rPr>
          <w:sz w:val="24"/>
          <w:szCs w:val="24"/>
          <w:lang w:val="fr-FR"/>
        </w:rPr>
        <w:t xml:space="preserve"> Procès-verbaux du Conseil XIX, XXIII, XXXII, XXXIV</w:t>
      </w:r>
      <w:r w:rsidR="00CD2EB9" w:rsidRPr="003C0842">
        <w:rPr>
          <w:sz w:val="24"/>
          <w:szCs w:val="24"/>
          <w:lang w:val="fr-FR"/>
        </w:rPr>
        <w:t>, Genève 192</w:t>
      </w:r>
      <w:r w:rsidR="000E54D2" w:rsidRPr="003C0842">
        <w:rPr>
          <w:sz w:val="24"/>
          <w:szCs w:val="24"/>
          <w:lang w:val="fr-FR"/>
        </w:rPr>
        <w:t>0</w:t>
      </w:r>
      <w:r w:rsidR="00CD2EB9" w:rsidRPr="003C0842">
        <w:rPr>
          <w:sz w:val="24"/>
          <w:szCs w:val="24"/>
          <w:lang w:val="fr-FR"/>
        </w:rPr>
        <w:t xml:space="preserve"> i n.</w:t>
      </w:r>
    </w:p>
    <w:p w:rsidR="00563921" w:rsidRPr="003C0842" w:rsidRDefault="00164234" w:rsidP="00122B81">
      <w:pPr>
        <w:pStyle w:val="Tekstprzypisudolnego"/>
        <w:spacing w:line="360" w:lineRule="auto"/>
        <w:ind w:left="709" w:hanging="709"/>
        <w:contextualSpacing/>
        <w:jc w:val="left"/>
        <w:rPr>
          <w:sz w:val="24"/>
          <w:szCs w:val="24"/>
          <w:lang w:val="fr-FR"/>
        </w:rPr>
      </w:pPr>
      <w:r w:rsidRPr="003C0842">
        <w:rPr>
          <w:sz w:val="24"/>
          <w:szCs w:val="24"/>
          <w:lang w:val="fr-FR"/>
        </w:rPr>
        <w:t>–</w:t>
      </w:r>
      <w:r w:rsidR="00563921" w:rsidRPr="003C0842">
        <w:rPr>
          <w:sz w:val="24"/>
          <w:szCs w:val="24"/>
          <w:lang w:val="fr-FR"/>
        </w:rPr>
        <w:t xml:space="preserve"> Quatrième Assemblée, </w:t>
      </w:r>
      <w:r w:rsidR="007D72D0" w:rsidRPr="003C0842">
        <w:rPr>
          <w:sz w:val="24"/>
          <w:szCs w:val="24"/>
          <w:lang w:val="fr-FR"/>
        </w:rPr>
        <w:t xml:space="preserve">Genève </w:t>
      </w:r>
      <w:r w:rsidR="00563921" w:rsidRPr="003C0842">
        <w:rPr>
          <w:sz w:val="24"/>
          <w:szCs w:val="24"/>
          <w:lang w:val="fr-FR"/>
        </w:rPr>
        <w:t>1923</w:t>
      </w:r>
    </w:p>
    <w:p w:rsidR="00685D78" w:rsidRPr="003C0842" w:rsidRDefault="00164234" w:rsidP="00122B81">
      <w:pPr>
        <w:pStyle w:val="Tekstprzypisudolnego"/>
        <w:spacing w:line="360" w:lineRule="auto"/>
        <w:ind w:left="709" w:hanging="709"/>
        <w:contextualSpacing/>
        <w:jc w:val="left"/>
        <w:rPr>
          <w:sz w:val="24"/>
          <w:szCs w:val="24"/>
          <w:lang w:val="fr-FR"/>
        </w:rPr>
      </w:pPr>
      <w:r w:rsidRPr="003C0842">
        <w:rPr>
          <w:sz w:val="24"/>
          <w:szCs w:val="24"/>
          <w:lang w:val="fr-FR"/>
        </w:rPr>
        <w:t>–</w:t>
      </w:r>
      <w:r w:rsidR="00685D78" w:rsidRPr="003C0842">
        <w:rPr>
          <w:sz w:val="24"/>
          <w:szCs w:val="24"/>
          <w:lang w:val="fr-FR"/>
        </w:rPr>
        <w:t>Rés</w:t>
      </w:r>
      <w:r w:rsidR="00A11CA8" w:rsidRPr="003C0842">
        <w:rPr>
          <w:sz w:val="24"/>
          <w:szCs w:val="24"/>
          <w:lang w:val="fr-FR"/>
        </w:rPr>
        <w:t>olutions</w:t>
      </w:r>
      <w:r w:rsidR="00685D78" w:rsidRPr="003C0842">
        <w:rPr>
          <w:sz w:val="24"/>
          <w:szCs w:val="24"/>
          <w:lang w:val="fr-FR"/>
        </w:rPr>
        <w:t xml:space="preserve"> de l’Assemblée, </w:t>
      </w:r>
      <w:r w:rsidR="007D72D0" w:rsidRPr="003C0842">
        <w:rPr>
          <w:sz w:val="24"/>
          <w:szCs w:val="24"/>
          <w:lang w:val="fr-FR"/>
        </w:rPr>
        <w:t>Genève</w:t>
      </w:r>
      <w:r w:rsidR="00685D78" w:rsidRPr="003C0842">
        <w:rPr>
          <w:sz w:val="24"/>
          <w:szCs w:val="24"/>
          <w:lang w:val="fr-FR"/>
        </w:rPr>
        <w:t>1920</w:t>
      </w:r>
    </w:p>
    <w:p w:rsidR="00685D78" w:rsidRPr="003C0842" w:rsidRDefault="00164234" w:rsidP="00122B81">
      <w:pPr>
        <w:pStyle w:val="Tekstprzypisudolnego"/>
        <w:spacing w:line="360" w:lineRule="auto"/>
        <w:ind w:left="709" w:hanging="709"/>
        <w:contextualSpacing/>
        <w:jc w:val="left"/>
        <w:rPr>
          <w:sz w:val="24"/>
          <w:szCs w:val="24"/>
          <w:lang w:val="fr-FR"/>
        </w:rPr>
      </w:pPr>
      <w:r w:rsidRPr="003C0842">
        <w:rPr>
          <w:sz w:val="24"/>
          <w:szCs w:val="24"/>
          <w:lang w:val="fr-FR"/>
        </w:rPr>
        <w:t>–</w:t>
      </w:r>
      <w:r w:rsidR="00685D78" w:rsidRPr="003C0842">
        <w:rPr>
          <w:sz w:val="24"/>
          <w:szCs w:val="24"/>
          <w:lang w:val="fr-FR"/>
        </w:rPr>
        <w:t>Supplement Spècial, No 21, Genève 1924</w:t>
      </w:r>
      <w:r w:rsidR="000E54D2" w:rsidRPr="003C0842">
        <w:rPr>
          <w:sz w:val="24"/>
          <w:szCs w:val="24"/>
          <w:lang w:val="fr-FR"/>
        </w:rPr>
        <w:t>, No 44, Genève 1926</w:t>
      </w:r>
    </w:p>
    <w:p w:rsidR="00FF63A4" w:rsidRPr="003C0842" w:rsidRDefault="00164234" w:rsidP="00122B81">
      <w:pPr>
        <w:pStyle w:val="Tekstprzypisudolnego"/>
        <w:spacing w:line="360" w:lineRule="auto"/>
        <w:ind w:left="709" w:hanging="709"/>
        <w:contextualSpacing/>
        <w:jc w:val="left"/>
        <w:rPr>
          <w:sz w:val="24"/>
          <w:szCs w:val="24"/>
          <w:lang w:val="fr-FR"/>
        </w:rPr>
      </w:pPr>
      <w:r w:rsidRPr="003C0842">
        <w:rPr>
          <w:sz w:val="24"/>
          <w:szCs w:val="24"/>
          <w:lang w:val="fr-FR"/>
        </w:rPr>
        <w:t>–</w:t>
      </w:r>
      <w:r w:rsidR="00FF63A4" w:rsidRPr="003C0842">
        <w:rPr>
          <w:rStyle w:val="hps"/>
          <w:sz w:val="24"/>
          <w:szCs w:val="24"/>
          <w:lang w:val="fr-FR"/>
        </w:rPr>
        <w:t>Septième</w:t>
      </w:r>
      <w:r w:rsidR="00FF63A4" w:rsidRPr="003C0842">
        <w:rPr>
          <w:sz w:val="24"/>
          <w:szCs w:val="24"/>
          <w:lang w:val="fr-FR"/>
        </w:rPr>
        <w:t xml:space="preserve"> Assemblée, Genève 1926</w:t>
      </w:r>
    </w:p>
    <w:p w:rsidR="00685D78" w:rsidRPr="003C0842" w:rsidRDefault="00164234" w:rsidP="00122B81">
      <w:pPr>
        <w:pStyle w:val="Tekstprzypisudolnego"/>
        <w:spacing w:line="360" w:lineRule="auto"/>
        <w:ind w:left="709" w:hanging="709"/>
        <w:contextualSpacing/>
        <w:jc w:val="left"/>
        <w:rPr>
          <w:sz w:val="24"/>
          <w:szCs w:val="24"/>
          <w:lang w:val="fr-FR"/>
        </w:rPr>
      </w:pPr>
      <w:r w:rsidRPr="003C0842">
        <w:rPr>
          <w:sz w:val="24"/>
          <w:szCs w:val="24"/>
          <w:lang w:val="fr-FR"/>
        </w:rPr>
        <w:t>–</w:t>
      </w:r>
      <w:r w:rsidR="00685D78" w:rsidRPr="003C0842">
        <w:rPr>
          <w:sz w:val="24"/>
          <w:szCs w:val="24"/>
          <w:lang w:val="fr-FR"/>
        </w:rPr>
        <w:t>Session Extraordinaire de l’Assemblee, Genève 192</w:t>
      </w:r>
      <w:r w:rsidR="009C388F" w:rsidRPr="003C0842">
        <w:rPr>
          <w:sz w:val="24"/>
          <w:szCs w:val="24"/>
          <w:lang w:val="fr-FR"/>
        </w:rPr>
        <w:t>6</w:t>
      </w:r>
    </w:p>
    <w:p w:rsidR="007D72D0" w:rsidRPr="003C0842" w:rsidRDefault="007D72D0" w:rsidP="00122B81">
      <w:pPr>
        <w:pStyle w:val="Tekstprzypisudolnego"/>
        <w:spacing w:line="360" w:lineRule="auto"/>
        <w:ind w:left="709" w:hanging="709"/>
        <w:contextualSpacing/>
        <w:jc w:val="left"/>
        <w:rPr>
          <w:i/>
          <w:sz w:val="24"/>
          <w:szCs w:val="24"/>
          <w:lang w:val="fr-FR"/>
        </w:rPr>
      </w:pPr>
      <w:r w:rsidRPr="003C0842">
        <w:rPr>
          <w:sz w:val="24"/>
          <w:szCs w:val="24"/>
          <w:lang w:val="fr-FR"/>
        </w:rPr>
        <w:t>Société des Nations</w:t>
      </w:r>
      <w:r w:rsidR="009C388F" w:rsidRPr="003C0842">
        <w:rPr>
          <w:sz w:val="24"/>
          <w:szCs w:val="24"/>
          <w:lang w:val="fr-FR"/>
        </w:rPr>
        <w:t>:</w:t>
      </w:r>
    </w:p>
    <w:p w:rsidR="00685D78" w:rsidRPr="003C0842" w:rsidRDefault="00164234" w:rsidP="00122B81">
      <w:pPr>
        <w:pStyle w:val="Tekstprzypisudolnego"/>
        <w:spacing w:line="360" w:lineRule="auto"/>
        <w:ind w:left="709" w:hanging="709"/>
        <w:contextualSpacing/>
        <w:rPr>
          <w:sz w:val="24"/>
          <w:szCs w:val="24"/>
          <w:lang w:val="fr-FR"/>
        </w:rPr>
      </w:pPr>
      <w:r w:rsidRPr="003C0842">
        <w:rPr>
          <w:i/>
          <w:sz w:val="24"/>
          <w:szCs w:val="24"/>
          <w:lang w:val="fr-FR"/>
        </w:rPr>
        <w:t>–</w:t>
      </w:r>
      <w:r w:rsidR="00685D78" w:rsidRPr="003C0842">
        <w:rPr>
          <w:i/>
          <w:sz w:val="24"/>
          <w:szCs w:val="24"/>
          <w:lang w:val="fr-FR"/>
        </w:rPr>
        <w:t>Rapport du Comité spécial d’expert sur la traite des femmes et des enfants</w:t>
      </w:r>
      <w:r w:rsidR="001F2EE7" w:rsidRPr="003C0842">
        <w:rPr>
          <w:sz w:val="24"/>
          <w:szCs w:val="24"/>
          <w:lang w:val="fr-FR"/>
        </w:rPr>
        <w:t>,</w:t>
      </w:r>
      <w:r w:rsidR="00685D78" w:rsidRPr="003C0842">
        <w:rPr>
          <w:sz w:val="24"/>
          <w:szCs w:val="24"/>
          <w:lang w:val="fr-FR"/>
        </w:rPr>
        <w:t xml:space="preserve"> Genève 1927, vol.1, 2</w:t>
      </w:r>
    </w:p>
    <w:p w:rsidR="00685D78" w:rsidRPr="003C0842" w:rsidRDefault="00122B81" w:rsidP="00122B81">
      <w:pPr>
        <w:pStyle w:val="Tekstprzypisudolnego"/>
        <w:spacing w:line="360" w:lineRule="auto"/>
        <w:ind w:left="709" w:hanging="709"/>
        <w:contextualSpacing/>
        <w:rPr>
          <w:sz w:val="24"/>
          <w:szCs w:val="24"/>
          <w:lang w:val="fr-FR"/>
        </w:rPr>
      </w:pPr>
      <w:r w:rsidRPr="003C0842">
        <w:rPr>
          <w:i/>
          <w:sz w:val="24"/>
          <w:szCs w:val="24"/>
          <w:lang w:val="fr-FR"/>
        </w:rPr>
        <w:t xml:space="preserve">– </w:t>
      </w:r>
      <w:r w:rsidR="00685D78" w:rsidRPr="003C0842">
        <w:rPr>
          <w:i/>
          <w:sz w:val="24"/>
          <w:szCs w:val="24"/>
          <w:lang w:val="fr-FR"/>
        </w:rPr>
        <w:t>Rapport sur le voyage d’etudes de la Commission du Paludisme en Espagne</w:t>
      </w:r>
      <w:r w:rsidR="00685D78" w:rsidRPr="003C0842">
        <w:rPr>
          <w:sz w:val="24"/>
          <w:szCs w:val="24"/>
          <w:lang w:val="fr-FR"/>
        </w:rPr>
        <w:t>, Genève 1926</w:t>
      </w:r>
    </w:p>
    <w:p w:rsidR="008512B4" w:rsidRPr="003C0842" w:rsidRDefault="00164234" w:rsidP="00122B81">
      <w:pPr>
        <w:pStyle w:val="Tekstprzypisudolnego"/>
        <w:spacing w:line="360" w:lineRule="auto"/>
        <w:ind w:left="709" w:hanging="709"/>
        <w:contextualSpacing/>
        <w:rPr>
          <w:sz w:val="24"/>
          <w:szCs w:val="24"/>
          <w:lang w:val="fr-FR"/>
        </w:rPr>
      </w:pPr>
      <w:r w:rsidRPr="003C0842">
        <w:rPr>
          <w:sz w:val="24"/>
          <w:szCs w:val="24"/>
          <w:lang w:val="fr-FR"/>
        </w:rPr>
        <w:t>–</w:t>
      </w:r>
      <w:r w:rsidR="00685D78" w:rsidRPr="003C0842">
        <w:rPr>
          <w:i/>
          <w:sz w:val="24"/>
          <w:szCs w:val="24"/>
          <w:lang w:val="fr-FR"/>
        </w:rPr>
        <w:t>Convention internationale pour la Répression</w:t>
      </w:r>
      <w:r w:rsidR="00563921" w:rsidRPr="003C0842">
        <w:rPr>
          <w:i/>
          <w:sz w:val="24"/>
          <w:szCs w:val="24"/>
          <w:lang w:val="fr-FR"/>
        </w:rPr>
        <w:t xml:space="preserve"> de la </w:t>
      </w:r>
      <w:r w:rsidR="00685D78" w:rsidRPr="003C0842">
        <w:rPr>
          <w:i/>
          <w:sz w:val="24"/>
          <w:szCs w:val="24"/>
          <w:lang w:val="fr-FR"/>
        </w:rPr>
        <w:t xml:space="preserve">Circulation et du Trafic des </w:t>
      </w:r>
      <w:r w:rsidR="00FF63A4" w:rsidRPr="003C0842">
        <w:rPr>
          <w:i/>
          <w:sz w:val="24"/>
          <w:szCs w:val="24"/>
          <w:lang w:val="fr-FR"/>
        </w:rPr>
        <w:t>Publications obscènes. Ouverte à</w:t>
      </w:r>
      <w:r w:rsidR="00685D78" w:rsidRPr="003C0842">
        <w:rPr>
          <w:i/>
          <w:sz w:val="24"/>
          <w:szCs w:val="24"/>
          <w:lang w:val="fr-FR"/>
        </w:rPr>
        <w:t xml:space="preserve"> la signature</w:t>
      </w:r>
      <w:r w:rsidR="00FF63A4" w:rsidRPr="003C0842">
        <w:rPr>
          <w:i/>
          <w:sz w:val="24"/>
          <w:szCs w:val="24"/>
          <w:lang w:val="fr-FR"/>
        </w:rPr>
        <w:t xml:space="preserve">. </w:t>
      </w:r>
      <w:r w:rsidR="00685D78" w:rsidRPr="003C0842">
        <w:rPr>
          <w:i/>
          <w:sz w:val="24"/>
          <w:szCs w:val="24"/>
          <w:lang w:val="fr-FR"/>
        </w:rPr>
        <w:t>Genève du 12 septembre 1923 au 31 mars 1924</w:t>
      </w:r>
    </w:p>
    <w:p w:rsidR="00685D78" w:rsidRPr="003C0842" w:rsidRDefault="00164234" w:rsidP="00122B81">
      <w:pPr>
        <w:pStyle w:val="Tekstprzypisudolnego"/>
        <w:spacing w:line="360" w:lineRule="auto"/>
        <w:ind w:left="709" w:hanging="709"/>
        <w:contextualSpacing/>
        <w:rPr>
          <w:sz w:val="24"/>
          <w:szCs w:val="24"/>
          <w:lang w:val="fr-FR"/>
        </w:rPr>
      </w:pPr>
      <w:r w:rsidRPr="003C0842">
        <w:rPr>
          <w:sz w:val="24"/>
          <w:szCs w:val="24"/>
          <w:lang w:val="fr-FR"/>
        </w:rPr>
        <w:t>–</w:t>
      </w:r>
      <w:r w:rsidR="00685D78" w:rsidRPr="003C0842">
        <w:rPr>
          <w:i/>
          <w:sz w:val="24"/>
          <w:szCs w:val="24"/>
          <w:lang w:val="fr-FR"/>
        </w:rPr>
        <w:t>Rensegnements épidémiologiques – Europe Orientale en 1921</w:t>
      </w:r>
      <w:r w:rsidR="00685D78" w:rsidRPr="003C0842">
        <w:rPr>
          <w:sz w:val="24"/>
          <w:szCs w:val="24"/>
          <w:lang w:val="fr-FR"/>
        </w:rPr>
        <w:t>, Genève 1922</w:t>
      </w:r>
    </w:p>
    <w:p w:rsidR="00685D78" w:rsidRPr="003C0842" w:rsidRDefault="00164234" w:rsidP="00122B81">
      <w:pPr>
        <w:spacing w:line="360" w:lineRule="auto"/>
        <w:ind w:left="709" w:hanging="709"/>
        <w:contextualSpacing/>
        <w:rPr>
          <w:lang w:val="fr-FR"/>
        </w:rPr>
      </w:pPr>
      <w:r w:rsidRPr="003C0842">
        <w:rPr>
          <w:lang w:val="fr-FR"/>
        </w:rPr>
        <w:t>–</w:t>
      </w:r>
      <w:r w:rsidR="00685D78" w:rsidRPr="003C0842">
        <w:rPr>
          <w:i/>
          <w:lang w:val="fr-FR"/>
        </w:rPr>
        <w:t>Recueil des Traités et des Engagements internationauxenregistrées par le Secrétariat de la Société desNations</w:t>
      </w:r>
      <w:r w:rsidR="00B33C57" w:rsidRPr="003C0842">
        <w:rPr>
          <w:lang w:val="fr-FR"/>
        </w:rPr>
        <w:t>,</w:t>
      </w:r>
      <w:r w:rsidR="00122B81" w:rsidRPr="003C0842">
        <w:rPr>
          <w:lang w:val="fr-FR"/>
        </w:rPr>
        <w:t>v</w:t>
      </w:r>
      <w:r w:rsidR="00685D78" w:rsidRPr="003C0842">
        <w:rPr>
          <w:lang w:val="fr-FR"/>
        </w:rPr>
        <w:t xml:space="preserve">ol. LIV,1926-1927 </w:t>
      </w:r>
    </w:p>
    <w:p w:rsidR="00B33C57" w:rsidRPr="003C0842" w:rsidRDefault="00164234" w:rsidP="00122B81">
      <w:pPr>
        <w:pStyle w:val="Tekstprzypisudolnego"/>
        <w:spacing w:line="360" w:lineRule="auto"/>
        <w:ind w:left="709" w:hanging="709"/>
        <w:contextualSpacing/>
        <w:rPr>
          <w:sz w:val="24"/>
          <w:szCs w:val="24"/>
        </w:rPr>
      </w:pPr>
      <w:r w:rsidRPr="003C0842">
        <w:rPr>
          <w:i/>
          <w:sz w:val="24"/>
          <w:szCs w:val="24"/>
          <w:lang w:val="fr-FR"/>
        </w:rPr>
        <w:t>–</w:t>
      </w:r>
      <w:r w:rsidR="00B33C57" w:rsidRPr="003C0842">
        <w:rPr>
          <w:i/>
          <w:sz w:val="24"/>
          <w:szCs w:val="24"/>
          <w:lang w:val="fr-FR"/>
        </w:rPr>
        <w:t xml:space="preserve"> Resumé Mensuel des Travoux de la Société des Nations</w:t>
      </w:r>
      <w:r w:rsidR="00B33C57" w:rsidRPr="003C0842">
        <w:rPr>
          <w:sz w:val="24"/>
          <w:szCs w:val="24"/>
          <w:lang w:val="fr-FR"/>
        </w:rPr>
        <w:t xml:space="preserve">, vol. </w:t>
      </w:r>
      <w:r w:rsidR="00B33C57" w:rsidRPr="003C0842">
        <w:rPr>
          <w:sz w:val="24"/>
          <w:szCs w:val="24"/>
        </w:rPr>
        <w:t>II (1922), vol.VI (1926)</w:t>
      </w:r>
    </w:p>
    <w:p w:rsidR="00685D78" w:rsidRPr="003C0842" w:rsidRDefault="00685D78" w:rsidP="00563921">
      <w:pPr>
        <w:pStyle w:val="Tekstprzypisudolnego"/>
        <w:spacing w:line="240" w:lineRule="auto"/>
        <w:ind w:firstLine="426"/>
        <w:rPr>
          <w:sz w:val="24"/>
          <w:szCs w:val="24"/>
        </w:rPr>
      </w:pPr>
    </w:p>
    <w:p w:rsidR="00685D78" w:rsidRPr="003C0842" w:rsidRDefault="00685D78" w:rsidP="00563921">
      <w:pPr>
        <w:pStyle w:val="Tekstprzypisudolnego"/>
        <w:spacing w:line="240" w:lineRule="auto"/>
        <w:ind w:firstLine="426"/>
        <w:rPr>
          <w:sz w:val="24"/>
          <w:szCs w:val="24"/>
        </w:rPr>
      </w:pPr>
    </w:p>
    <w:p w:rsidR="00685D78" w:rsidRPr="003C0842" w:rsidRDefault="00685D78" w:rsidP="00685D78">
      <w:pPr>
        <w:pStyle w:val="Tekstprzypisudolnego"/>
        <w:spacing w:line="240" w:lineRule="auto"/>
        <w:ind w:firstLine="709"/>
        <w:rPr>
          <w:sz w:val="24"/>
          <w:szCs w:val="24"/>
        </w:rPr>
      </w:pPr>
    </w:p>
    <w:p w:rsidR="00685D78" w:rsidRPr="003C0842" w:rsidRDefault="00685D78" w:rsidP="00685D78">
      <w:pPr>
        <w:pStyle w:val="Tekstprzypisudolnego"/>
        <w:spacing w:line="240" w:lineRule="auto"/>
        <w:ind w:firstLine="709"/>
        <w:jc w:val="center"/>
        <w:rPr>
          <w:b/>
          <w:sz w:val="24"/>
          <w:szCs w:val="24"/>
        </w:rPr>
      </w:pPr>
      <w:r w:rsidRPr="003C0842">
        <w:rPr>
          <w:b/>
          <w:sz w:val="24"/>
          <w:szCs w:val="24"/>
        </w:rPr>
        <w:t>Inne dokumenty drukowane, wspomnienia</w:t>
      </w:r>
    </w:p>
    <w:p w:rsidR="00685D78" w:rsidRPr="003C0842" w:rsidRDefault="00685D78" w:rsidP="00685D78">
      <w:pPr>
        <w:pStyle w:val="Tekstprzypisudolnego"/>
        <w:spacing w:line="240" w:lineRule="auto"/>
        <w:ind w:firstLine="709"/>
        <w:jc w:val="center"/>
        <w:rPr>
          <w:b/>
          <w:sz w:val="24"/>
          <w:szCs w:val="24"/>
        </w:rPr>
      </w:pPr>
    </w:p>
    <w:p w:rsidR="00685D78" w:rsidRPr="003C0842" w:rsidRDefault="00685D78" w:rsidP="007106A1">
      <w:pPr>
        <w:pStyle w:val="Tekstprzypisudolnego"/>
        <w:spacing w:line="360" w:lineRule="auto"/>
        <w:ind w:left="709" w:hanging="709"/>
        <w:contextualSpacing/>
        <w:rPr>
          <w:sz w:val="24"/>
          <w:szCs w:val="24"/>
          <w:lang w:val="fr-FR"/>
        </w:rPr>
      </w:pPr>
      <w:r w:rsidRPr="003C0842">
        <w:rPr>
          <w:sz w:val="24"/>
          <w:szCs w:val="24"/>
          <w:lang w:val="it-IT"/>
        </w:rPr>
        <w:t xml:space="preserve">Aldrovandi-Marescotti L., </w:t>
      </w:r>
      <w:r w:rsidRPr="003C0842">
        <w:rPr>
          <w:i/>
          <w:sz w:val="24"/>
          <w:szCs w:val="24"/>
          <w:lang w:val="it-IT"/>
        </w:rPr>
        <w:t xml:space="preserve">Guerra diplomatica. Ricordi e frammenti di diario </w:t>
      </w:r>
      <w:r w:rsidR="00F0463B" w:rsidRPr="003C0842">
        <w:rPr>
          <w:sz w:val="24"/>
          <w:szCs w:val="24"/>
          <w:lang w:val="it-IT"/>
        </w:rPr>
        <w:t>(</w:t>
      </w:r>
      <w:r w:rsidRPr="003C0842">
        <w:rPr>
          <w:i/>
          <w:sz w:val="24"/>
          <w:szCs w:val="24"/>
          <w:lang w:val="it-IT"/>
        </w:rPr>
        <w:t>1914-1919</w:t>
      </w:r>
      <w:r w:rsidRPr="003C0842">
        <w:rPr>
          <w:sz w:val="24"/>
          <w:szCs w:val="24"/>
          <w:lang w:val="it-IT"/>
        </w:rPr>
        <w:t>, Milano 1937 (</w:t>
      </w:r>
      <w:r w:rsidR="004D2F75" w:rsidRPr="003C0842">
        <w:rPr>
          <w:sz w:val="24"/>
          <w:szCs w:val="24"/>
          <w:lang w:val="it-IT"/>
        </w:rPr>
        <w:t>tłum.</w:t>
      </w:r>
      <w:r w:rsidRPr="003C0842">
        <w:rPr>
          <w:sz w:val="24"/>
          <w:szCs w:val="24"/>
          <w:lang w:val="it-IT"/>
        </w:rPr>
        <w:t xml:space="preserve"> ros. </w:t>
      </w:r>
      <w:r w:rsidRPr="003C0842">
        <w:rPr>
          <w:sz w:val="24"/>
          <w:szCs w:val="24"/>
          <w:lang w:val="fr-FR"/>
        </w:rPr>
        <w:t>Moskwa 1944)</w:t>
      </w:r>
    </w:p>
    <w:p w:rsidR="00685D78" w:rsidRPr="003C0842" w:rsidRDefault="00685D78" w:rsidP="007106A1">
      <w:pPr>
        <w:pStyle w:val="Tekstprzypisudolnego"/>
        <w:spacing w:line="360" w:lineRule="auto"/>
        <w:ind w:left="709" w:hanging="709"/>
        <w:contextualSpacing/>
        <w:rPr>
          <w:i/>
          <w:sz w:val="24"/>
          <w:szCs w:val="24"/>
          <w:lang w:val="fr-FR"/>
        </w:rPr>
      </w:pPr>
      <w:r w:rsidRPr="003C0842">
        <w:rPr>
          <w:i/>
          <w:sz w:val="24"/>
          <w:szCs w:val="24"/>
          <w:lang w:val="fr-FR"/>
        </w:rPr>
        <w:t>Annuaire de la</w:t>
      </w:r>
      <w:r w:rsidR="00A11CA8" w:rsidRPr="003C0842">
        <w:rPr>
          <w:i/>
          <w:sz w:val="24"/>
          <w:szCs w:val="24"/>
          <w:lang w:val="fr-FR"/>
        </w:rPr>
        <w:t xml:space="preserve"> Société des Nations.</w:t>
      </w:r>
      <w:r w:rsidRPr="003C0842">
        <w:rPr>
          <w:i/>
          <w:sz w:val="24"/>
          <w:szCs w:val="24"/>
          <w:lang w:val="fr-FR"/>
        </w:rPr>
        <w:t xml:space="preserve"> Première année</w:t>
      </w:r>
      <w:r w:rsidRPr="003C0842">
        <w:rPr>
          <w:sz w:val="24"/>
          <w:szCs w:val="24"/>
          <w:lang w:val="fr-FR"/>
        </w:rPr>
        <w:t>, Genève 1927</w:t>
      </w:r>
    </w:p>
    <w:p w:rsidR="00685D78" w:rsidRPr="00387453" w:rsidRDefault="00685D78" w:rsidP="007106A1">
      <w:pPr>
        <w:pStyle w:val="Tekstprzypisudolnego"/>
        <w:spacing w:line="360" w:lineRule="auto"/>
        <w:ind w:left="709" w:hanging="709"/>
        <w:contextualSpacing/>
        <w:rPr>
          <w:sz w:val="24"/>
          <w:szCs w:val="24"/>
          <w:lang w:val="de-AT"/>
        </w:rPr>
      </w:pPr>
      <w:r w:rsidRPr="003C0842">
        <w:rPr>
          <w:i/>
          <w:sz w:val="24"/>
          <w:szCs w:val="24"/>
          <w:lang w:val="fr-FR"/>
        </w:rPr>
        <w:t xml:space="preserve">Annuaire de la </w:t>
      </w:r>
      <w:r w:rsidR="00A11CA8" w:rsidRPr="003C0842">
        <w:rPr>
          <w:i/>
          <w:sz w:val="24"/>
          <w:szCs w:val="24"/>
          <w:lang w:val="fr-FR"/>
        </w:rPr>
        <w:t>Société des Nations</w:t>
      </w:r>
      <w:r w:rsidRPr="003C0842">
        <w:rPr>
          <w:i/>
          <w:sz w:val="24"/>
          <w:szCs w:val="24"/>
          <w:lang w:val="fr-FR"/>
        </w:rPr>
        <w:t xml:space="preserve">. </w:t>
      </w:r>
      <w:r w:rsidRPr="00387453">
        <w:rPr>
          <w:i/>
          <w:sz w:val="24"/>
          <w:szCs w:val="24"/>
          <w:lang w:val="de-AT"/>
        </w:rPr>
        <w:t>Cinquième année</w:t>
      </w:r>
      <w:r w:rsidRPr="00387453">
        <w:rPr>
          <w:sz w:val="24"/>
          <w:szCs w:val="24"/>
          <w:lang w:val="de-AT"/>
        </w:rPr>
        <w:t>, Genève 1931</w:t>
      </w:r>
    </w:p>
    <w:p w:rsidR="00685D78" w:rsidRPr="003C0842" w:rsidRDefault="00685D78" w:rsidP="007106A1">
      <w:pPr>
        <w:spacing w:line="360" w:lineRule="auto"/>
        <w:ind w:left="709" w:hanging="709"/>
        <w:contextualSpacing/>
        <w:rPr>
          <w:b/>
          <w:lang w:val="de-DE"/>
        </w:rPr>
      </w:pPr>
      <w:r w:rsidRPr="003C0842">
        <w:rPr>
          <w:lang w:val="de-DE"/>
        </w:rPr>
        <w:t xml:space="preserve">Becker O., </w:t>
      </w:r>
      <w:r w:rsidRPr="003C0842">
        <w:rPr>
          <w:i/>
          <w:lang w:val="de-DE"/>
        </w:rPr>
        <w:t>Deutschlands Zusammenbruch und Auferstehung</w:t>
      </w:r>
      <w:r w:rsidRPr="003C0842">
        <w:rPr>
          <w:lang w:val="de-DE"/>
        </w:rPr>
        <w:t xml:space="preserve">, 2 Teil: </w:t>
      </w:r>
      <w:r w:rsidRPr="003C0842">
        <w:rPr>
          <w:i/>
          <w:lang w:val="de-DE"/>
        </w:rPr>
        <w:t>Bedingungen für Deutschlands Wiederaufstieg</w:t>
      </w:r>
      <w:r w:rsidRPr="003C0842">
        <w:rPr>
          <w:lang w:val="de-DE"/>
        </w:rPr>
        <w:t>, 2nd ed., Berlin 1922</w:t>
      </w:r>
    </w:p>
    <w:p w:rsidR="00685D78" w:rsidRPr="003C0842" w:rsidRDefault="00685D78" w:rsidP="007106A1">
      <w:pPr>
        <w:pStyle w:val="Tekstprzypisudolnego"/>
        <w:spacing w:line="360" w:lineRule="auto"/>
        <w:ind w:left="709" w:hanging="709"/>
        <w:contextualSpacing/>
        <w:rPr>
          <w:sz w:val="24"/>
          <w:szCs w:val="24"/>
          <w:lang w:val="de-DE"/>
        </w:rPr>
      </w:pPr>
      <w:r w:rsidRPr="003C0842">
        <w:rPr>
          <w:sz w:val="24"/>
          <w:szCs w:val="24"/>
          <w:lang w:val="de-DE"/>
        </w:rPr>
        <w:t xml:space="preserve">Bülow, B.W., </w:t>
      </w:r>
      <w:r w:rsidRPr="003C0842">
        <w:rPr>
          <w:i/>
          <w:sz w:val="24"/>
          <w:szCs w:val="24"/>
          <w:lang w:val="de-DE"/>
        </w:rPr>
        <w:t>Der Versailler Völkerbund. Eine Vorläufige Bilanz</w:t>
      </w:r>
      <w:r w:rsidR="00F869F1" w:rsidRPr="00F869F1">
        <w:rPr>
          <w:sz w:val="24"/>
          <w:szCs w:val="24"/>
          <w:lang w:val="de-DE"/>
        </w:rPr>
        <w:t>,</w:t>
      </w:r>
      <w:r w:rsidRPr="003C0842">
        <w:rPr>
          <w:sz w:val="24"/>
          <w:szCs w:val="24"/>
          <w:lang w:val="de-DE"/>
        </w:rPr>
        <w:t>Stuttgart 1923</w:t>
      </w:r>
    </w:p>
    <w:p w:rsidR="00685D78" w:rsidRPr="003C0842" w:rsidRDefault="00685D78" w:rsidP="007106A1">
      <w:pPr>
        <w:pStyle w:val="Tekstprzypisudolnego"/>
        <w:spacing w:line="360" w:lineRule="auto"/>
        <w:ind w:left="709" w:hanging="709"/>
        <w:contextualSpacing/>
        <w:rPr>
          <w:sz w:val="24"/>
          <w:szCs w:val="24"/>
          <w:lang w:val="de-AT"/>
        </w:rPr>
      </w:pPr>
      <w:r w:rsidRPr="003C0842">
        <w:rPr>
          <w:sz w:val="24"/>
          <w:szCs w:val="24"/>
          <w:lang w:val="de-DE"/>
        </w:rPr>
        <w:t>Coudenhove</w:t>
      </w:r>
      <w:r w:rsidRPr="003C0842">
        <w:rPr>
          <w:sz w:val="24"/>
          <w:szCs w:val="24"/>
          <w:lang w:val="de-AT"/>
        </w:rPr>
        <w:t xml:space="preserve">-Calergi R.N., </w:t>
      </w:r>
      <w:r w:rsidRPr="003C0842">
        <w:rPr>
          <w:i/>
          <w:sz w:val="24"/>
          <w:szCs w:val="24"/>
          <w:lang w:val="de-AT"/>
        </w:rPr>
        <w:t>Pan-Europa</w:t>
      </w:r>
      <w:r w:rsidRPr="003C0842">
        <w:rPr>
          <w:sz w:val="24"/>
          <w:szCs w:val="24"/>
          <w:lang w:val="de-AT"/>
        </w:rPr>
        <w:t xml:space="preserve">, </w:t>
      </w:r>
      <w:r w:rsidR="00FF63A4" w:rsidRPr="003C0842">
        <w:rPr>
          <w:sz w:val="24"/>
          <w:szCs w:val="24"/>
          <w:lang w:val="de-AT"/>
        </w:rPr>
        <w:t>Wien</w:t>
      </w:r>
      <w:r w:rsidRPr="003C0842">
        <w:rPr>
          <w:sz w:val="24"/>
          <w:szCs w:val="24"/>
          <w:lang w:val="de-AT"/>
        </w:rPr>
        <w:t xml:space="preserve"> 1923</w:t>
      </w:r>
    </w:p>
    <w:p w:rsidR="00685D78" w:rsidRPr="003C0842" w:rsidRDefault="00685D78" w:rsidP="007106A1">
      <w:pPr>
        <w:pStyle w:val="Tekstprzypisudolnego"/>
        <w:spacing w:line="360" w:lineRule="auto"/>
        <w:ind w:left="709" w:hanging="709"/>
        <w:contextualSpacing/>
        <w:rPr>
          <w:sz w:val="24"/>
          <w:szCs w:val="24"/>
          <w:lang w:val="en-US"/>
        </w:rPr>
      </w:pPr>
      <w:r w:rsidRPr="003C0842">
        <w:rPr>
          <w:sz w:val="24"/>
          <w:szCs w:val="24"/>
          <w:lang w:val="en-US"/>
        </w:rPr>
        <w:t>CecilR.,</w:t>
      </w:r>
      <w:r w:rsidRPr="003C0842">
        <w:rPr>
          <w:i/>
          <w:sz w:val="24"/>
          <w:szCs w:val="24"/>
          <w:lang w:val="en-US"/>
        </w:rPr>
        <w:t>A Great Experiment. An Autobiography by Viscount…</w:t>
      </w:r>
      <w:r w:rsidRPr="003C0842">
        <w:rPr>
          <w:sz w:val="24"/>
          <w:szCs w:val="24"/>
          <w:lang w:val="en-US"/>
        </w:rPr>
        <w:t>, London 1941</w:t>
      </w:r>
    </w:p>
    <w:p w:rsidR="00817A9F" w:rsidRPr="003C0842" w:rsidRDefault="00817A9F" w:rsidP="007106A1">
      <w:pPr>
        <w:pStyle w:val="Tekstprzypisudolnego"/>
        <w:spacing w:line="360" w:lineRule="auto"/>
        <w:ind w:left="709" w:hanging="709"/>
        <w:contextualSpacing/>
        <w:rPr>
          <w:sz w:val="24"/>
          <w:szCs w:val="24"/>
        </w:rPr>
      </w:pPr>
      <w:r w:rsidRPr="003C0842">
        <w:rPr>
          <w:sz w:val="24"/>
          <w:szCs w:val="24"/>
        </w:rPr>
        <w:t xml:space="preserve">Clemenceau J., </w:t>
      </w:r>
      <w:r w:rsidRPr="003C0842">
        <w:rPr>
          <w:i/>
          <w:sz w:val="24"/>
          <w:szCs w:val="24"/>
        </w:rPr>
        <w:t>Blaski i nędze zwycięstwa</w:t>
      </w:r>
      <w:r w:rsidRPr="003C0842">
        <w:rPr>
          <w:sz w:val="24"/>
          <w:szCs w:val="24"/>
        </w:rPr>
        <w:t>, Poznań 1930</w:t>
      </w:r>
    </w:p>
    <w:p w:rsidR="008512B4" w:rsidRPr="003C0842" w:rsidRDefault="008512B4" w:rsidP="008512B4">
      <w:pPr>
        <w:spacing w:line="360" w:lineRule="auto"/>
        <w:ind w:firstLine="0"/>
        <w:rPr>
          <w:lang w:val="it-IT"/>
        </w:rPr>
      </w:pPr>
      <w:r w:rsidRPr="003C0842">
        <w:rPr>
          <w:i/>
          <w:lang w:val="fr-FR"/>
        </w:rPr>
        <w:t xml:space="preserve">Le Conseil de la Société des Nations: Composition. </w:t>
      </w:r>
      <w:r w:rsidRPr="003C0842">
        <w:rPr>
          <w:i/>
          <w:lang w:val="it-IT"/>
        </w:rPr>
        <w:t>Compétence. Procédure</w:t>
      </w:r>
      <w:r w:rsidRPr="003C0842">
        <w:rPr>
          <w:lang w:val="it-IT"/>
        </w:rPr>
        <w:t>, Genève 1938</w:t>
      </w:r>
    </w:p>
    <w:p w:rsidR="00685D78" w:rsidRPr="003C0842" w:rsidRDefault="00685D78" w:rsidP="007106A1">
      <w:pPr>
        <w:spacing w:line="360" w:lineRule="auto"/>
        <w:ind w:left="709" w:hanging="709"/>
        <w:contextualSpacing/>
        <w:rPr>
          <w:lang w:val="it-IT"/>
        </w:rPr>
      </w:pPr>
      <w:r w:rsidRPr="003C0842">
        <w:rPr>
          <w:i/>
          <w:lang w:val="it-IT"/>
        </w:rPr>
        <w:t>Documenti Diplomatici Italiani,</w:t>
      </w:r>
      <w:r w:rsidRPr="003C0842">
        <w:rPr>
          <w:lang w:val="it-IT"/>
        </w:rPr>
        <w:t>serie 7 (1922-1935), Roma 1953 i n</w:t>
      </w:r>
      <w:r w:rsidR="007122DA" w:rsidRPr="003C0842">
        <w:rPr>
          <w:lang w:val="it-IT"/>
        </w:rPr>
        <w:t>.</w:t>
      </w:r>
    </w:p>
    <w:p w:rsidR="00685D78" w:rsidRPr="003C0842" w:rsidRDefault="00685D78" w:rsidP="007106A1">
      <w:pPr>
        <w:spacing w:line="360" w:lineRule="auto"/>
        <w:ind w:left="709" w:hanging="709"/>
        <w:contextualSpacing/>
        <w:rPr>
          <w:lang w:val="en-US"/>
        </w:rPr>
      </w:pPr>
      <w:r w:rsidRPr="003C0842">
        <w:rPr>
          <w:i/>
          <w:lang w:val="en-US"/>
        </w:rPr>
        <w:t>Health Organisation</w:t>
      </w:r>
      <w:r w:rsidRPr="003C0842">
        <w:rPr>
          <w:lang w:val="en-US"/>
        </w:rPr>
        <w:t>, Geneva 1931</w:t>
      </w:r>
    </w:p>
    <w:p w:rsidR="00685D78" w:rsidRPr="00387453" w:rsidRDefault="00685D78" w:rsidP="007106A1">
      <w:pPr>
        <w:spacing w:line="360" w:lineRule="auto"/>
        <w:ind w:left="709" w:hanging="709"/>
        <w:contextualSpacing/>
        <w:rPr>
          <w:lang w:val="en-US"/>
        </w:rPr>
      </w:pPr>
      <w:r w:rsidRPr="003C0842">
        <w:rPr>
          <w:i/>
          <w:lang w:val="en-US"/>
        </w:rPr>
        <w:t>Hemingway reporter</w:t>
      </w:r>
      <w:r w:rsidRPr="003C0842">
        <w:rPr>
          <w:lang w:val="en-US"/>
        </w:rPr>
        <w:t>,</w:t>
      </w:r>
      <w:r w:rsidR="002E56EE">
        <w:rPr>
          <w:lang w:val="en-US"/>
        </w:rPr>
        <w:t>oprac.</w:t>
      </w:r>
      <w:r w:rsidRPr="00387453">
        <w:rPr>
          <w:lang w:val="en-US"/>
        </w:rPr>
        <w:t>D. i J. Michalowie, Katowice 1986</w:t>
      </w:r>
    </w:p>
    <w:p w:rsidR="00685D78" w:rsidRPr="003C0842" w:rsidRDefault="00685D78" w:rsidP="007106A1">
      <w:pPr>
        <w:spacing w:line="360" w:lineRule="auto"/>
        <w:ind w:left="709" w:hanging="709"/>
        <w:contextualSpacing/>
      </w:pPr>
      <w:r w:rsidRPr="003C0842">
        <w:t xml:space="preserve">Gawroński J., </w:t>
      </w:r>
      <w:r w:rsidRPr="003C0842">
        <w:rPr>
          <w:i/>
        </w:rPr>
        <w:t>Moja misja w Wiedniu,</w:t>
      </w:r>
      <w:r w:rsidRPr="003C0842">
        <w:t xml:space="preserve"> Warszawa 1965</w:t>
      </w:r>
    </w:p>
    <w:p w:rsidR="00685D78" w:rsidRPr="003C0842" w:rsidRDefault="00685D78" w:rsidP="007106A1">
      <w:pPr>
        <w:spacing w:line="360" w:lineRule="auto"/>
        <w:ind w:left="709" w:hanging="709"/>
        <w:contextualSpacing/>
      </w:pPr>
      <w:r w:rsidRPr="003C0842">
        <w:t>Jackowski T.G.</w:t>
      </w:r>
      <w:r w:rsidRPr="003C0842">
        <w:rPr>
          <w:i/>
        </w:rPr>
        <w:t>, W walce o polskość</w:t>
      </w:r>
      <w:r w:rsidRPr="003C0842">
        <w:t>, Kraków 1972</w:t>
      </w:r>
    </w:p>
    <w:p w:rsidR="00685D78" w:rsidRPr="003C0842" w:rsidRDefault="00685D78" w:rsidP="007106A1">
      <w:pPr>
        <w:pStyle w:val="Tekstprzypisudolnego"/>
        <w:spacing w:line="360" w:lineRule="auto"/>
        <w:ind w:left="709" w:hanging="709"/>
        <w:contextualSpacing/>
        <w:rPr>
          <w:sz w:val="24"/>
          <w:szCs w:val="24"/>
        </w:rPr>
      </w:pPr>
      <w:r w:rsidRPr="003C0842">
        <w:rPr>
          <w:sz w:val="24"/>
          <w:szCs w:val="24"/>
        </w:rPr>
        <w:t xml:space="preserve">Lloyd George D., </w:t>
      </w:r>
      <w:r w:rsidRPr="003C0842">
        <w:rPr>
          <w:i/>
          <w:sz w:val="24"/>
          <w:szCs w:val="24"/>
        </w:rPr>
        <w:t>Prawda o traktacie wersalskim</w:t>
      </w:r>
      <w:r w:rsidRPr="003C0842">
        <w:rPr>
          <w:sz w:val="24"/>
          <w:szCs w:val="24"/>
        </w:rPr>
        <w:t xml:space="preserve">, t. I,Warszawa 1938 </w:t>
      </w:r>
    </w:p>
    <w:p w:rsidR="00685D78" w:rsidRPr="003C0842" w:rsidRDefault="00685D78" w:rsidP="007106A1">
      <w:pPr>
        <w:pStyle w:val="Tekstprzypisudolnego"/>
        <w:spacing w:line="360" w:lineRule="auto"/>
        <w:ind w:left="709" w:hanging="709"/>
        <w:contextualSpacing/>
        <w:rPr>
          <w:sz w:val="24"/>
          <w:szCs w:val="24"/>
          <w:lang w:val="fr-FR"/>
        </w:rPr>
      </w:pPr>
      <w:r w:rsidRPr="003C0842">
        <w:rPr>
          <w:sz w:val="24"/>
          <w:szCs w:val="24"/>
          <w:lang w:val="fr-FR"/>
        </w:rPr>
        <w:t xml:space="preserve">Mantoux P., </w:t>
      </w:r>
      <w:r w:rsidRPr="003C0842">
        <w:rPr>
          <w:i/>
          <w:sz w:val="24"/>
          <w:szCs w:val="24"/>
          <w:lang w:val="fr-FR"/>
        </w:rPr>
        <w:t>Les d</w:t>
      </w:r>
      <w:r w:rsidR="009B7B2D" w:rsidRPr="003C0842">
        <w:rPr>
          <w:i/>
          <w:sz w:val="24"/>
          <w:szCs w:val="24"/>
          <w:lang w:val="fr-FR"/>
        </w:rPr>
        <w:t>é</w:t>
      </w:r>
      <w:r w:rsidRPr="003C0842">
        <w:rPr>
          <w:i/>
          <w:sz w:val="24"/>
          <w:szCs w:val="24"/>
          <w:lang w:val="fr-FR"/>
        </w:rPr>
        <w:t>lib</w:t>
      </w:r>
      <w:r w:rsidR="009B7B2D" w:rsidRPr="003C0842">
        <w:rPr>
          <w:i/>
          <w:sz w:val="24"/>
          <w:szCs w:val="24"/>
          <w:lang w:val="fr-FR"/>
        </w:rPr>
        <w:t>é</w:t>
      </w:r>
      <w:r w:rsidRPr="003C0842">
        <w:rPr>
          <w:i/>
          <w:sz w:val="24"/>
          <w:szCs w:val="24"/>
          <w:lang w:val="fr-FR"/>
        </w:rPr>
        <w:t>rations du Conscil des Quatre</w:t>
      </w:r>
      <w:r w:rsidRPr="003C0842">
        <w:rPr>
          <w:sz w:val="24"/>
          <w:szCs w:val="24"/>
          <w:lang w:val="fr-FR"/>
        </w:rPr>
        <w:t>, t.I-II, Paris 1955</w:t>
      </w:r>
    </w:p>
    <w:p w:rsidR="00685D78" w:rsidRPr="003C0842" w:rsidRDefault="00685D78" w:rsidP="007106A1">
      <w:pPr>
        <w:pStyle w:val="Tekstprzypisudolnego"/>
        <w:spacing w:line="360" w:lineRule="auto"/>
        <w:ind w:left="709" w:hanging="709"/>
        <w:contextualSpacing/>
        <w:rPr>
          <w:sz w:val="24"/>
          <w:szCs w:val="24"/>
        </w:rPr>
      </w:pPr>
      <w:r w:rsidRPr="003C0842">
        <w:rPr>
          <w:sz w:val="24"/>
          <w:szCs w:val="24"/>
        </w:rPr>
        <w:t xml:space="preserve">Piszczkowski T., </w:t>
      </w:r>
      <w:r w:rsidRPr="003C0842">
        <w:rPr>
          <w:i/>
          <w:sz w:val="24"/>
          <w:szCs w:val="24"/>
        </w:rPr>
        <w:t>Anglia a Polska 1914-1939 w świetle dokumentów brytyjskich</w:t>
      </w:r>
      <w:r w:rsidRPr="003C0842">
        <w:rPr>
          <w:sz w:val="24"/>
          <w:szCs w:val="24"/>
        </w:rPr>
        <w:t>, Londyn 1975</w:t>
      </w:r>
    </w:p>
    <w:p w:rsidR="00685D78" w:rsidRPr="003C0842" w:rsidRDefault="00685D78" w:rsidP="007106A1">
      <w:pPr>
        <w:pStyle w:val="Tekstprzypisudolnego"/>
        <w:spacing w:line="360" w:lineRule="auto"/>
        <w:ind w:left="709" w:hanging="709"/>
        <w:contextualSpacing/>
        <w:rPr>
          <w:sz w:val="24"/>
          <w:szCs w:val="24"/>
        </w:rPr>
      </w:pPr>
      <w:r w:rsidRPr="003C0842">
        <w:rPr>
          <w:i/>
          <w:sz w:val="24"/>
          <w:szCs w:val="24"/>
        </w:rPr>
        <w:t>Protokoły obrad konferencji w Locarno. Zapis delegacji francuskiej</w:t>
      </w:r>
      <w:r w:rsidRPr="003C0842">
        <w:rPr>
          <w:sz w:val="24"/>
          <w:szCs w:val="24"/>
        </w:rPr>
        <w:t xml:space="preserve">, </w:t>
      </w:r>
      <w:r w:rsidR="002E56EE">
        <w:rPr>
          <w:sz w:val="24"/>
          <w:szCs w:val="24"/>
        </w:rPr>
        <w:t>oprac.</w:t>
      </w:r>
      <w:r w:rsidRPr="003C0842">
        <w:rPr>
          <w:sz w:val="24"/>
          <w:szCs w:val="24"/>
        </w:rPr>
        <w:t xml:space="preserve"> J. Łaptos, Kraków 1982</w:t>
      </w:r>
    </w:p>
    <w:p w:rsidR="00685D78" w:rsidRPr="003C0842" w:rsidRDefault="00685D78" w:rsidP="007106A1">
      <w:pPr>
        <w:pStyle w:val="Tekstprzypisudolnego"/>
        <w:spacing w:line="360" w:lineRule="auto"/>
        <w:ind w:left="709" w:hanging="709"/>
        <w:contextualSpacing/>
        <w:rPr>
          <w:sz w:val="24"/>
          <w:szCs w:val="24"/>
        </w:rPr>
      </w:pPr>
      <w:r w:rsidRPr="003C0842">
        <w:rPr>
          <w:i/>
          <w:sz w:val="24"/>
          <w:szCs w:val="24"/>
        </w:rPr>
        <w:t>Przegląd Informacyjny Polska a Zagranica</w:t>
      </w:r>
      <w:r w:rsidRPr="003C0842">
        <w:rPr>
          <w:sz w:val="24"/>
          <w:szCs w:val="24"/>
        </w:rPr>
        <w:t xml:space="preserve">, 1930, (dostępny w </w:t>
      </w:r>
      <w:r w:rsidR="00931238">
        <w:rPr>
          <w:sz w:val="24"/>
          <w:szCs w:val="24"/>
        </w:rPr>
        <w:t>wbc.poznan.pl</w:t>
      </w:r>
      <w:r w:rsidRPr="003C0842">
        <w:rPr>
          <w:sz w:val="24"/>
          <w:szCs w:val="24"/>
        </w:rPr>
        <w:t>).</w:t>
      </w:r>
    </w:p>
    <w:p w:rsidR="00685D78" w:rsidRPr="00F869F1" w:rsidRDefault="00895290" w:rsidP="007106A1">
      <w:pPr>
        <w:pStyle w:val="Tekstprzypisudolnego"/>
        <w:spacing w:line="360" w:lineRule="auto"/>
        <w:ind w:left="709" w:hanging="709"/>
        <w:contextualSpacing/>
        <w:rPr>
          <w:sz w:val="24"/>
          <w:szCs w:val="24"/>
          <w:lang w:val="de-DE"/>
        </w:rPr>
      </w:pPr>
      <w:r w:rsidRPr="00F869F1">
        <w:rPr>
          <w:color w:val="000000"/>
          <w:sz w:val="24"/>
          <w:szCs w:val="24"/>
          <w:lang w:val="de-DE"/>
        </w:rPr>
        <w:t xml:space="preserve">Rheinbaben V., </w:t>
      </w:r>
      <w:r w:rsidRPr="00F869F1">
        <w:rPr>
          <w:i/>
          <w:color w:val="000000"/>
          <w:sz w:val="24"/>
          <w:szCs w:val="24"/>
          <w:lang w:val="de-DE"/>
        </w:rPr>
        <w:t>Von Versailles zu Freiheit</w:t>
      </w:r>
      <w:r w:rsidRPr="00F869F1">
        <w:rPr>
          <w:color w:val="000000"/>
          <w:sz w:val="24"/>
          <w:szCs w:val="24"/>
          <w:lang w:val="de-DE"/>
        </w:rPr>
        <w:t>, Hamburg 1928</w:t>
      </w:r>
    </w:p>
    <w:p w:rsidR="00685D78" w:rsidRPr="003C0842" w:rsidRDefault="00685D78" w:rsidP="007106A1">
      <w:pPr>
        <w:pStyle w:val="Tekstprzypisudolnego"/>
        <w:spacing w:line="360" w:lineRule="auto"/>
        <w:ind w:left="709" w:hanging="709"/>
        <w:contextualSpacing/>
        <w:rPr>
          <w:sz w:val="24"/>
          <w:szCs w:val="24"/>
          <w:lang w:val="fr-FR"/>
        </w:rPr>
      </w:pPr>
      <w:r w:rsidRPr="003C0842">
        <w:rPr>
          <w:sz w:val="24"/>
          <w:szCs w:val="24"/>
          <w:lang w:val="fr-FR"/>
        </w:rPr>
        <w:t xml:space="preserve">Scelle G., </w:t>
      </w:r>
      <w:r w:rsidRPr="003C0842">
        <w:rPr>
          <w:i/>
          <w:sz w:val="24"/>
          <w:szCs w:val="24"/>
          <w:lang w:val="fr-FR"/>
        </w:rPr>
        <w:t>Le Pacte des Nations et sa liaison avec le Traité de Paix</w:t>
      </w:r>
      <w:r w:rsidRPr="003C0842">
        <w:rPr>
          <w:sz w:val="24"/>
          <w:szCs w:val="24"/>
          <w:lang w:val="fr-FR"/>
        </w:rPr>
        <w:t>, Paris 1919</w:t>
      </w:r>
    </w:p>
    <w:p w:rsidR="00685D78" w:rsidRPr="003C0842" w:rsidRDefault="00685D78" w:rsidP="007106A1">
      <w:pPr>
        <w:pStyle w:val="Tekstprzypisudolnego"/>
        <w:spacing w:line="360" w:lineRule="auto"/>
        <w:ind w:left="709" w:hanging="709"/>
        <w:contextualSpacing/>
        <w:rPr>
          <w:sz w:val="24"/>
          <w:szCs w:val="24"/>
        </w:rPr>
      </w:pPr>
      <w:r w:rsidRPr="003C0842">
        <w:rPr>
          <w:sz w:val="24"/>
          <w:szCs w:val="24"/>
        </w:rPr>
        <w:t xml:space="preserve">Schimitzek </w:t>
      </w:r>
      <w:r w:rsidR="00AF3D43" w:rsidRPr="003C0842">
        <w:rPr>
          <w:sz w:val="24"/>
          <w:szCs w:val="24"/>
        </w:rPr>
        <w:t xml:space="preserve">S., </w:t>
      </w:r>
      <w:r w:rsidRPr="003C0842">
        <w:rPr>
          <w:i/>
          <w:sz w:val="24"/>
          <w:szCs w:val="24"/>
        </w:rPr>
        <w:t>Drogi i bezdroża minionej epoki</w:t>
      </w:r>
      <w:r w:rsidRPr="003C0842">
        <w:rPr>
          <w:sz w:val="24"/>
          <w:szCs w:val="24"/>
        </w:rPr>
        <w:t>, Warszawa 1976</w:t>
      </w:r>
    </w:p>
    <w:p w:rsidR="00685D78" w:rsidRPr="003C0842" w:rsidRDefault="00685D78" w:rsidP="007106A1">
      <w:pPr>
        <w:pStyle w:val="Tekstprzypisudolnego"/>
        <w:spacing w:line="360" w:lineRule="auto"/>
        <w:ind w:left="709" w:hanging="709"/>
        <w:contextualSpacing/>
        <w:rPr>
          <w:sz w:val="24"/>
          <w:szCs w:val="24"/>
        </w:rPr>
      </w:pPr>
      <w:r w:rsidRPr="003C0842">
        <w:rPr>
          <w:sz w:val="24"/>
          <w:szCs w:val="24"/>
        </w:rPr>
        <w:t xml:space="preserve">Schmidt P., </w:t>
      </w:r>
      <w:r w:rsidRPr="003C0842">
        <w:rPr>
          <w:i/>
          <w:sz w:val="24"/>
          <w:szCs w:val="24"/>
        </w:rPr>
        <w:t>Statysta na dyplomatycznej scenie</w:t>
      </w:r>
      <w:r w:rsidRPr="003C0842">
        <w:rPr>
          <w:sz w:val="24"/>
          <w:szCs w:val="24"/>
        </w:rPr>
        <w:t>, Kraków 1965</w:t>
      </w:r>
    </w:p>
    <w:p w:rsidR="00685D78" w:rsidRPr="003C0842" w:rsidRDefault="00685D78" w:rsidP="007106A1">
      <w:pPr>
        <w:pStyle w:val="Tekstprzypisudolnego"/>
        <w:spacing w:line="360" w:lineRule="auto"/>
        <w:ind w:left="709" w:hanging="709"/>
        <w:contextualSpacing/>
        <w:rPr>
          <w:sz w:val="24"/>
          <w:szCs w:val="24"/>
        </w:rPr>
      </w:pPr>
      <w:r w:rsidRPr="003C0842">
        <w:rPr>
          <w:sz w:val="24"/>
          <w:szCs w:val="24"/>
        </w:rPr>
        <w:t xml:space="preserve">Sierpowski S., </w:t>
      </w:r>
      <w:r w:rsidRPr="003C0842">
        <w:rPr>
          <w:i/>
          <w:sz w:val="24"/>
          <w:szCs w:val="24"/>
        </w:rPr>
        <w:t>Źródła do historii powszechnej okresu międzywojennego</w:t>
      </w:r>
      <w:r w:rsidRPr="003C0842">
        <w:rPr>
          <w:sz w:val="24"/>
          <w:szCs w:val="24"/>
        </w:rPr>
        <w:t>,Poznań 1989</w:t>
      </w:r>
      <w:r w:rsidR="004166F0">
        <w:rPr>
          <w:sz w:val="24"/>
          <w:szCs w:val="24"/>
        </w:rPr>
        <w:t>,</w:t>
      </w:r>
      <w:r w:rsidRPr="003C0842">
        <w:rPr>
          <w:sz w:val="24"/>
          <w:szCs w:val="24"/>
        </w:rPr>
        <w:t xml:space="preserve"> t. I (publ</w:t>
      </w:r>
      <w:r w:rsidR="00FA2A0F">
        <w:rPr>
          <w:sz w:val="24"/>
          <w:szCs w:val="24"/>
        </w:rPr>
        <w:t xml:space="preserve">ikacja dostępna w </w:t>
      </w:r>
      <w:r w:rsidR="005D3D7A">
        <w:rPr>
          <w:sz w:val="24"/>
          <w:szCs w:val="24"/>
        </w:rPr>
        <w:t>wbc</w:t>
      </w:r>
      <w:r w:rsidR="00FA2A0F">
        <w:rPr>
          <w:sz w:val="24"/>
          <w:szCs w:val="24"/>
        </w:rPr>
        <w:t>.poznan.pl)</w:t>
      </w:r>
    </w:p>
    <w:p w:rsidR="00685D78" w:rsidRPr="003C0842" w:rsidRDefault="00685D78" w:rsidP="007106A1">
      <w:pPr>
        <w:pStyle w:val="Tekstprzypisudolnego"/>
        <w:spacing w:line="360" w:lineRule="auto"/>
        <w:ind w:left="709" w:hanging="709"/>
        <w:contextualSpacing/>
        <w:rPr>
          <w:sz w:val="24"/>
          <w:szCs w:val="24"/>
          <w:lang w:val="de-DE"/>
        </w:rPr>
      </w:pPr>
      <w:r w:rsidRPr="003C0842">
        <w:rPr>
          <w:sz w:val="24"/>
          <w:szCs w:val="24"/>
          <w:lang w:val="de-DE"/>
        </w:rPr>
        <w:t>Schücking W., Wehberg</w:t>
      </w:r>
      <w:r w:rsidR="004166F0">
        <w:rPr>
          <w:sz w:val="24"/>
          <w:szCs w:val="24"/>
          <w:lang w:val="de-DE"/>
        </w:rPr>
        <w:t xml:space="preserve"> H.</w:t>
      </w:r>
      <w:r w:rsidRPr="003C0842">
        <w:rPr>
          <w:sz w:val="24"/>
          <w:szCs w:val="24"/>
          <w:lang w:val="de-DE"/>
        </w:rPr>
        <w:t xml:space="preserve">, </w:t>
      </w:r>
      <w:r w:rsidRPr="003C0842">
        <w:rPr>
          <w:i/>
          <w:sz w:val="24"/>
          <w:szCs w:val="24"/>
          <w:lang w:val="de-DE"/>
        </w:rPr>
        <w:t>Die Satzung des Volkerbundes</w:t>
      </w:r>
      <w:r w:rsidRPr="003C0842">
        <w:rPr>
          <w:sz w:val="24"/>
          <w:szCs w:val="24"/>
          <w:lang w:val="de-DE"/>
        </w:rPr>
        <w:t>, Berlin 1924</w:t>
      </w:r>
    </w:p>
    <w:p w:rsidR="00BD2183" w:rsidRPr="003C0842" w:rsidRDefault="00BD2183" w:rsidP="007106A1">
      <w:pPr>
        <w:pStyle w:val="Tekstprzypisudolnego"/>
        <w:spacing w:line="360" w:lineRule="auto"/>
        <w:ind w:left="709" w:hanging="709"/>
        <w:contextualSpacing/>
        <w:rPr>
          <w:sz w:val="24"/>
          <w:szCs w:val="24"/>
          <w:lang w:val="de-AT"/>
        </w:rPr>
      </w:pPr>
      <w:r w:rsidRPr="003C0842">
        <w:rPr>
          <w:sz w:val="24"/>
          <w:szCs w:val="24"/>
          <w:lang w:val="de-AT"/>
        </w:rPr>
        <w:t xml:space="preserve">Stresemann G., </w:t>
      </w:r>
      <w:r w:rsidRPr="003C0842">
        <w:rPr>
          <w:i/>
          <w:sz w:val="24"/>
          <w:szCs w:val="24"/>
          <w:lang w:val="de-AT"/>
        </w:rPr>
        <w:t>Vermächtniss. Der Nachlass in drei Bänden</w:t>
      </w:r>
      <w:r w:rsidRPr="003C0842">
        <w:rPr>
          <w:sz w:val="24"/>
          <w:szCs w:val="24"/>
          <w:lang w:val="de-AT"/>
        </w:rPr>
        <w:t>, Berlin 1932</w:t>
      </w:r>
    </w:p>
    <w:p w:rsidR="00BD2183" w:rsidRPr="003C0842" w:rsidRDefault="00BD2183" w:rsidP="007106A1">
      <w:pPr>
        <w:pStyle w:val="Tekstprzypisudolnego"/>
        <w:spacing w:line="360" w:lineRule="auto"/>
        <w:ind w:left="709" w:hanging="709"/>
        <w:contextualSpacing/>
        <w:rPr>
          <w:sz w:val="24"/>
          <w:szCs w:val="24"/>
          <w:lang w:val="fr-FR"/>
        </w:rPr>
      </w:pPr>
      <w:r w:rsidRPr="003C0842">
        <w:rPr>
          <w:i/>
          <w:sz w:val="24"/>
          <w:szCs w:val="24"/>
          <w:lang w:val="fr-FR"/>
        </w:rPr>
        <w:t>Survey of International Affaires</w:t>
      </w:r>
      <w:r w:rsidRPr="003C0842">
        <w:rPr>
          <w:sz w:val="24"/>
          <w:szCs w:val="24"/>
          <w:lang w:val="fr-FR"/>
        </w:rPr>
        <w:t xml:space="preserve"> 1926</w:t>
      </w:r>
    </w:p>
    <w:p w:rsidR="00685D78" w:rsidRPr="003C0842" w:rsidRDefault="00685D78" w:rsidP="007106A1">
      <w:pPr>
        <w:pStyle w:val="Tekstprzypisudolnego"/>
        <w:spacing w:line="360" w:lineRule="auto"/>
        <w:ind w:left="709" w:hanging="709"/>
        <w:contextualSpacing/>
        <w:rPr>
          <w:sz w:val="24"/>
          <w:szCs w:val="24"/>
          <w:lang w:val="fr-FR"/>
        </w:rPr>
      </w:pPr>
      <w:r w:rsidRPr="003C0842">
        <w:rPr>
          <w:sz w:val="24"/>
          <w:szCs w:val="24"/>
          <w:lang w:val="fr-FR"/>
        </w:rPr>
        <w:t>Tabouis G.,</w:t>
      </w:r>
      <w:r w:rsidRPr="003C0842">
        <w:rPr>
          <w:i/>
          <w:sz w:val="24"/>
          <w:szCs w:val="24"/>
          <w:lang w:val="fr-FR"/>
        </w:rPr>
        <w:t>Vingt ans de „suspense” diplomatuque</w:t>
      </w:r>
      <w:r w:rsidRPr="003C0842">
        <w:rPr>
          <w:sz w:val="24"/>
          <w:szCs w:val="24"/>
          <w:lang w:val="fr-FR"/>
        </w:rPr>
        <w:t>, Paris 1958, (tłum. ros. Moskwa 1960)</w:t>
      </w:r>
    </w:p>
    <w:p w:rsidR="00685D78" w:rsidRPr="003C0842" w:rsidRDefault="00685D78" w:rsidP="007106A1">
      <w:pPr>
        <w:pStyle w:val="Tekstprzypisudolnego"/>
        <w:spacing w:line="360" w:lineRule="auto"/>
        <w:ind w:left="709" w:hanging="709"/>
        <w:contextualSpacing/>
        <w:rPr>
          <w:sz w:val="24"/>
          <w:szCs w:val="24"/>
          <w:lang w:val="de-DE"/>
        </w:rPr>
      </w:pPr>
      <w:r w:rsidRPr="003C0842">
        <w:rPr>
          <w:i/>
          <w:sz w:val="24"/>
          <w:szCs w:val="24"/>
          <w:lang w:val="fr-FR"/>
        </w:rPr>
        <w:lastRenderedPageBreak/>
        <w:t xml:space="preserve">Union Internationale des Associations pour la Société des Nations. </w:t>
      </w:r>
      <w:r w:rsidRPr="003C0842">
        <w:rPr>
          <w:i/>
          <w:sz w:val="24"/>
          <w:szCs w:val="24"/>
          <w:lang w:val="de-DE"/>
        </w:rPr>
        <w:t>Neuvième Assemléee. Varsovie 5-8 juillet 1925</w:t>
      </w:r>
      <w:r w:rsidRPr="003C0842">
        <w:rPr>
          <w:sz w:val="24"/>
          <w:szCs w:val="24"/>
          <w:lang w:val="de-DE"/>
        </w:rPr>
        <w:t>, Bruxelles 1925</w:t>
      </w:r>
    </w:p>
    <w:p w:rsidR="00B03B06" w:rsidRPr="003C0842" w:rsidRDefault="00B03B06" w:rsidP="007106A1">
      <w:pPr>
        <w:pStyle w:val="Tekstprzypisudolnego"/>
        <w:spacing w:line="360" w:lineRule="auto"/>
        <w:ind w:left="709" w:hanging="709"/>
        <w:contextualSpacing/>
        <w:rPr>
          <w:sz w:val="24"/>
          <w:szCs w:val="24"/>
          <w:lang w:val="de-DE"/>
        </w:rPr>
      </w:pPr>
      <w:r w:rsidRPr="003C0842">
        <w:rPr>
          <w:color w:val="000000"/>
          <w:sz w:val="24"/>
          <w:szCs w:val="24"/>
          <w:lang w:val="de-DE"/>
        </w:rPr>
        <w:t xml:space="preserve">Weizsäcker E. von, </w:t>
      </w:r>
      <w:r w:rsidRPr="003C0842">
        <w:rPr>
          <w:i/>
          <w:color w:val="000000"/>
          <w:sz w:val="24"/>
          <w:szCs w:val="24"/>
          <w:lang w:val="de-DE"/>
        </w:rPr>
        <w:t>Erinnerungen</w:t>
      </w:r>
      <w:r w:rsidRPr="003C0842">
        <w:rPr>
          <w:color w:val="000000"/>
          <w:sz w:val="24"/>
          <w:szCs w:val="24"/>
          <w:lang w:val="de-DE"/>
        </w:rPr>
        <w:t>, München1950,</w:t>
      </w:r>
    </w:p>
    <w:p w:rsidR="00685D78" w:rsidRPr="003C0842" w:rsidRDefault="00685D78" w:rsidP="007106A1">
      <w:pPr>
        <w:pStyle w:val="Tekstprzypisudolnego"/>
        <w:spacing w:line="360" w:lineRule="auto"/>
        <w:ind w:left="709" w:hanging="709"/>
        <w:contextualSpacing/>
        <w:rPr>
          <w:sz w:val="24"/>
          <w:szCs w:val="24"/>
          <w:lang w:val="de-DE"/>
        </w:rPr>
      </w:pPr>
      <w:r w:rsidRPr="003C0842">
        <w:rPr>
          <w:sz w:val="24"/>
          <w:szCs w:val="24"/>
          <w:lang w:val="de-DE"/>
        </w:rPr>
        <w:t xml:space="preserve">Wehberg H., </w:t>
      </w:r>
      <w:r w:rsidRPr="003C0842">
        <w:rPr>
          <w:i/>
          <w:sz w:val="24"/>
          <w:szCs w:val="24"/>
          <w:lang w:val="de-DE"/>
        </w:rPr>
        <w:t>Die Völkerbundbewegung</w:t>
      </w:r>
      <w:r w:rsidRPr="003C0842">
        <w:rPr>
          <w:sz w:val="24"/>
          <w:szCs w:val="24"/>
          <w:lang w:val="de-DE"/>
        </w:rPr>
        <w:t>, M. Gladbach 1924</w:t>
      </w:r>
    </w:p>
    <w:p w:rsidR="00685D78" w:rsidRPr="003C0842" w:rsidRDefault="00685D78" w:rsidP="007106A1">
      <w:pPr>
        <w:pStyle w:val="Tekstprzypisudolnego"/>
        <w:spacing w:line="360" w:lineRule="auto"/>
        <w:ind w:left="709" w:hanging="709"/>
        <w:contextualSpacing/>
        <w:rPr>
          <w:sz w:val="24"/>
          <w:szCs w:val="24"/>
        </w:rPr>
      </w:pPr>
      <w:r w:rsidRPr="003C0842">
        <w:rPr>
          <w:sz w:val="24"/>
          <w:szCs w:val="24"/>
        </w:rPr>
        <w:t xml:space="preserve">Wysocki A., </w:t>
      </w:r>
      <w:r w:rsidRPr="003C0842">
        <w:rPr>
          <w:i/>
          <w:sz w:val="24"/>
          <w:szCs w:val="24"/>
        </w:rPr>
        <w:t>Tajemnice dyplomatycznego sejfu</w:t>
      </w:r>
      <w:r w:rsidRPr="003C0842">
        <w:rPr>
          <w:sz w:val="24"/>
          <w:szCs w:val="24"/>
        </w:rPr>
        <w:t>, Warszawa1974</w:t>
      </w:r>
    </w:p>
    <w:p w:rsidR="00685D78" w:rsidRPr="003C0842" w:rsidRDefault="00685D78" w:rsidP="007106A1">
      <w:pPr>
        <w:pStyle w:val="Tekstprzypisudolnego"/>
        <w:spacing w:line="360" w:lineRule="auto"/>
        <w:ind w:left="709" w:hanging="709"/>
        <w:contextualSpacing/>
        <w:rPr>
          <w:sz w:val="24"/>
          <w:szCs w:val="24"/>
        </w:rPr>
      </w:pPr>
      <w:r w:rsidRPr="003C0842">
        <w:rPr>
          <w:sz w:val="24"/>
          <w:szCs w:val="24"/>
        </w:rPr>
        <w:t xml:space="preserve">Wodzicki R., </w:t>
      </w:r>
      <w:r w:rsidRPr="003C0842">
        <w:rPr>
          <w:i/>
          <w:sz w:val="24"/>
          <w:szCs w:val="24"/>
        </w:rPr>
        <w:t>Wspomnienia 1928-1939</w:t>
      </w:r>
      <w:r w:rsidRPr="003C0842">
        <w:rPr>
          <w:sz w:val="24"/>
          <w:szCs w:val="24"/>
        </w:rPr>
        <w:t>, Warszawa 1972</w:t>
      </w:r>
    </w:p>
    <w:p w:rsidR="00912375" w:rsidRPr="003C0842" w:rsidRDefault="00912375" w:rsidP="00912375">
      <w:pPr>
        <w:pStyle w:val="Tekstprzypisudolnego"/>
        <w:spacing w:line="240" w:lineRule="auto"/>
        <w:ind w:firstLine="709"/>
        <w:jc w:val="center"/>
        <w:rPr>
          <w:b/>
          <w:sz w:val="24"/>
          <w:szCs w:val="24"/>
        </w:rPr>
      </w:pPr>
      <w:r w:rsidRPr="003C0842">
        <w:rPr>
          <w:b/>
          <w:sz w:val="24"/>
          <w:szCs w:val="24"/>
        </w:rPr>
        <w:t xml:space="preserve">Cytowana </w:t>
      </w:r>
      <w:r w:rsidR="00A11CA8" w:rsidRPr="003C0842">
        <w:rPr>
          <w:b/>
          <w:sz w:val="24"/>
          <w:szCs w:val="24"/>
        </w:rPr>
        <w:t>l</w:t>
      </w:r>
      <w:r w:rsidRPr="003C0842">
        <w:rPr>
          <w:b/>
          <w:sz w:val="24"/>
          <w:szCs w:val="24"/>
        </w:rPr>
        <w:t>iteratura</w:t>
      </w:r>
    </w:p>
    <w:p w:rsidR="003101A3" w:rsidRPr="003C0842" w:rsidRDefault="003101A3" w:rsidP="00912375">
      <w:pPr>
        <w:pStyle w:val="Tekstprzypisudolnego"/>
        <w:spacing w:line="240" w:lineRule="auto"/>
        <w:ind w:firstLine="709"/>
        <w:jc w:val="center"/>
        <w:rPr>
          <w:b/>
          <w:sz w:val="24"/>
          <w:szCs w:val="24"/>
        </w:rPr>
      </w:pPr>
    </w:p>
    <w:p w:rsidR="003101A3" w:rsidRPr="003C0842" w:rsidRDefault="003101A3" w:rsidP="00912375">
      <w:pPr>
        <w:pStyle w:val="Tekstprzypisudolnego"/>
        <w:spacing w:line="240" w:lineRule="auto"/>
        <w:ind w:firstLine="709"/>
        <w:jc w:val="center"/>
        <w:rPr>
          <w:b/>
          <w:sz w:val="24"/>
          <w:szCs w:val="24"/>
        </w:rPr>
      </w:pPr>
    </w:p>
    <w:p w:rsidR="00912375" w:rsidRPr="003C0842" w:rsidRDefault="00912375" w:rsidP="007106A1">
      <w:pPr>
        <w:pStyle w:val="Tekstprzypisudolnego"/>
        <w:spacing w:line="360" w:lineRule="auto"/>
        <w:ind w:left="709" w:hanging="709"/>
        <w:contextualSpacing/>
        <w:rPr>
          <w:sz w:val="24"/>
          <w:szCs w:val="24"/>
          <w:lang w:val="en-US"/>
        </w:rPr>
      </w:pPr>
      <w:r w:rsidRPr="003C0842">
        <w:rPr>
          <w:sz w:val="24"/>
          <w:szCs w:val="24"/>
          <w:lang w:val="en-US"/>
        </w:rPr>
        <w:t xml:space="preserve">Allan J., </w:t>
      </w:r>
      <w:r w:rsidRPr="003C0842">
        <w:rPr>
          <w:i/>
          <w:sz w:val="24"/>
          <w:szCs w:val="24"/>
          <w:lang w:val="en-US"/>
        </w:rPr>
        <w:t>Slavery and the League of Nations: Ethiopia as a Civilized Nation,</w:t>
      </w:r>
      <w:r w:rsidRPr="003C0842">
        <w:rPr>
          <w:sz w:val="24"/>
          <w:szCs w:val="24"/>
          <w:lang w:val="en-US"/>
        </w:rPr>
        <w:t>Journal of the History of International Law</w:t>
      </w:r>
      <w:r w:rsidR="00454764">
        <w:rPr>
          <w:sz w:val="24"/>
          <w:szCs w:val="24"/>
          <w:lang w:val="en-US"/>
        </w:rPr>
        <w:t xml:space="preserve"> 8(</w:t>
      </w:r>
      <w:r w:rsidRPr="003C0842">
        <w:rPr>
          <w:sz w:val="24"/>
          <w:szCs w:val="24"/>
          <w:lang w:val="en-US"/>
        </w:rPr>
        <w:t>2006, vol. 8</w:t>
      </w:r>
    </w:p>
    <w:p w:rsidR="00912375" w:rsidRPr="003C0842" w:rsidRDefault="00912375" w:rsidP="007106A1">
      <w:pPr>
        <w:pStyle w:val="Tekstprzypisudolnego"/>
        <w:spacing w:line="360" w:lineRule="auto"/>
        <w:ind w:left="709" w:hanging="709"/>
        <w:contextualSpacing/>
        <w:rPr>
          <w:sz w:val="24"/>
          <w:szCs w:val="24"/>
          <w:lang w:val="fr-FR"/>
        </w:rPr>
      </w:pPr>
      <w:r w:rsidRPr="003C0842">
        <w:rPr>
          <w:sz w:val="24"/>
          <w:szCs w:val="24"/>
          <w:lang w:val="fr-FR"/>
        </w:rPr>
        <w:t xml:space="preserve">BaaerA., </w:t>
      </w:r>
      <w:r w:rsidRPr="003C0842">
        <w:rPr>
          <w:i/>
          <w:sz w:val="24"/>
          <w:szCs w:val="24"/>
          <w:lang w:val="fr-FR"/>
        </w:rPr>
        <w:t>Relations internationales et franc maçonerie</w:t>
      </w:r>
      <w:r w:rsidR="00D60D5E" w:rsidRPr="003C0842">
        <w:rPr>
          <w:sz w:val="24"/>
          <w:szCs w:val="24"/>
          <w:lang w:val="fr-FR"/>
        </w:rPr>
        <w:t>,</w:t>
      </w:r>
      <w:r w:rsidRPr="003C0842">
        <w:rPr>
          <w:sz w:val="24"/>
          <w:szCs w:val="24"/>
          <w:lang w:val="fr-FR"/>
        </w:rPr>
        <w:t>Revue internationale et strategue, nr 54 (2004)</w:t>
      </w:r>
    </w:p>
    <w:p w:rsidR="00912375" w:rsidRPr="00387453" w:rsidRDefault="00912375" w:rsidP="007106A1">
      <w:pPr>
        <w:pStyle w:val="Tekstprzypisudolnego"/>
        <w:spacing w:line="360" w:lineRule="auto"/>
        <w:ind w:left="709" w:hanging="709"/>
        <w:contextualSpacing/>
        <w:rPr>
          <w:sz w:val="24"/>
          <w:szCs w:val="24"/>
          <w:lang w:val="fr-FR"/>
        </w:rPr>
      </w:pPr>
      <w:r w:rsidRPr="003C0842">
        <w:rPr>
          <w:sz w:val="24"/>
          <w:szCs w:val="24"/>
          <w:lang w:val="fr-FR"/>
        </w:rPr>
        <w:t>Baigorri-Jalon J</w:t>
      </w:r>
      <w:r w:rsidRPr="003C0842">
        <w:rPr>
          <w:i/>
          <w:sz w:val="24"/>
          <w:szCs w:val="24"/>
          <w:lang w:val="fr-FR"/>
        </w:rPr>
        <w:t>., DeParis à Nuremberg: naissance de l’interprétation de conference.</w:t>
      </w:r>
      <w:r w:rsidRPr="00387453">
        <w:rPr>
          <w:sz w:val="24"/>
          <w:szCs w:val="24"/>
          <w:lang w:val="fr-FR"/>
        </w:rPr>
        <w:t>Ed. La Presse de l’Université d’Ottava 2004</w:t>
      </w:r>
    </w:p>
    <w:p w:rsidR="00912375" w:rsidRPr="003C0842" w:rsidRDefault="00912375" w:rsidP="007106A1">
      <w:pPr>
        <w:pStyle w:val="Tekstprzypisudolnego"/>
        <w:spacing w:line="360" w:lineRule="auto"/>
        <w:ind w:left="709" w:hanging="709"/>
        <w:contextualSpacing/>
        <w:rPr>
          <w:sz w:val="24"/>
          <w:szCs w:val="24"/>
          <w:lang w:val="en-US"/>
        </w:rPr>
      </w:pPr>
      <w:r w:rsidRPr="003C0842">
        <w:rPr>
          <w:sz w:val="24"/>
          <w:szCs w:val="24"/>
          <w:lang w:val="en-US"/>
        </w:rPr>
        <w:t xml:space="preserve">Balázs J., </w:t>
      </w:r>
      <w:r w:rsidRPr="003C0842">
        <w:rPr>
          <w:i/>
          <w:sz w:val="24"/>
          <w:szCs w:val="24"/>
          <w:lang w:val="en-US"/>
        </w:rPr>
        <w:t>The Inter-Allied Military Commission of Control and the Military Control of Hungary between 1921-1927</w:t>
      </w:r>
      <w:r w:rsidRPr="00454764">
        <w:rPr>
          <w:sz w:val="24"/>
          <w:szCs w:val="24"/>
          <w:lang w:val="en-US"/>
        </w:rPr>
        <w:t>, Budapest 2012,</w:t>
      </w:r>
      <w:r w:rsidR="007122DA" w:rsidRPr="00454764">
        <w:rPr>
          <w:sz w:val="24"/>
          <w:szCs w:val="24"/>
          <w:lang w:val="en-US"/>
        </w:rPr>
        <w:t>http://uni-nke.hu/downloads/kutatas/folyoiratok/hadtudomanyi_szemle/szamok/2012/2012_1/2012_1_hm_juhasz_balazs_47_72.pdf</w:t>
      </w:r>
      <w:r w:rsidR="007122DA" w:rsidRPr="003C0842">
        <w:rPr>
          <w:sz w:val="24"/>
          <w:szCs w:val="24"/>
          <w:lang w:val="en-US"/>
        </w:rPr>
        <w:t xml:space="preserve"> [</w:t>
      </w:r>
      <w:r w:rsidR="000E6523" w:rsidRPr="003C0842">
        <w:rPr>
          <w:sz w:val="24"/>
          <w:szCs w:val="24"/>
          <w:lang w:val="en-US"/>
        </w:rPr>
        <w:t>dostęp:15.03.2013]</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Balcerak W., </w:t>
      </w:r>
      <w:r w:rsidRPr="003C0842">
        <w:rPr>
          <w:i/>
          <w:sz w:val="24"/>
          <w:szCs w:val="24"/>
        </w:rPr>
        <w:t xml:space="preserve">Liga </w:t>
      </w:r>
      <w:r w:rsidR="00454764">
        <w:rPr>
          <w:i/>
          <w:sz w:val="24"/>
          <w:szCs w:val="24"/>
        </w:rPr>
        <w:t>Nadziei. Z dziejów Ligi Narodów</w:t>
      </w:r>
      <w:r w:rsidR="00454764" w:rsidRPr="00454764">
        <w:rPr>
          <w:sz w:val="24"/>
          <w:szCs w:val="24"/>
        </w:rPr>
        <w:t>,</w:t>
      </w:r>
      <w:r w:rsidRPr="003C0842">
        <w:rPr>
          <w:sz w:val="24"/>
          <w:szCs w:val="24"/>
        </w:rPr>
        <w:t>Warszawa 2010</w:t>
      </w:r>
    </w:p>
    <w:p w:rsidR="00912375" w:rsidRPr="003C0842" w:rsidRDefault="00912375" w:rsidP="007106A1">
      <w:pPr>
        <w:pStyle w:val="Tekstprzypisudolnego"/>
        <w:spacing w:line="360" w:lineRule="auto"/>
        <w:ind w:left="709" w:hanging="709"/>
        <w:contextualSpacing/>
        <w:rPr>
          <w:b/>
          <w:sz w:val="24"/>
          <w:szCs w:val="24"/>
        </w:rPr>
      </w:pPr>
      <w:r w:rsidRPr="003C0842">
        <w:rPr>
          <w:sz w:val="24"/>
          <w:szCs w:val="24"/>
        </w:rPr>
        <w:t xml:space="preserve">Balcerak W., </w:t>
      </w:r>
      <w:r w:rsidRPr="003C0842">
        <w:rPr>
          <w:i/>
          <w:sz w:val="24"/>
          <w:szCs w:val="24"/>
        </w:rPr>
        <w:t>Polityka zagraniczna Polski w dobie Locarna</w:t>
      </w:r>
      <w:r w:rsidRPr="003C0842">
        <w:rPr>
          <w:sz w:val="24"/>
          <w:szCs w:val="24"/>
        </w:rPr>
        <w:t>, Wrocław 1967</w:t>
      </w:r>
    </w:p>
    <w:p w:rsidR="00912375" w:rsidRPr="00387453" w:rsidRDefault="00912375" w:rsidP="007106A1">
      <w:pPr>
        <w:pStyle w:val="Tekstprzypisudolnego"/>
        <w:spacing w:line="360" w:lineRule="auto"/>
        <w:ind w:left="709" w:hanging="709"/>
        <w:contextualSpacing/>
        <w:rPr>
          <w:sz w:val="24"/>
          <w:szCs w:val="24"/>
        </w:rPr>
      </w:pPr>
      <w:r w:rsidRPr="003C0842">
        <w:rPr>
          <w:sz w:val="24"/>
          <w:szCs w:val="24"/>
        </w:rPr>
        <w:t xml:space="preserve">Balcerak W., </w:t>
      </w:r>
      <w:r w:rsidRPr="003C0842">
        <w:rPr>
          <w:i/>
          <w:sz w:val="24"/>
          <w:szCs w:val="24"/>
        </w:rPr>
        <w:t>Powstanie państw narodowych w Europie Środkowo-Wschodniej</w:t>
      </w:r>
      <w:r w:rsidR="00454764">
        <w:rPr>
          <w:sz w:val="24"/>
          <w:szCs w:val="24"/>
        </w:rPr>
        <w:t>,</w:t>
      </w:r>
      <w:r w:rsidRPr="00387453">
        <w:rPr>
          <w:sz w:val="24"/>
          <w:szCs w:val="24"/>
        </w:rPr>
        <w:t>Warszawa 1974</w:t>
      </w:r>
    </w:p>
    <w:p w:rsidR="00912375" w:rsidRPr="00387453" w:rsidRDefault="00912375" w:rsidP="007106A1">
      <w:pPr>
        <w:pStyle w:val="Tekstprzypisudolnego"/>
        <w:spacing w:line="360" w:lineRule="auto"/>
        <w:ind w:left="709" w:hanging="709"/>
        <w:contextualSpacing/>
        <w:rPr>
          <w:sz w:val="24"/>
          <w:szCs w:val="24"/>
        </w:rPr>
      </w:pPr>
      <w:r w:rsidRPr="003C0842">
        <w:rPr>
          <w:sz w:val="24"/>
          <w:szCs w:val="24"/>
          <w:lang w:val="fr-FR"/>
        </w:rPr>
        <w:t xml:space="preserve">Balińska M., </w:t>
      </w:r>
      <w:r w:rsidRPr="003C0842">
        <w:rPr>
          <w:i/>
          <w:sz w:val="24"/>
          <w:szCs w:val="24"/>
          <w:lang w:val="fr-FR"/>
        </w:rPr>
        <w:t xml:space="preserve">Une vie pour l’humanitaire. </w:t>
      </w:r>
      <w:r w:rsidRPr="00387453">
        <w:rPr>
          <w:i/>
          <w:sz w:val="24"/>
          <w:szCs w:val="24"/>
        </w:rPr>
        <w:t xml:space="preserve">Ludwik Rajchman </w:t>
      </w:r>
      <w:r w:rsidR="00F0463B" w:rsidRPr="00387453">
        <w:rPr>
          <w:sz w:val="24"/>
          <w:szCs w:val="24"/>
        </w:rPr>
        <w:t>(</w:t>
      </w:r>
      <w:r w:rsidRPr="00387453">
        <w:rPr>
          <w:i/>
          <w:sz w:val="24"/>
          <w:szCs w:val="24"/>
        </w:rPr>
        <w:t>1881</w:t>
      </w:r>
      <w:r w:rsidR="00454764" w:rsidRPr="00387453">
        <w:rPr>
          <w:i/>
          <w:sz w:val="24"/>
          <w:szCs w:val="24"/>
        </w:rPr>
        <w:t>-</w:t>
      </w:r>
      <w:r w:rsidRPr="00387453">
        <w:rPr>
          <w:i/>
          <w:sz w:val="24"/>
          <w:szCs w:val="24"/>
        </w:rPr>
        <w:t>1965</w:t>
      </w:r>
      <w:r w:rsidRPr="00387453">
        <w:rPr>
          <w:sz w:val="24"/>
          <w:szCs w:val="24"/>
        </w:rPr>
        <w:t>), La Découverte 1995</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Barabasz A., </w:t>
      </w:r>
      <w:r w:rsidRPr="003C0842">
        <w:rPr>
          <w:i/>
          <w:sz w:val="24"/>
          <w:szCs w:val="24"/>
        </w:rPr>
        <w:t>Polacy i Polska wobec idei integracji europejskiej w latach 1915-1957</w:t>
      </w:r>
      <w:r w:rsidRPr="003C0842">
        <w:rPr>
          <w:sz w:val="24"/>
          <w:szCs w:val="24"/>
        </w:rPr>
        <w:t>, Toruń 2008</w:t>
      </w:r>
    </w:p>
    <w:p w:rsidR="00912375" w:rsidRPr="003C0842" w:rsidRDefault="00912375" w:rsidP="007106A1">
      <w:pPr>
        <w:spacing w:line="360" w:lineRule="auto"/>
        <w:ind w:left="709" w:hanging="709"/>
        <w:contextualSpacing/>
        <w:rPr>
          <w:lang w:val="en-US"/>
        </w:rPr>
      </w:pPr>
      <w:r w:rsidRPr="003C0842">
        <w:rPr>
          <w:lang w:val="en-US"/>
        </w:rPr>
        <w:t xml:space="preserve">Barros A., </w:t>
      </w:r>
      <w:r w:rsidRPr="003C0842">
        <w:rPr>
          <w:i/>
          <w:lang w:val="en-US"/>
        </w:rPr>
        <w:t>Disarmament as a Weapon: Anglo-French Relations and the Problem of Enforcing German Disarmament, 1919-28</w:t>
      </w:r>
      <w:r w:rsidRPr="00454764">
        <w:rPr>
          <w:lang w:val="en-US"/>
        </w:rPr>
        <w:t xml:space="preserve">, </w:t>
      </w:r>
      <w:r w:rsidRPr="003C0842">
        <w:rPr>
          <w:iCs/>
          <w:lang w:val="en-US"/>
        </w:rPr>
        <w:t>Journalof Strategic Studies</w:t>
      </w:r>
      <w:r w:rsidRPr="003C0842">
        <w:rPr>
          <w:lang w:val="en-US"/>
        </w:rPr>
        <w:t>29</w:t>
      </w:r>
      <w:r w:rsidR="00454764">
        <w:rPr>
          <w:lang w:val="en-US"/>
        </w:rPr>
        <w:t xml:space="preserve"> (2006), 2</w:t>
      </w:r>
    </w:p>
    <w:p w:rsidR="00912375" w:rsidRPr="003C0842" w:rsidRDefault="00912375" w:rsidP="007106A1">
      <w:pPr>
        <w:pStyle w:val="Tekstprzypisudolnego"/>
        <w:spacing w:line="360" w:lineRule="auto"/>
        <w:ind w:left="709" w:hanging="709"/>
        <w:contextualSpacing/>
        <w:rPr>
          <w:sz w:val="24"/>
          <w:szCs w:val="24"/>
          <w:lang w:val="en-US"/>
        </w:rPr>
      </w:pPr>
      <w:r w:rsidRPr="003C0842">
        <w:rPr>
          <w:sz w:val="24"/>
          <w:szCs w:val="24"/>
          <w:lang w:val="en-US"/>
        </w:rPr>
        <w:t xml:space="preserve">Barros J., </w:t>
      </w:r>
      <w:r w:rsidRPr="003C0842">
        <w:rPr>
          <w:i/>
          <w:sz w:val="24"/>
          <w:szCs w:val="24"/>
          <w:lang w:val="en-US"/>
        </w:rPr>
        <w:t>Betrayal from Within. Joseph Avenol. Secretary-General of the League of Nations 1933</w:t>
      </w:r>
      <w:r w:rsidR="005A5F3B">
        <w:rPr>
          <w:i/>
          <w:sz w:val="24"/>
          <w:szCs w:val="24"/>
          <w:lang w:val="en-US"/>
        </w:rPr>
        <w:t>-</w:t>
      </w:r>
      <w:r w:rsidRPr="003C0842">
        <w:rPr>
          <w:i/>
          <w:sz w:val="24"/>
          <w:szCs w:val="24"/>
          <w:lang w:val="en-US"/>
        </w:rPr>
        <w:t>1940</w:t>
      </w:r>
      <w:r w:rsidRPr="00AB5088">
        <w:rPr>
          <w:sz w:val="24"/>
          <w:szCs w:val="24"/>
          <w:lang w:val="en-US"/>
        </w:rPr>
        <w:t>,</w:t>
      </w:r>
      <w:r w:rsidR="007122DA" w:rsidRPr="003C0842">
        <w:rPr>
          <w:sz w:val="24"/>
          <w:szCs w:val="24"/>
          <w:lang w:val="en-US"/>
        </w:rPr>
        <w:t>New Haven-</w:t>
      </w:r>
      <w:r w:rsidRPr="003C0842">
        <w:rPr>
          <w:sz w:val="24"/>
          <w:szCs w:val="24"/>
          <w:lang w:val="en-US"/>
        </w:rPr>
        <w:t xml:space="preserve">London 1969 </w:t>
      </w:r>
    </w:p>
    <w:p w:rsidR="00912375" w:rsidRPr="003C0842" w:rsidRDefault="00912375" w:rsidP="007106A1">
      <w:pPr>
        <w:pStyle w:val="Tekstprzypisudolnego"/>
        <w:spacing w:line="360" w:lineRule="auto"/>
        <w:ind w:left="709" w:hanging="709"/>
        <w:contextualSpacing/>
        <w:rPr>
          <w:sz w:val="24"/>
          <w:szCs w:val="24"/>
          <w:lang w:val="en-US"/>
        </w:rPr>
      </w:pPr>
      <w:r w:rsidRPr="003C0842">
        <w:rPr>
          <w:sz w:val="24"/>
          <w:szCs w:val="24"/>
          <w:lang w:val="en-US"/>
        </w:rPr>
        <w:t xml:space="preserve">Barros J., </w:t>
      </w:r>
      <w:r w:rsidRPr="003C0842">
        <w:rPr>
          <w:i/>
          <w:sz w:val="24"/>
          <w:szCs w:val="24"/>
          <w:lang w:val="en-US"/>
        </w:rPr>
        <w:t>The League of Nations and the Great Powers. The Greek-Bulgarian Incident, 1925</w:t>
      </w:r>
      <w:r w:rsidRPr="00AB5088">
        <w:rPr>
          <w:sz w:val="24"/>
          <w:szCs w:val="24"/>
          <w:lang w:val="en-US"/>
        </w:rPr>
        <w:t xml:space="preserve">, </w:t>
      </w:r>
      <w:r w:rsidRPr="003C0842">
        <w:rPr>
          <w:sz w:val="24"/>
          <w:szCs w:val="24"/>
          <w:lang w:val="en-US"/>
        </w:rPr>
        <w:t>Oxford 1970</w:t>
      </w:r>
    </w:p>
    <w:p w:rsidR="00912375" w:rsidRPr="003C0842" w:rsidRDefault="00912375" w:rsidP="007106A1">
      <w:pPr>
        <w:pStyle w:val="Tekstprzypisudolnego"/>
        <w:spacing w:line="360" w:lineRule="auto"/>
        <w:ind w:left="709" w:hanging="709"/>
        <w:contextualSpacing/>
        <w:rPr>
          <w:sz w:val="24"/>
          <w:szCs w:val="24"/>
          <w:lang w:val="en-US"/>
        </w:rPr>
      </w:pPr>
      <w:r w:rsidRPr="003C0842">
        <w:rPr>
          <w:sz w:val="24"/>
          <w:szCs w:val="24"/>
          <w:lang w:val="en-US"/>
        </w:rPr>
        <w:t xml:space="preserve">Barros J., </w:t>
      </w:r>
      <w:r w:rsidRPr="003C0842">
        <w:rPr>
          <w:i/>
          <w:sz w:val="24"/>
          <w:szCs w:val="24"/>
          <w:lang w:val="en-US"/>
        </w:rPr>
        <w:t>Office Without Power. Secretary-General sir Eric Drummond 1919</w:t>
      </w:r>
      <w:r w:rsidR="005A5F3B">
        <w:rPr>
          <w:i/>
          <w:sz w:val="24"/>
          <w:szCs w:val="24"/>
          <w:lang w:val="en-US"/>
        </w:rPr>
        <w:t>-</w:t>
      </w:r>
      <w:r w:rsidRPr="003C0842">
        <w:rPr>
          <w:i/>
          <w:sz w:val="24"/>
          <w:szCs w:val="24"/>
          <w:lang w:val="en-US"/>
        </w:rPr>
        <w:t>1933</w:t>
      </w:r>
      <w:r w:rsidRPr="00AB5088">
        <w:rPr>
          <w:sz w:val="24"/>
          <w:szCs w:val="24"/>
          <w:lang w:val="en-US"/>
        </w:rPr>
        <w:t>,</w:t>
      </w:r>
      <w:r w:rsidRPr="003C0842">
        <w:rPr>
          <w:sz w:val="24"/>
          <w:szCs w:val="24"/>
          <w:lang w:val="en-US"/>
        </w:rPr>
        <w:t xml:space="preserve"> Oxford 1979</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lastRenderedPageBreak/>
        <w:t xml:space="preserve">Bartnicki A., </w:t>
      </w:r>
      <w:r w:rsidRPr="003C0842">
        <w:rPr>
          <w:i/>
          <w:sz w:val="24"/>
          <w:szCs w:val="24"/>
        </w:rPr>
        <w:t>Pierwszy front II wojny światowej Konflikt włosko-etiopski 1935-1936</w:t>
      </w:r>
      <w:r w:rsidR="00AB5088">
        <w:rPr>
          <w:sz w:val="24"/>
          <w:szCs w:val="24"/>
        </w:rPr>
        <w:t>,</w:t>
      </w:r>
      <w:r w:rsidRPr="003C0842">
        <w:rPr>
          <w:sz w:val="24"/>
          <w:szCs w:val="24"/>
        </w:rPr>
        <w:t xml:space="preserve"> Warszawa1971</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Batowski H., </w:t>
      </w:r>
      <w:r w:rsidRPr="003C0842">
        <w:rPr>
          <w:i/>
          <w:sz w:val="24"/>
          <w:szCs w:val="24"/>
        </w:rPr>
        <w:t>Ekspansja niemiecka w Europie Środkowej w latach 1919</w:t>
      </w:r>
      <w:r w:rsidR="00AB5088">
        <w:rPr>
          <w:i/>
          <w:sz w:val="24"/>
          <w:szCs w:val="24"/>
        </w:rPr>
        <w:t>-</w:t>
      </w:r>
      <w:r w:rsidRPr="003C0842">
        <w:rPr>
          <w:i/>
          <w:sz w:val="24"/>
          <w:szCs w:val="24"/>
        </w:rPr>
        <w:t>1939</w:t>
      </w:r>
      <w:r w:rsidR="00D60D5E" w:rsidRPr="003C0842">
        <w:rPr>
          <w:sz w:val="24"/>
          <w:szCs w:val="24"/>
        </w:rPr>
        <w:t>,</w:t>
      </w:r>
      <w:r w:rsidRPr="003C0842">
        <w:rPr>
          <w:sz w:val="24"/>
          <w:szCs w:val="24"/>
        </w:rPr>
        <w:t>Dzieje Najnowsze, t. 1-2 (1971)</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Baumgart M., </w:t>
      </w:r>
      <w:r w:rsidRPr="003C0842">
        <w:rPr>
          <w:i/>
          <w:sz w:val="24"/>
          <w:szCs w:val="24"/>
        </w:rPr>
        <w:t>Aleksander Skrzyński</w:t>
      </w:r>
      <w:r w:rsidRPr="003C0842">
        <w:rPr>
          <w:sz w:val="24"/>
          <w:szCs w:val="24"/>
        </w:rPr>
        <w:t xml:space="preserve">, </w:t>
      </w:r>
      <w:r w:rsidR="004D2F75" w:rsidRPr="003C0842">
        <w:rPr>
          <w:sz w:val="24"/>
          <w:szCs w:val="24"/>
        </w:rPr>
        <w:t>[w:]</w:t>
      </w:r>
      <w:r w:rsidRPr="00AB5088">
        <w:rPr>
          <w:i/>
          <w:sz w:val="24"/>
          <w:szCs w:val="24"/>
        </w:rPr>
        <w:t>Ministrowie spraw zagranicznych</w:t>
      </w:r>
      <w:r w:rsidRPr="003C0842">
        <w:rPr>
          <w:sz w:val="24"/>
          <w:szCs w:val="24"/>
        </w:rPr>
        <w:t xml:space="preserve"> (</w:t>
      </w:r>
      <w:r w:rsidRPr="00AB5088">
        <w:rPr>
          <w:i/>
          <w:sz w:val="24"/>
          <w:szCs w:val="24"/>
        </w:rPr>
        <w:t>1919</w:t>
      </w:r>
      <w:r w:rsidR="005A5F3B">
        <w:rPr>
          <w:i/>
          <w:sz w:val="24"/>
          <w:szCs w:val="24"/>
        </w:rPr>
        <w:t>-</w:t>
      </w:r>
      <w:r w:rsidRPr="00AB5088">
        <w:rPr>
          <w:i/>
          <w:sz w:val="24"/>
          <w:szCs w:val="24"/>
        </w:rPr>
        <w:t>1939</w:t>
      </w:r>
      <w:r w:rsidRPr="003C0842">
        <w:rPr>
          <w:sz w:val="24"/>
          <w:szCs w:val="24"/>
        </w:rPr>
        <w:t>), red. J. Pajewski, Szczecin 1993</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Beckett I.F.W, </w:t>
      </w:r>
      <w:r w:rsidRPr="003C0842">
        <w:rPr>
          <w:i/>
          <w:sz w:val="24"/>
          <w:szCs w:val="24"/>
        </w:rPr>
        <w:t>Pierwsza wojna światowa 1914</w:t>
      </w:r>
      <w:r w:rsidR="005A5F3B">
        <w:rPr>
          <w:i/>
          <w:sz w:val="24"/>
          <w:szCs w:val="24"/>
        </w:rPr>
        <w:t>-</w:t>
      </w:r>
      <w:r w:rsidRPr="003C0842">
        <w:rPr>
          <w:i/>
          <w:sz w:val="24"/>
          <w:szCs w:val="24"/>
        </w:rPr>
        <w:t>1918</w:t>
      </w:r>
      <w:r w:rsidRPr="003C0842">
        <w:rPr>
          <w:sz w:val="24"/>
          <w:szCs w:val="24"/>
        </w:rPr>
        <w:t>, tłum. R. Dymek, Warszawa 2009</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Bendiner E. </w:t>
      </w:r>
      <w:r w:rsidRPr="003C0842">
        <w:rPr>
          <w:i/>
          <w:sz w:val="24"/>
          <w:szCs w:val="24"/>
        </w:rPr>
        <w:t>Czas Aniołów</w:t>
      </w:r>
      <w:r w:rsidR="00645210" w:rsidRPr="003C0842">
        <w:rPr>
          <w:i/>
          <w:sz w:val="24"/>
          <w:szCs w:val="24"/>
        </w:rPr>
        <w:t>.</w:t>
      </w:r>
      <w:r w:rsidRPr="003C0842">
        <w:rPr>
          <w:i/>
          <w:sz w:val="24"/>
          <w:szCs w:val="24"/>
        </w:rPr>
        <w:t xml:space="preserve"> Tragikomiczna historia Ligi Narodów</w:t>
      </w:r>
      <w:r w:rsidR="00AB5088">
        <w:rPr>
          <w:sz w:val="24"/>
          <w:szCs w:val="24"/>
        </w:rPr>
        <w:t>,</w:t>
      </w:r>
      <w:r w:rsidRPr="003C0842">
        <w:rPr>
          <w:sz w:val="24"/>
          <w:szCs w:val="24"/>
        </w:rPr>
        <w:t xml:space="preserve"> Warszawa 1981</w:t>
      </w:r>
    </w:p>
    <w:p w:rsidR="00BD56B3" w:rsidRDefault="00912375" w:rsidP="007106A1">
      <w:pPr>
        <w:pStyle w:val="Tekstprzypisudolnego"/>
        <w:spacing w:line="360" w:lineRule="auto"/>
        <w:ind w:left="709" w:hanging="709"/>
        <w:contextualSpacing/>
        <w:rPr>
          <w:sz w:val="24"/>
          <w:szCs w:val="24"/>
          <w:lang w:val="en-US"/>
        </w:rPr>
      </w:pPr>
      <w:r w:rsidRPr="003C0842">
        <w:rPr>
          <w:sz w:val="24"/>
          <w:szCs w:val="24"/>
          <w:lang w:val="en-US"/>
        </w:rPr>
        <w:t xml:space="preserve">Bendiner E., </w:t>
      </w:r>
      <w:r w:rsidRPr="003C0842">
        <w:rPr>
          <w:i/>
          <w:sz w:val="24"/>
          <w:szCs w:val="24"/>
          <w:lang w:val="en-US"/>
        </w:rPr>
        <w:t xml:space="preserve">Sara Josephine </w:t>
      </w:r>
      <w:r w:rsidRPr="003C0842">
        <w:rPr>
          <w:i/>
          <w:sz w:val="24"/>
          <w:szCs w:val="24"/>
          <w:lang w:val="en-GB"/>
        </w:rPr>
        <w:t>Baker</w:t>
      </w:r>
      <w:r w:rsidRPr="003C0842">
        <w:rPr>
          <w:i/>
          <w:sz w:val="24"/>
          <w:szCs w:val="24"/>
          <w:lang w:val="en-US"/>
        </w:rPr>
        <w:t>, crusader for women and children’s hea</w:t>
      </w:r>
      <w:r w:rsidR="000F3F88" w:rsidRPr="003C0842">
        <w:rPr>
          <w:i/>
          <w:sz w:val="24"/>
          <w:szCs w:val="24"/>
          <w:lang w:val="en-US"/>
        </w:rPr>
        <w:t>l</w:t>
      </w:r>
      <w:r w:rsidRPr="003C0842">
        <w:rPr>
          <w:i/>
          <w:sz w:val="24"/>
          <w:szCs w:val="24"/>
          <w:lang w:val="en-US"/>
        </w:rPr>
        <w:t>th</w:t>
      </w:r>
      <w:r w:rsidR="00AB5088">
        <w:rPr>
          <w:sz w:val="24"/>
          <w:szCs w:val="24"/>
          <w:lang w:val="en-US"/>
        </w:rPr>
        <w:t>, Hospital Practice, US 30(</w:t>
      </w:r>
      <w:r w:rsidRPr="003C0842">
        <w:rPr>
          <w:sz w:val="24"/>
          <w:szCs w:val="24"/>
          <w:lang w:val="en-US"/>
        </w:rPr>
        <w:t>1995</w:t>
      </w:r>
      <w:r w:rsidR="00AB5088">
        <w:rPr>
          <w:sz w:val="24"/>
          <w:szCs w:val="24"/>
          <w:lang w:val="en-US"/>
        </w:rPr>
        <w:t>),</w:t>
      </w:r>
      <w:r w:rsidRPr="003C0842">
        <w:rPr>
          <w:sz w:val="24"/>
          <w:szCs w:val="24"/>
          <w:lang w:val="en-US"/>
        </w:rPr>
        <w:t xml:space="preserve"> nr 9</w:t>
      </w:r>
    </w:p>
    <w:p w:rsidR="00912375" w:rsidRPr="003C0842" w:rsidRDefault="00912375" w:rsidP="007106A1">
      <w:pPr>
        <w:pStyle w:val="Tekstprzypisudolnego"/>
        <w:spacing w:line="360" w:lineRule="auto"/>
        <w:ind w:left="709" w:hanging="709"/>
        <w:contextualSpacing/>
        <w:rPr>
          <w:sz w:val="24"/>
          <w:szCs w:val="24"/>
          <w:lang w:val="en-US"/>
        </w:rPr>
      </w:pPr>
      <w:r w:rsidRPr="003C0842">
        <w:rPr>
          <w:sz w:val="24"/>
          <w:szCs w:val="24"/>
          <w:lang w:val="en-US"/>
        </w:rPr>
        <w:t>BirnD.S.,</w:t>
      </w:r>
      <w:r w:rsidRPr="003C0842">
        <w:rPr>
          <w:i/>
          <w:sz w:val="24"/>
          <w:szCs w:val="24"/>
          <w:lang w:val="en-US"/>
        </w:rPr>
        <w:t xml:space="preserve"> League of Nation Union 1918-1945</w:t>
      </w:r>
      <w:r w:rsidRPr="003C0842">
        <w:rPr>
          <w:sz w:val="24"/>
          <w:szCs w:val="24"/>
          <w:lang w:val="en-US"/>
        </w:rPr>
        <w:t>, Oxford 1981</w:t>
      </w:r>
    </w:p>
    <w:p w:rsidR="00912375" w:rsidRPr="003C0842" w:rsidRDefault="00912375" w:rsidP="007106A1">
      <w:pPr>
        <w:pStyle w:val="Tekstprzypisudolnego"/>
        <w:spacing w:line="360" w:lineRule="auto"/>
        <w:ind w:left="709" w:hanging="709"/>
        <w:contextualSpacing/>
        <w:rPr>
          <w:sz w:val="24"/>
          <w:szCs w:val="24"/>
          <w:lang w:val="de-DE"/>
        </w:rPr>
      </w:pPr>
      <w:r w:rsidRPr="003C0842">
        <w:rPr>
          <w:sz w:val="24"/>
          <w:szCs w:val="24"/>
          <w:lang w:val="de-DE"/>
        </w:rPr>
        <w:t xml:space="preserve">Blessing R., </w:t>
      </w:r>
      <w:r w:rsidRPr="003C0842">
        <w:rPr>
          <w:i/>
          <w:sz w:val="24"/>
          <w:szCs w:val="24"/>
          <w:lang w:val="de-DE"/>
        </w:rPr>
        <w:t>Der mögliche Frieden. Die Modernisierung der Außenpolitik und die deutsch-französischen Beziehungen 1923-1929</w:t>
      </w:r>
      <w:r w:rsidRPr="003C0842">
        <w:rPr>
          <w:sz w:val="24"/>
          <w:szCs w:val="24"/>
          <w:lang w:val="de-DE"/>
        </w:rPr>
        <w:t>, München</w:t>
      </w:r>
      <w:r w:rsidR="00AB5088">
        <w:rPr>
          <w:sz w:val="24"/>
          <w:szCs w:val="24"/>
          <w:lang w:val="de-DE"/>
        </w:rPr>
        <w:t>-</w:t>
      </w:r>
      <w:r w:rsidRPr="003C0842">
        <w:rPr>
          <w:sz w:val="24"/>
          <w:szCs w:val="24"/>
          <w:lang w:val="de-DE"/>
        </w:rPr>
        <w:t>Oldenbourg 2008</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Bógdał-Brzezińska A., </w:t>
      </w:r>
      <w:r w:rsidRPr="003C0842">
        <w:rPr>
          <w:i/>
          <w:sz w:val="24"/>
          <w:szCs w:val="24"/>
        </w:rPr>
        <w:t>Nieślubna córka świętego Mikołaja. Liga Narodów w krzywym zwierciadle teorii</w:t>
      </w:r>
      <w:r w:rsidRPr="003C0842">
        <w:rPr>
          <w:sz w:val="24"/>
          <w:szCs w:val="24"/>
        </w:rPr>
        <w:t xml:space="preserve">, </w:t>
      </w:r>
      <w:r w:rsidR="004D2F75" w:rsidRPr="003C0842">
        <w:rPr>
          <w:sz w:val="24"/>
          <w:szCs w:val="24"/>
        </w:rPr>
        <w:t>[w:]</w:t>
      </w:r>
      <w:r w:rsidRPr="00AB5088">
        <w:rPr>
          <w:i/>
          <w:sz w:val="24"/>
          <w:szCs w:val="24"/>
        </w:rPr>
        <w:t>Liga Narodów wybranych</w:t>
      </w:r>
      <w:r w:rsidRPr="003C0842">
        <w:rPr>
          <w:sz w:val="24"/>
          <w:szCs w:val="24"/>
        </w:rPr>
        <w:t>, red. M.F. Gawrycki, A. Bógdał-Brzezińska, Warszawa 2010</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Bógdał-Brzezińska A., </w:t>
      </w:r>
      <w:r w:rsidRPr="003C0842">
        <w:rPr>
          <w:i/>
          <w:sz w:val="24"/>
          <w:szCs w:val="24"/>
        </w:rPr>
        <w:t>Zamiast zakończenia</w:t>
      </w:r>
      <w:r w:rsidRPr="003C0842">
        <w:rPr>
          <w:sz w:val="24"/>
          <w:szCs w:val="24"/>
        </w:rPr>
        <w:t xml:space="preserve">, </w:t>
      </w:r>
      <w:r w:rsidR="004D2F75" w:rsidRPr="003C0842">
        <w:rPr>
          <w:sz w:val="24"/>
          <w:szCs w:val="24"/>
        </w:rPr>
        <w:t>[w:]</w:t>
      </w:r>
      <w:r w:rsidRPr="00AB5088">
        <w:rPr>
          <w:i/>
          <w:sz w:val="24"/>
          <w:szCs w:val="24"/>
        </w:rPr>
        <w:t>Liga Narodów wybranych</w:t>
      </w:r>
      <w:r w:rsidRPr="003C0842">
        <w:rPr>
          <w:sz w:val="24"/>
          <w:szCs w:val="24"/>
        </w:rPr>
        <w:t>, red</w:t>
      </w:r>
      <w:r w:rsidRPr="003C0842">
        <w:rPr>
          <w:i/>
          <w:sz w:val="24"/>
          <w:szCs w:val="24"/>
        </w:rPr>
        <w:t>.</w:t>
      </w:r>
      <w:r w:rsidR="00AB5088">
        <w:rPr>
          <w:sz w:val="24"/>
          <w:szCs w:val="24"/>
        </w:rPr>
        <w:t xml:space="preserve"> M.</w:t>
      </w:r>
      <w:r w:rsidRPr="003C0842">
        <w:rPr>
          <w:sz w:val="24"/>
          <w:szCs w:val="24"/>
        </w:rPr>
        <w:t>F. Gawrycki, A. Bógdał-Brzezińska, Warszawa 2010</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Bornus J., </w:t>
      </w:r>
      <w:r w:rsidRPr="003C0842">
        <w:rPr>
          <w:i/>
          <w:sz w:val="24"/>
          <w:szCs w:val="24"/>
        </w:rPr>
        <w:t>Faszyzm na Węgrzech</w:t>
      </w:r>
      <w:r w:rsidR="00AB5088">
        <w:rPr>
          <w:sz w:val="24"/>
          <w:szCs w:val="24"/>
        </w:rPr>
        <w:t>, Studia nad Faszyzmem i Zbrodniami H</w:t>
      </w:r>
      <w:r w:rsidRPr="003C0842">
        <w:rPr>
          <w:sz w:val="24"/>
          <w:szCs w:val="24"/>
        </w:rPr>
        <w:t>itlerowskimi, t. III, Wrocław 1977</w:t>
      </w:r>
    </w:p>
    <w:p w:rsidR="00912375" w:rsidRPr="003C0842" w:rsidRDefault="00912375" w:rsidP="007106A1">
      <w:pPr>
        <w:pStyle w:val="Tekstprzypisudolnego"/>
        <w:spacing w:line="360" w:lineRule="auto"/>
        <w:ind w:left="709" w:hanging="709"/>
        <w:contextualSpacing/>
        <w:rPr>
          <w:sz w:val="24"/>
          <w:szCs w:val="24"/>
          <w:lang w:val="it-IT"/>
        </w:rPr>
      </w:pPr>
      <w:r w:rsidRPr="003C0842">
        <w:rPr>
          <w:sz w:val="24"/>
          <w:szCs w:val="24"/>
          <w:lang w:val="it-IT"/>
        </w:rPr>
        <w:t xml:space="preserve">Breda dos Santos N., </w:t>
      </w:r>
      <w:r w:rsidRPr="003C0842">
        <w:rPr>
          <w:i/>
          <w:sz w:val="24"/>
          <w:szCs w:val="24"/>
          <w:lang w:val="it-IT"/>
        </w:rPr>
        <w:t>Diplomacia e fiasco: repensando a participação brasileira na Liga das Nações: para una nova interpretação</w:t>
      </w:r>
      <w:r w:rsidR="00D60D5E" w:rsidRPr="003C0842">
        <w:rPr>
          <w:sz w:val="24"/>
          <w:szCs w:val="24"/>
          <w:lang w:val="it-IT"/>
        </w:rPr>
        <w:t>,</w:t>
      </w:r>
      <w:r w:rsidRPr="003C0842">
        <w:rPr>
          <w:sz w:val="24"/>
          <w:szCs w:val="24"/>
          <w:lang w:val="it-IT"/>
        </w:rPr>
        <w:t xml:space="preserve">Revista brasileira de política internacional 46 </w:t>
      </w:r>
      <w:r w:rsidR="00AB5088">
        <w:rPr>
          <w:sz w:val="24"/>
          <w:szCs w:val="24"/>
          <w:lang w:val="it-IT"/>
        </w:rPr>
        <w:t>(</w:t>
      </w:r>
      <w:r w:rsidRPr="003C0842">
        <w:rPr>
          <w:sz w:val="24"/>
          <w:szCs w:val="24"/>
          <w:lang w:val="it-IT"/>
        </w:rPr>
        <w:t>2003</w:t>
      </w:r>
      <w:r w:rsidR="00AB5088">
        <w:rPr>
          <w:sz w:val="24"/>
          <w:szCs w:val="24"/>
          <w:lang w:val="it-IT"/>
        </w:rPr>
        <w:t>)</w:t>
      </w:r>
      <w:r w:rsidRPr="003C0842">
        <w:rPr>
          <w:sz w:val="24"/>
          <w:szCs w:val="24"/>
          <w:lang w:val="it-IT"/>
        </w:rPr>
        <w:t>, nr 2</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Brzeziński A. M., </w:t>
      </w:r>
      <w:r w:rsidRPr="003C0842">
        <w:rPr>
          <w:i/>
          <w:sz w:val="24"/>
          <w:szCs w:val="24"/>
        </w:rPr>
        <w:t>Dyplomacja francuska a pierwsze prace rozbrojeniowe w Lidze Narodów 1920</w:t>
      </w:r>
      <w:r w:rsidR="00AB5088">
        <w:rPr>
          <w:i/>
          <w:sz w:val="24"/>
          <w:szCs w:val="24"/>
        </w:rPr>
        <w:t>-</w:t>
      </w:r>
      <w:r w:rsidRPr="003C0842">
        <w:rPr>
          <w:i/>
          <w:sz w:val="24"/>
          <w:szCs w:val="24"/>
        </w:rPr>
        <w:t>1922</w:t>
      </w:r>
      <w:r w:rsidRPr="003C0842">
        <w:rPr>
          <w:sz w:val="24"/>
          <w:szCs w:val="24"/>
        </w:rPr>
        <w:t xml:space="preserve">, Acta Universitatis Lodziensis. Folia Historica 24 </w:t>
      </w:r>
      <w:r w:rsidR="00AB5088">
        <w:rPr>
          <w:sz w:val="24"/>
          <w:szCs w:val="24"/>
        </w:rPr>
        <w:t>(</w:t>
      </w:r>
      <w:r w:rsidRPr="003C0842">
        <w:rPr>
          <w:sz w:val="24"/>
          <w:szCs w:val="24"/>
        </w:rPr>
        <w:t>1986</w:t>
      </w:r>
      <w:r w:rsidR="00AB5088">
        <w:rPr>
          <w:sz w:val="24"/>
          <w:szCs w:val="24"/>
        </w:rPr>
        <w:t>)</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Brzeziński A.M, </w:t>
      </w:r>
      <w:r w:rsidRPr="003C0842">
        <w:rPr>
          <w:i/>
          <w:sz w:val="24"/>
          <w:szCs w:val="24"/>
        </w:rPr>
        <w:t>Francuska koncepcja Ligi Narodów w latach 1918</w:t>
      </w:r>
      <w:r w:rsidR="00AB5088">
        <w:rPr>
          <w:i/>
          <w:sz w:val="24"/>
          <w:szCs w:val="24"/>
        </w:rPr>
        <w:t>-</w:t>
      </w:r>
      <w:r w:rsidRPr="003C0842">
        <w:rPr>
          <w:i/>
          <w:sz w:val="24"/>
          <w:szCs w:val="24"/>
        </w:rPr>
        <w:t>1919</w:t>
      </w:r>
      <w:r w:rsidR="00AB5088">
        <w:rPr>
          <w:sz w:val="24"/>
          <w:szCs w:val="24"/>
        </w:rPr>
        <w:t xml:space="preserve">, </w:t>
      </w:r>
      <w:r w:rsidRPr="003C0842">
        <w:rPr>
          <w:sz w:val="24"/>
          <w:szCs w:val="24"/>
        </w:rPr>
        <w:t>Acta Universitatis Lodziensis. Folia Historica 18 (1984)</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Brzeziński A.M., </w:t>
      </w:r>
      <w:r w:rsidRPr="003C0842">
        <w:rPr>
          <w:i/>
          <w:sz w:val="24"/>
          <w:szCs w:val="24"/>
        </w:rPr>
        <w:t xml:space="preserve">Oskar Halecki – Sekretarz Komisji Międzynarodowej Współpracy Intelektualnej Ligi Narodów </w:t>
      </w:r>
      <w:r w:rsidR="00F0463B" w:rsidRPr="003C0842">
        <w:rPr>
          <w:sz w:val="24"/>
          <w:szCs w:val="24"/>
        </w:rPr>
        <w:t>(</w:t>
      </w:r>
      <w:r w:rsidRPr="003C0842">
        <w:rPr>
          <w:i/>
          <w:sz w:val="24"/>
          <w:szCs w:val="24"/>
        </w:rPr>
        <w:t>1922</w:t>
      </w:r>
      <w:r w:rsidR="005A5F3B">
        <w:rPr>
          <w:i/>
          <w:sz w:val="24"/>
          <w:szCs w:val="24"/>
        </w:rPr>
        <w:t>-</w:t>
      </w:r>
      <w:r w:rsidRPr="003C0842">
        <w:rPr>
          <w:i/>
          <w:sz w:val="24"/>
          <w:szCs w:val="24"/>
        </w:rPr>
        <w:t>1924</w:t>
      </w:r>
      <w:r w:rsidR="00AB5088" w:rsidRPr="00AB5088">
        <w:rPr>
          <w:sz w:val="24"/>
          <w:szCs w:val="24"/>
        </w:rPr>
        <w:t>)</w:t>
      </w:r>
      <w:r w:rsidR="00D60D5E" w:rsidRPr="003C0842">
        <w:rPr>
          <w:sz w:val="24"/>
          <w:szCs w:val="24"/>
        </w:rPr>
        <w:t xml:space="preserve">, </w:t>
      </w:r>
      <w:r w:rsidRPr="003C0842">
        <w:rPr>
          <w:sz w:val="24"/>
          <w:szCs w:val="24"/>
        </w:rPr>
        <w:t>Kwartalnik Historii Nauki i Techniki 2010</w:t>
      </w:r>
      <w:r w:rsidR="00AB5088">
        <w:rPr>
          <w:sz w:val="24"/>
          <w:szCs w:val="24"/>
        </w:rPr>
        <w:t>, nr 1</w:t>
      </w:r>
    </w:p>
    <w:p w:rsidR="00912375" w:rsidRPr="003C0842" w:rsidRDefault="00AB5088" w:rsidP="007106A1">
      <w:pPr>
        <w:pStyle w:val="Tekstprzypisudolnego"/>
        <w:spacing w:line="360" w:lineRule="auto"/>
        <w:ind w:left="709" w:hanging="709"/>
        <w:contextualSpacing/>
        <w:rPr>
          <w:sz w:val="24"/>
          <w:szCs w:val="24"/>
        </w:rPr>
      </w:pPr>
      <w:r>
        <w:rPr>
          <w:sz w:val="24"/>
          <w:szCs w:val="24"/>
        </w:rPr>
        <w:t>Cesarz Z.</w:t>
      </w:r>
      <w:r w:rsidR="00912375" w:rsidRPr="003C0842">
        <w:rPr>
          <w:sz w:val="24"/>
          <w:szCs w:val="24"/>
        </w:rPr>
        <w:t xml:space="preserve">K., </w:t>
      </w:r>
      <w:r w:rsidR="00912375" w:rsidRPr="003C0842">
        <w:rPr>
          <w:i/>
          <w:sz w:val="24"/>
          <w:szCs w:val="24"/>
        </w:rPr>
        <w:t>Polska a Liga Narodów. Kwestie terytorialne w latach 1920</w:t>
      </w:r>
      <w:r w:rsidR="005A5F3B">
        <w:rPr>
          <w:i/>
          <w:sz w:val="24"/>
          <w:szCs w:val="24"/>
        </w:rPr>
        <w:t>-</w:t>
      </w:r>
      <w:r w:rsidR="00912375" w:rsidRPr="003C0842">
        <w:rPr>
          <w:i/>
          <w:sz w:val="24"/>
          <w:szCs w:val="24"/>
        </w:rPr>
        <w:t>1925</w:t>
      </w:r>
      <w:r w:rsidR="00912375" w:rsidRPr="003C0842">
        <w:rPr>
          <w:sz w:val="24"/>
          <w:szCs w:val="24"/>
        </w:rPr>
        <w:t>, Wrocław 1993</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Chodźko W., </w:t>
      </w:r>
      <w:r w:rsidRPr="003C0842">
        <w:rPr>
          <w:i/>
          <w:sz w:val="24"/>
          <w:szCs w:val="24"/>
        </w:rPr>
        <w:t>Handel kobietami</w:t>
      </w:r>
      <w:r w:rsidRPr="003C0842">
        <w:rPr>
          <w:sz w:val="24"/>
          <w:szCs w:val="24"/>
        </w:rPr>
        <w:t>, Warszawa 1935</w:t>
      </w:r>
    </w:p>
    <w:p w:rsidR="00912375" w:rsidRPr="003C0842" w:rsidRDefault="000A05AB" w:rsidP="007106A1">
      <w:pPr>
        <w:pStyle w:val="Tekstprzypisudolnego"/>
        <w:spacing w:line="360" w:lineRule="auto"/>
        <w:ind w:left="709" w:hanging="709"/>
        <w:contextualSpacing/>
        <w:rPr>
          <w:sz w:val="24"/>
          <w:szCs w:val="24"/>
          <w:lang w:val="en-US"/>
        </w:rPr>
      </w:pPr>
      <w:hyperlink r:id="rId8" w:tooltip="Search for more by this author" w:history="1">
        <w:r w:rsidR="00912375" w:rsidRPr="003C0842">
          <w:rPr>
            <w:sz w:val="24"/>
            <w:szCs w:val="24"/>
            <w:lang w:val="en-US"/>
          </w:rPr>
          <w:t>Chaudron</w:t>
        </w:r>
      </w:hyperlink>
      <w:r w:rsidR="00FA3D85" w:rsidRPr="00FA3D85">
        <w:rPr>
          <w:sz w:val="24"/>
          <w:szCs w:val="24"/>
          <w:lang w:val="en-US"/>
        </w:rPr>
        <w:t xml:space="preserve"> G</w:t>
      </w:r>
      <w:r w:rsidR="00FA3D85">
        <w:rPr>
          <w:sz w:val="24"/>
          <w:szCs w:val="24"/>
          <w:lang w:val="en-US"/>
        </w:rPr>
        <w:t>.</w:t>
      </w:r>
      <w:r w:rsidR="00912375" w:rsidRPr="003C0842">
        <w:rPr>
          <w:rFonts w:eastAsia="Arial Unicode MS"/>
          <w:sz w:val="24"/>
          <w:szCs w:val="24"/>
          <w:lang w:val="en-US"/>
        </w:rPr>
        <w:t xml:space="preserve">, </w:t>
      </w:r>
      <w:r w:rsidR="00912375" w:rsidRPr="003C0842">
        <w:rPr>
          <w:bCs/>
          <w:i/>
          <w:color w:val="000000"/>
          <w:kern w:val="36"/>
          <w:sz w:val="24"/>
          <w:szCs w:val="24"/>
          <w:lang w:val="en-US"/>
        </w:rPr>
        <w:t>New Zealand</w:t>
      </w:r>
      <w:r w:rsidR="000F3F88" w:rsidRPr="003C0842">
        <w:rPr>
          <w:bCs/>
          <w:i/>
          <w:color w:val="000000"/>
          <w:kern w:val="36"/>
          <w:sz w:val="24"/>
          <w:szCs w:val="24"/>
          <w:lang w:val="en-US"/>
        </w:rPr>
        <w:t xml:space="preserve"> in the League of Nations</w:t>
      </w:r>
      <w:r w:rsidR="00912375" w:rsidRPr="003C0842">
        <w:rPr>
          <w:bCs/>
          <w:i/>
          <w:color w:val="000000"/>
          <w:kern w:val="36"/>
          <w:sz w:val="24"/>
          <w:szCs w:val="24"/>
          <w:lang w:val="en-US"/>
        </w:rPr>
        <w:t>: the beginnings of an independent foreign policy, 1919-1939</w:t>
      </w:r>
      <w:r w:rsidR="00912375" w:rsidRPr="003C0842">
        <w:rPr>
          <w:rFonts w:eastAsia="Arial Unicode MS"/>
          <w:bCs/>
          <w:color w:val="000000"/>
          <w:kern w:val="36"/>
          <w:sz w:val="24"/>
          <w:szCs w:val="24"/>
          <w:lang w:val="en-US"/>
        </w:rPr>
        <w:t xml:space="preserve">, </w:t>
      </w:r>
      <w:r w:rsidR="00912375" w:rsidRPr="003C0842">
        <w:rPr>
          <w:sz w:val="24"/>
          <w:szCs w:val="24"/>
          <w:lang w:val="en-US"/>
        </w:rPr>
        <w:t xml:space="preserve">Jefferson, N.C. : McFarland &amp; Co., Publishers, </w:t>
      </w:r>
      <w:r w:rsidR="00912375" w:rsidRPr="003C0842">
        <w:rPr>
          <w:rFonts w:eastAsia="Arial Unicode MS"/>
          <w:sz w:val="24"/>
          <w:szCs w:val="24"/>
          <w:lang w:val="en-US"/>
        </w:rPr>
        <w:t>2</w:t>
      </w:r>
      <w:r w:rsidR="00912375" w:rsidRPr="003C0842">
        <w:rPr>
          <w:sz w:val="24"/>
          <w:szCs w:val="24"/>
          <w:lang w:val="en-US"/>
        </w:rPr>
        <w:t>012</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Cienciała A.M</w:t>
      </w:r>
      <w:r w:rsidRPr="00FA3D85">
        <w:rPr>
          <w:sz w:val="24"/>
          <w:szCs w:val="24"/>
        </w:rPr>
        <w:t xml:space="preserve">., </w:t>
      </w:r>
      <w:r w:rsidRPr="003C0842">
        <w:rPr>
          <w:i/>
          <w:sz w:val="24"/>
          <w:szCs w:val="24"/>
        </w:rPr>
        <w:t>Nastawienie Austena Chamberlaina do Polski w latach 1924</w:t>
      </w:r>
      <w:r w:rsidR="005A5F3B">
        <w:rPr>
          <w:i/>
          <w:sz w:val="24"/>
          <w:szCs w:val="24"/>
        </w:rPr>
        <w:t>-</w:t>
      </w:r>
      <w:r w:rsidRPr="003C0842">
        <w:rPr>
          <w:i/>
          <w:sz w:val="24"/>
          <w:szCs w:val="24"/>
        </w:rPr>
        <w:t>1933</w:t>
      </w:r>
      <w:r w:rsidRPr="00FA3D85">
        <w:rPr>
          <w:sz w:val="24"/>
          <w:szCs w:val="24"/>
        </w:rPr>
        <w:t xml:space="preserve">, </w:t>
      </w:r>
      <w:r w:rsidR="004D2F75" w:rsidRPr="00FA3D85">
        <w:rPr>
          <w:sz w:val="24"/>
          <w:szCs w:val="24"/>
        </w:rPr>
        <w:t>[</w:t>
      </w:r>
      <w:r w:rsidR="004D2F75" w:rsidRPr="003C0842">
        <w:rPr>
          <w:sz w:val="24"/>
          <w:szCs w:val="24"/>
        </w:rPr>
        <w:t>w:]</w:t>
      </w:r>
      <w:r w:rsidRPr="00FA3D85">
        <w:rPr>
          <w:i/>
          <w:sz w:val="24"/>
          <w:szCs w:val="24"/>
        </w:rPr>
        <w:t>Polska. Niemcy. Europa</w:t>
      </w:r>
      <w:r w:rsidRPr="003C0842">
        <w:rPr>
          <w:sz w:val="24"/>
          <w:szCs w:val="24"/>
        </w:rPr>
        <w:t>, red. A. Czubiński, Poznań 1977</w:t>
      </w:r>
    </w:p>
    <w:p w:rsidR="00912375" w:rsidRPr="003C0842" w:rsidRDefault="00912375" w:rsidP="007106A1">
      <w:pPr>
        <w:pStyle w:val="Tekstprzypisudolnego"/>
        <w:spacing w:line="360" w:lineRule="auto"/>
        <w:ind w:left="709" w:hanging="709"/>
        <w:contextualSpacing/>
        <w:rPr>
          <w:i/>
          <w:sz w:val="24"/>
          <w:szCs w:val="24"/>
        </w:rPr>
      </w:pPr>
      <w:r w:rsidRPr="003C0842">
        <w:rPr>
          <w:sz w:val="24"/>
          <w:szCs w:val="24"/>
        </w:rPr>
        <w:t xml:space="preserve">Cienciała A.M., </w:t>
      </w:r>
      <w:r w:rsidRPr="003C0842">
        <w:rPr>
          <w:i/>
          <w:iCs/>
          <w:sz w:val="24"/>
          <w:szCs w:val="24"/>
        </w:rPr>
        <w:t>Wolne Miasto Gdańsk w polityce Wielkiej Brytanii w latach 1933-1938</w:t>
      </w:r>
      <w:r w:rsidR="00D60D5E" w:rsidRPr="00FA3D85">
        <w:rPr>
          <w:iCs/>
          <w:sz w:val="24"/>
          <w:szCs w:val="24"/>
        </w:rPr>
        <w:t>,</w:t>
      </w:r>
      <w:r w:rsidR="004D2F75" w:rsidRPr="003C0842">
        <w:rPr>
          <w:sz w:val="24"/>
          <w:szCs w:val="24"/>
        </w:rPr>
        <w:t>[w:]</w:t>
      </w:r>
      <w:r w:rsidRPr="003C0842">
        <w:rPr>
          <w:i/>
          <w:iCs/>
          <w:sz w:val="24"/>
          <w:szCs w:val="24"/>
        </w:rPr>
        <w:t>Gdańsk. Z historii stosunków polsko-niemieckich</w:t>
      </w:r>
      <w:r w:rsidRPr="003C0842">
        <w:rPr>
          <w:sz w:val="24"/>
          <w:szCs w:val="24"/>
        </w:rPr>
        <w:t>, red. M. Andrzejewski, Warszawa 1998</w:t>
      </w:r>
    </w:p>
    <w:p w:rsidR="00912375" w:rsidRPr="00387453" w:rsidRDefault="00912375" w:rsidP="007106A1">
      <w:pPr>
        <w:pStyle w:val="Tekstprzypisudolnego"/>
        <w:spacing w:line="360" w:lineRule="auto"/>
        <w:ind w:left="709" w:hanging="709"/>
        <w:contextualSpacing/>
        <w:rPr>
          <w:i/>
          <w:sz w:val="24"/>
          <w:szCs w:val="24"/>
        </w:rPr>
      </w:pPr>
      <w:r w:rsidRPr="003C0842">
        <w:rPr>
          <w:sz w:val="24"/>
          <w:szCs w:val="24"/>
        </w:rPr>
        <w:t xml:space="preserve">Clark E.M., </w:t>
      </w:r>
      <w:r w:rsidRPr="003C0842">
        <w:rPr>
          <w:i/>
          <w:sz w:val="24"/>
          <w:szCs w:val="24"/>
        </w:rPr>
        <w:t>Wolne Miasto Gdańsk jako obiekt zainteresowania: spojrzenie z perspektywy amerykańskiej dokumentacji konsularnej z Archiwów Narodowych w Waszyngtonie</w:t>
      </w:r>
      <w:r w:rsidRPr="003C0842">
        <w:rPr>
          <w:sz w:val="24"/>
          <w:szCs w:val="24"/>
        </w:rPr>
        <w:t xml:space="preserve">, </w:t>
      </w:r>
      <w:r w:rsidR="004D2F75" w:rsidRPr="003C0842">
        <w:rPr>
          <w:sz w:val="24"/>
          <w:szCs w:val="24"/>
        </w:rPr>
        <w:t>[w:]</w:t>
      </w:r>
      <w:r w:rsidRPr="00FA3D85">
        <w:rPr>
          <w:i/>
          <w:sz w:val="24"/>
          <w:szCs w:val="24"/>
        </w:rPr>
        <w:t xml:space="preserve">Gdańsk. </w:t>
      </w:r>
      <w:r w:rsidRPr="00387453">
        <w:rPr>
          <w:i/>
          <w:sz w:val="24"/>
          <w:szCs w:val="24"/>
        </w:rPr>
        <w:t>Z historii stosunków polsko-niemieckich</w:t>
      </w:r>
      <w:r w:rsidRPr="00387453">
        <w:rPr>
          <w:sz w:val="24"/>
          <w:szCs w:val="24"/>
        </w:rPr>
        <w:t>, red. M. Andrzejewski, Warszawa 1998</w:t>
      </w:r>
    </w:p>
    <w:p w:rsidR="00912375" w:rsidRPr="00387453" w:rsidRDefault="00912375" w:rsidP="007106A1">
      <w:pPr>
        <w:pStyle w:val="Tekstprzypisudolnego"/>
        <w:spacing w:line="360" w:lineRule="auto"/>
        <w:ind w:left="709" w:hanging="709"/>
        <w:contextualSpacing/>
        <w:rPr>
          <w:i/>
          <w:sz w:val="24"/>
          <w:szCs w:val="24"/>
        </w:rPr>
      </w:pPr>
      <w:r w:rsidRPr="00387453">
        <w:rPr>
          <w:sz w:val="24"/>
          <w:szCs w:val="24"/>
        </w:rPr>
        <w:t xml:space="preserve">Cohrs P.O., </w:t>
      </w:r>
      <w:r w:rsidRPr="00387453">
        <w:rPr>
          <w:i/>
          <w:sz w:val="24"/>
          <w:szCs w:val="24"/>
        </w:rPr>
        <w:t>The Unfinished Peace after World War I. America, Britain and the Stabilisation of Europe, 1919</w:t>
      </w:r>
      <w:r w:rsidR="005A5F3B" w:rsidRPr="00387453">
        <w:rPr>
          <w:i/>
          <w:sz w:val="24"/>
          <w:szCs w:val="24"/>
        </w:rPr>
        <w:t>-</w:t>
      </w:r>
      <w:r w:rsidRPr="00387453">
        <w:rPr>
          <w:i/>
          <w:sz w:val="24"/>
          <w:szCs w:val="24"/>
        </w:rPr>
        <w:t>1932</w:t>
      </w:r>
      <w:r w:rsidR="00FA3D85" w:rsidRPr="00387453">
        <w:rPr>
          <w:sz w:val="24"/>
          <w:szCs w:val="24"/>
        </w:rPr>
        <w:t>, Cambridge University Press</w:t>
      </w:r>
      <w:r w:rsidRPr="00387453">
        <w:rPr>
          <w:sz w:val="24"/>
          <w:szCs w:val="24"/>
        </w:rPr>
        <w:t xml:space="preserve"> 2006</w:t>
      </w:r>
    </w:p>
    <w:p w:rsidR="00912375" w:rsidRPr="003C0842" w:rsidRDefault="00912375" w:rsidP="00645210">
      <w:pPr>
        <w:pStyle w:val="Tekstprzypisudolnego"/>
        <w:spacing w:line="360" w:lineRule="auto"/>
        <w:ind w:left="709" w:hanging="709"/>
        <w:contextualSpacing/>
        <w:rPr>
          <w:sz w:val="24"/>
          <w:szCs w:val="24"/>
        </w:rPr>
      </w:pPr>
      <w:r w:rsidRPr="003C0842">
        <w:rPr>
          <w:sz w:val="24"/>
          <w:szCs w:val="24"/>
        </w:rPr>
        <w:t xml:space="preserve">Czubiński A., </w:t>
      </w:r>
      <w:r w:rsidRPr="003C0842">
        <w:rPr>
          <w:i/>
          <w:sz w:val="24"/>
          <w:szCs w:val="24"/>
        </w:rPr>
        <w:t>Historia powszechna XX wieku</w:t>
      </w:r>
      <w:r w:rsidRPr="003C0842">
        <w:rPr>
          <w:sz w:val="24"/>
          <w:szCs w:val="24"/>
        </w:rPr>
        <w:t>, Poznań 2003</w:t>
      </w:r>
      <w:r w:rsidR="00931238">
        <w:rPr>
          <w:sz w:val="24"/>
          <w:szCs w:val="24"/>
        </w:rPr>
        <w:t>; (dostęp</w:t>
      </w:r>
      <w:r w:rsidR="00645210" w:rsidRPr="003C0842">
        <w:rPr>
          <w:sz w:val="24"/>
          <w:szCs w:val="24"/>
        </w:rPr>
        <w:t xml:space="preserve">ępna w </w:t>
      </w:r>
      <w:r w:rsidR="005D3D7A">
        <w:rPr>
          <w:sz w:val="24"/>
          <w:szCs w:val="24"/>
        </w:rPr>
        <w:t>wbc</w:t>
      </w:r>
      <w:r w:rsidR="00645210" w:rsidRPr="003C0842">
        <w:rPr>
          <w:sz w:val="24"/>
          <w:szCs w:val="24"/>
        </w:rPr>
        <w:t>.</w:t>
      </w:r>
      <w:r w:rsidR="00642A15" w:rsidRPr="003C0842">
        <w:rPr>
          <w:sz w:val="24"/>
          <w:szCs w:val="24"/>
        </w:rPr>
        <w:t>poznan</w:t>
      </w:r>
      <w:r w:rsidR="00645210" w:rsidRPr="003C0842">
        <w:rPr>
          <w:sz w:val="24"/>
          <w:szCs w:val="24"/>
        </w:rPr>
        <w:t>.pl)</w:t>
      </w:r>
    </w:p>
    <w:p w:rsidR="00912375" w:rsidRPr="003C0842" w:rsidRDefault="00912375" w:rsidP="00645210">
      <w:pPr>
        <w:pStyle w:val="Tekstprzypisudolnego"/>
        <w:spacing w:line="360" w:lineRule="auto"/>
        <w:ind w:left="709" w:hanging="709"/>
        <w:contextualSpacing/>
        <w:rPr>
          <w:sz w:val="24"/>
          <w:szCs w:val="24"/>
        </w:rPr>
      </w:pPr>
      <w:r w:rsidRPr="003C0842">
        <w:rPr>
          <w:sz w:val="24"/>
          <w:szCs w:val="24"/>
        </w:rPr>
        <w:t>Czubiński A.,</w:t>
      </w:r>
      <w:r w:rsidRPr="003C0842">
        <w:rPr>
          <w:i/>
          <w:sz w:val="24"/>
          <w:szCs w:val="24"/>
        </w:rPr>
        <w:t xml:space="preserve"> Miejsce Polski w niemieckich planach aneksji i podbojów 1814-1945</w:t>
      </w:r>
      <w:r w:rsidRPr="003C0842">
        <w:rPr>
          <w:sz w:val="24"/>
          <w:szCs w:val="24"/>
        </w:rPr>
        <w:t>, Opole 1991</w:t>
      </w:r>
      <w:r w:rsidR="00645210" w:rsidRPr="003C0842">
        <w:rPr>
          <w:sz w:val="24"/>
          <w:szCs w:val="24"/>
        </w:rPr>
        <w:t xml:space="preserve"> (dostępna w </w:t>
      </w:r>
      <w:r w:rsidR="005D3D7A">
        <w:rPr>
          <w:sz w:val="24"/>
          <w:szCs w:val="24"/>
        </w:rPr>
        <w:t>wbc</w:t>
      </w:r>
      <w:r w:rsidR="00645210" w:rsidRPr="003C0842">
        <w:rPr>
          <w:sz w:val="24"/>
          <w:szCs w:val="24"/>
        </w:rPr>
        <w:t>.</w:t>
      </w:r>
      <w:r w:rsidR="00642A15" w:rsidRPr="003C0842">
        <w:rPr>
          <w:sz w:val="24"/>
          <w:szCs w:val="24"/>
        </w:rPr>
        <w:t>poznan</w:t>
      </w:r>
      <w:r w:rsidR="00645210" w:rsidRPr="003C0842">
        <w:rPr>
          <w:sz w:val="24"/>
          <w:szCs w:val="24"/>
        </w:rPr>
        <w:t>.pl)</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Czubiński A., </w:t>
      </w:r>
      <w:r w:rsidRPr="003C0842">
        <w:rPr>
          <w:i/>
          <w:sz w:val="24"/>
          <w:szCs w:val="24"/>
        </w:rPr>
        <w:t>Niemieckie koncepcje wyjścia z kryzysu lat 1918</w:t>
      </w:r>
      <w:r w:rsidR="005A5F3B">
        <w:rPr>
          <w:i/>
          <w:sz w:val="24"/>
          <w:szCs w:val="24"/>
        </w:rPr>
        <w:t>-</w:t>
      </w:r>
      <w:r w:rsidRPr="003C0842">
        <w:rPr>
          <w:i/>
          <w:sz w:val="24"/>
          <w:szCs w:val="24"/>
        </w:rPr>
        <w:t>1919</w:t>
      </w:r>
      <w:r w:rsidRPr="003C0842">
        <w:rPr>
          <w:sz w:val="24"/>
          <w:szCs w:val="24"/>
        </w:rPr>
        <w:t xml:space="preserve">, </w:t>
      </w:r>
      <w:r w:rsidR="004D2F75" w:rsidRPr="003C0842">
        <w:rPr>
          <w:sz w:val="24"/>
          <w:szCs w:val="24"/>
        </w:rPr>
        <w:t>[w:]</w:t>
      </w:r>
      <w:r w:rsidRPr="003C0842">
        <w:rPr>
          <w:i/>
          <w:sz w:val="24"/>
          <w:szCs w:val="24"/>
        </w:rPr>
        <w:t>Niemcy w polityce międzynarodowej 1919</w:t>
      </w:r>
      <w:r w:rsidR="005A5F3B">
        <w:rPr>
          <w:i/>
          <w:sz w:val="24"/>
          <w:szCs w:val="24"/>
        </w:rPr>
        <w:t>-</w:t>
      </w:r>
      <w:r w:rsidRPr="003C0842">
        <w:rPr>
          <w:i/>
          <w:sz w:val="24"/>
          <w:szCs w:val="24"/>
        </w:rPr>
        <w:t>1939</w:t>
      </w:r>
      <w:r w:rsidRPr="003C0842">
        <w:rPr>
          <w:sz w:val="24"/>
          <w:szCs w:val="24"/>
        </w:rPr>
        <w:t xml:space="preserve">, t. I: </w:t>
      </w:r>
      <w:r w:rsidRPr="003C0842">
        <w:rPr>
          <w:i/>
          <w:sz w:val="24"/>
          <w:szCs w:val="24"/>
        </w:rPr>
        <w:t>Era Stresemanna</w:t>
      </w:r>
      <w:r w:rsidRPr="003C0842">
        <w:rPr>
          <w:sz w:val="24"/>
          <w:szCs w:val="24"/>
        </w:rPr>
        <w:t>, red. S. Sierpowski, Poznań 1990</w:t>
      </w:r>
    </w:p>
    <w:p w:rsidR="00912375" w:rsidRPr="003C0842" w:rsidRDefault="00912375" w:rsidP="00645210">
      <w:pPr>
        <w:pStyle w:val="Tekstprzypisudolnego"/>
        <w:spacing w:line="360" w:lineRule="auto"/>
        <w:ind w:left="709" w:hanging="709"/>
        <w:contextualSpacing/>
        <w:rPr>
          <w:sz w:val="24"/>
          <w:szCs w:val="24"/>
        </w:rPr>
      </w:pPr>
      <w:r w:rsidRPr="003C0842">
        <w:rPr>
          <w:sz w:val="24"/>
          <w:szCs w:val="24"/>
        </w:rPr>
        <w:t>Czubiński A.,</w:t>
      </w:r>
      <w:r w:rsidRPr="003C0842">
        <w:rPr>
          <w:i/>
          <w:sz w:val="24"/>
          <w:szCs w:val="24"/>
        </w:rPr>
        <w:t xml:space="preserve"> Problem granic odrodzonego państwa polskiego w działaniach Józefa Piłsudskiego</w:t>
      </w:r>
      <w:r w:rsidRPr="003C0842">
        <w:rPr>
          <w:sz w:val="24"/>
          <w:szCs w:val="24"/>
        </w:rPr>
        <w:t xml:space="preserve">, </w:t>
      </w:r>
      <w:r w:rsidR="004D2F75" w:rsidRPr="003C0842">
        <w:rPr>
          <w:sz w:val="24"/>
          <w:szCs w:val="24"/>
        </w:rPr>
        <w:t>[w:]</w:t>
      </w:r>
      <w:r w:rsidRPr="003C0842">
        <w:rPr>
          <w:sz w:val="24"/>
          <w:szCs w:val="24"/>
        </w:rPr>
        <w:t xml:space="preserve"> tegoż, </w:t>
      </w:r>
      <w:r w:rsidRPr="003C0842">
        <w:rPr>
          <w:i/>
          <w:sz w:val="24"/>
          <w:szCs w:val="24"/>
        </w:rPr>
        <w:t>Studia ostatnie</w:t>
      </w:r>
      <w:r w:rsidRPr="003C0842">
        <w:rPr>
          <w:sz w:val="24"/>
          <w:szCs w:val="24"/>
        </w:rPr>
        <w:t>, Poznań 2009</w:t>
      </w:r>
      <w:r w:rsidR="00931238">
        <w:rPr>
          <w:sz w:val="24"/>
          <w:szCs w:val="24"/>
        </w:rPr>
        <w:t>; (dostęp</w:t>
      </w:r>
      <w:r w:rsidR="00645210" w:rsidRPr="003C0842">
        <w:rPr>
          <w:sz w:val="24"/>
          <w:szCs w:val="24"/>
        </w:rPr>
        <w:t xml:space="preserve">ępna w </w:t>
      </w:r>
      <w:r w:rsidR="005D3D7A">
        <w:rPr>
          <w:sz w:val="24"/>
          <w:szCs w:val="24"/>
        </w:rPr>
        <w:t>wbc</w:t>
      </w:r>
      <w:r w:rsidR="00645210" w:rsidRPr="003C0842">
        <w:rPr>
          <w:sz w:val="24"/>
          <w:szCs w:val="24"/>
        </w:rPr>
        <w:t>.</w:t>
      </w:r>
      <w:r w:rsidR="00642A15" w:rsidRPr="003C0842">
        <w:rPr>
          <w:sz w:val="24"/>
          <w:szCs w:val="24"/>
        </w:rPr>
        <w:t>poznan</w:t>
      </w:r>
      <w:r w:rsidR="00645210" w:rsidRPr="003C0842">
        <w:rPr>
          <w:sz w:val="24"/>
          <w:szCs w:val="24"/>
        </w:rPr>
        <w:t>.pl)</w:t>
      </w:r>
    </w:p>
    <w:p w:rsidR="00FE1660" w:rsidRPr="003C0842" w:rsidRDefault="00912375" w:rsidP="00645210">
      <w:pPr>
        <w:pStyle w:val="Tekstprzypisudolnego"/>
        <w:spacing w:line="360" w:lineRule="auto"/>
        <w:ind w:left="709" w:hanging="709"/>
        <w:contextualSpacing/>
        <w:rPr>
          <w:sz w:val="24"/>
          <w:szCs w:val="24"/>
        </w:rPr>
      </w:pPr>
      <w:r w:rsidRPr="003C0842">
        <w:rPr>
          <w:sz w:val="24"/>
          <w:szCs w:val="24"/>
        </w:rPr>
        <w:t xml:space="preserve">Czubiński A., </w:t>
      </w:r>
      <w:r w:rsidRPr="003C0842">
        <w:rPr>
          <w:i/>
          <w:sz w:val="24"/>
          <w:szCs w:val="24"/>
        </w:rPr>
        <w:t>Rewolucja Październikowa w Rosji i ruchy rewolucyjne w Europie lat 1917</w:t>
      </w:r>
      <w:r w:rsidR="005A5F3B">
        <w:rPr>
          <w:i/>
          <w:sz w:val="24"/>
          <w:szCs w:val="24"/>
        </w:rPr>
        <w:t>-</w:t>
      </w:r>
      <w:r w:rsidRPr="003C0842">
        <w:rPr>
          <w:i/>
          <w:sz w:val="24"/>
          <w:szCs w:val="24"/>
        </w:rPr>
        <w:t>1921</w:t>
      </w:r>
      <w:r w:rsidRPr="003C0842">
        <w:rPr>
          <w:sz w:val="24"/>
          <w:szCs w:val="24"/>
        </w:rPr>
        <w:t>, Poznań 1988</w:t>
      </w:r>
      <w:r w:rsidR="00931238">
        <w:rPr>
          <w:sz w:val="24"/>
          <w:szCs w:val="24"/>
        </w:rPr>
        <w:t>; (dostęp</w:t>
      </w:r>
      <w:r w:rsidR="00645210" w:rsidRPr="003C0842">
        <w:rPr>
          <w:sz w:val="24"/>
          <w:szCs w:val="24"/>
        </w:rPr>
        <w:t xml:space="preserve">ępna w </w:t>
      </w:r>
      <w:r w:rsidR="005D3D7A">
        <w:rPr>
          <w:sz w:val="24"/>
          <w:szCs w:val="24"/>
        </w:rPr>
        <w:t>wbc</w:t>
      </w:r>
      <w:r w:rsidR="00645210" w:rsidRPr="003C0842">
        <w:rPr>
          <w:sz w:val="24"/>
          <w:szCs w:val="24"/>
        </w:rPr>
        <w:t>.</w:t>
      </w:r>
      <w:r w:rsidR="00642A15" w:rsidRPr="003C0842">
        <w:rPr>
          <w:sz w:val="24"/>
          <w:szCs w:val="24"/>
        </w:rPr>
        <w:t>poznan</w:t>
      </w:r>
      <w:r w:rsidR="00645210" w:rsidRPr="003C0842">
        <w:rPr>
          <w:sz w:val="24"/>
          <w:szCs w:val="24"/>
        </w:rPr>
        <w:t>.pl)</w:t>
      </w:r>
    </w:p>
    <w:p w:rsidR="00912375" w:rsidRPr="003C0842" w:rsidRDefault="00912375" w:rsidP="00645210">
      <w:pPr>
        <w:pStyle w:val="Tekstprzypisudolnego"/>
        <w:spacing w:line="360" w:lineRule="auto"/>
        <w:ind w:left="709" w:hanging="709"/>
        <w:contextualSpacing/>
        <w:rPr>
          <w:sz w:val="24"/>
          <w:szCs w:val="24"/>
        </w:rPr>
      </w:pPr>
      <w:r w:rsidRPr="003C0842">
        <w:rPr>
          <w:sz w:val="24"/>
          <w:szCs w:val="24"/>
        </w:rPr>
        <w:t xml:space="preserve">Czubiński A., </w:t>
      </w:r>
      <w:r w:rsidRPr="003C0842">
        <w:rPr>
          <w:i/>
          <w:sz w:val="24"/>
          <w:szCs w:val="24"/>
        </w:rPr>
        <w:t>Rola decyzji lokarneńskich w niemieckich dążeniach do wyzwolenia się z więzów wersalskich</w:t>
      </w:r>
      <w:r w:rsidRPr="00FA3D85">
        <w:rPr>
          <w:sz w:val="24"/>
          <w:szCs w:val="24"/>
        </w:rPr>
        <w:t>,</w:t>
      </w:r>
      <w:r w:rsidR="004D2F75" w:rsidRPr="003C0842">
        <w:rPr>
          <w:sz w:val="24"/>
          <w:szCs w:val="24"/>
        </w:rPr>
        <w:t>[w:]</w:t>
      </w:r>
      <w:r w:rsidRPr="003C0842">
        <w:rPr>
          <w:sz w:val="24"/>
          <w:szCs w:val="24"/>
        </w:rPr>
        <w:t xml:space="preserve"> tegoż, </w:t>
      </w:r>
      <w:r w:rsidRPr="003C0842">
        <w:rPr>
          <w:i/>
          <w:sz w:val="24"/>
          <w:szCs w:val="24"/>
        </w:rPr>
        <w:t>Studia ostatnie</w:t>
      </w:r>
      <w:r w:rsidRPr="00FA3D85">
        <w:rPr>
          <w:sz w:val="24"/>
          <w:szCs w:val="24"/>
        </w:rPr>
        <w:t xml:space="preserve">, </w:t>
      </w:r>
      <w:r w:rsidRPr="003C0842">
        <w:rPr>
          <w:sz w:val="24"/>
          <w:szCs w:val="24"/>
        </w:rPr>
        <w:t>Poznań 2009</w:t>
      </w:r>
      <w:r w:rsidR="00931238">
        <w:rPr>
          <w:sz w:val="24"/>
          <w:szCs w:val="24"/>
        </w:rPr>
        <w:t>; (dostęp</w:t>
      </w:r>
      <w:r w:rsidR="00645210" w:rsidRPr="003C0842">
        <w:rPr>
          <w:sz w:val="24"/>
          <w:szCs w:val="24"/>
        </w:rPr>
        <w:t xml:space="preserve">ępna w </w:t>
      </w:r>
      <w:r w:rsidR="005D3D7A">
        <w:rPr>
          <w:sz w:val="24"/>
          <w:szCs w:val="24"/>
        </w:rPr>
        <w:t>wbc</w:t>
      </w:r>
      <w:r w:rsidR="00645210" w:rsidRPr="003C0842">
        <w:rPr>
          <w:sz w:val="24"/>
          <w:szCs w:val="24"/>
        </w:rPr>
        <w:t>.</w:t>
      </w:r>
      <w:r w:rsidR="00642A15" w:rsidRPr="003C0842">
        <w:rPr>
          <w:sz w:val="24"/>
          <w:szCs w:val="24"/>
        </w:rPr>
        <w:t>poznan</w:t>
      </w:r>
      <w:r w:rsidR="00645210" w:rsidRPr="003C0842">
        <w:rPr>
          <w:sz w:val="24"/>
          <w:szCs w:val="24"/>
        </w:rPr>
        <w:t>.pl)</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Czubiński A., </w:t>
      </w:r>
      <w:r w:rsidRPr="003C0842">
        <w:rPr>
          <w:i/>
          <w:sz w:val="24"/>
          <w:szCs w:val="24"/>
        </w:rPr>
        <w:t>Stanowisko socjaldemokracji niemieckiej wobec polityki kolonialnej II Rzeszy w latach 1876</w:t>
      </w:r>
      <w:r w:rsidR="005A5F3B">
        <w:rPr>
          <w:i/>
          <w:sz w:val="24"/>
          <w:szCs w:val="24"/>
        </w:rPr>
        <w:t>-</w:t>
      </w:r>
      <w:r w:rsidRPr="003C0842">
        <w:rPr>
          <w:i/>
          <w:sz w:val="24"/>
          <w:szCs w:val="24"/>
        </w:rPr>
        <w:t>1914</w:t>
      </w:r>
      <w:r w:rsidRPr="003C0842">
        <w:rPr>
          <w:sz w:val="24"/>
          <w:szCs w:val="24"/>
        </w:rPr>
        <w:t>, Poznań 1966</w:t>
      </w:r>
      <w:r w:rsidR="00931238">
        <w:rPr>
          <w:sz w:val="24"/>
          <w:szCs w:val="24"/>
        </w:rPr>
        <w:t>; (dostęp</w:t>
      </w:r>
      <w:r w:rsidR="007122DA" w:rsidRPr="003C0842">
        <w:rPr>
          <w:sz w:val="24"/>
          <w:szCs w:val="24"/>
        </w:rPr>
        <w:t xml:space="preserve">ępna w </w:t>
      </w:r>
      <w:r w:rsidR="005D3D7A">
        <w:rPr>
          <w:sz w:val="24"/>
          <w:szCs w:val="24"/>
        </w:rPr>
        <w:t>wbc</w:t>
      </w:r>
      <w:r w:rsidR="007122DA" w:rsidRPr="003C0842">
        <w:rPr>
          <w:sz w:val="24"/>
          <w:szCs w:val="24"/>
        </w:rPr>
        <w:t>.</w:t>
      </w:r>
      <w:r w:rsidR="00642A15" w:rsidRPr="003C0842">
        <w:rPr>
          <w:sz w:val="24"/>
          <w:szCs w:val="24"/>
        </w:rPr>
        <w:t>poznan</w:t>
      </w:r>
      <w:r w:rsidR="007122DA" w:rsidRPr="003C0842">
        <w:rPr>
          <w:sz w:val="24"/>
          <w:szCs w:val="24"/>
        </w:rPr>
        <w:t>.p</w:t>
      </w:r>
      <w:r w:rsidR="006535DE" w:rsidRPr="003C0842">
        <w:rPr>
          <w:sz w:val="24"/>
          <w:szCs w:val="24"/>
        </w:rPr>
        <w:t>l</w:t>
      </w:r>
      <w:r w:rsidR="007122DA" w:rsidRPr="003C0842">
        <w:rPr>
          <w:sz w:val="24"/>
          <w:szCs w:val="24"/>
        </w:rPr>
        <w:t>)</w:t>
      </w:r>
    </w:p>
    <w:p w:rsidR="00912375" w:rsidRPr="003C0842" w:rsidRDefault="00912375" w:rsidP="00645210">
      <w:pPr>
        <w:pStyle w:val="Tekstprzypisudolnego"/>
        <w:spacing w:line="360" w:lineRule="auto"/>
        <w:ind w:left="709" w:hanging="709"/>
        <w:contextualSpacing/>
        <w:rPr>
          <w:sz w:val="24"/>
          <w:szCs w:val="24"/>
        </w:rPr>
      </w:pPr>
      <w:r w:rsidRPr="003C0842">
        <w:rPr>
          <w:sz w:val="24"/>
          <w:szCs w:val="24"/>
        </w:rPr>
        <w:t xml:space="preserve">Czubiński A., </w:t>
      </w:r>
      <w:r w:rsidRPr="003C0842">
        <w:rPr>
          <w:i/>
          <w:sz w:val="24"/>
          <w:szCs w:val="24"/>
        </w:rPr>
        <w:t>Walka o granice wschodnie Polski w latach 1918</w:t>
      </w:r>
      <w:r w:rsidR="005A5F3B">
        <w:rPr>
          <w:i/>
          <w:sz w:val="24"/>
          <w:szCs w:val="24"/>
        </w:rPr>
        <w:t>-</w:t>
      </w:r>
      <w:r w:rsidRPr="003C0842">
        <w:rPr>
          <w:i/>
          <w:sz w:val="24"/>
          <w:szCs w:val="24"/>
        </w:rPr>
        <w:t>1921</w:t>
      </w:r>
      <w:r w:rsidRPr="003C0842">
        <w:rPr>
          <w:sz w:val="24"/>
          <w:szCs w:val="24"/>
        </w:rPr>
        <w:t>, Opole 1993</w:t>
      </w:r>
      <w:r w:rsidR="00931238">
        <w:rPr>
          <w:sz w:val="24"/>
          <w:szCs w:val="24"/>
        </w:rPr>
        <w:t>; (dostęp</w:t>
      </w:r>
      <w:r w:rsidR="00645210" w:rsidRPr="003C0842">
        <w:rPr>
          <w:sz w:val="24"/>
          <w:szCs w:val="24"/>
        </w:rPr>
        <w:t xml:space="preserve">ępna w </w:t>
      </w:r>
      <w:r w:rsidR="005D3D7A">
        <w:rPr>
          <w:sz w:val="24"/>
          <w:szCs w:val="24"/>
        </w:rPr>
        <w:t>wbc</w:t>
      </w:r>
      <w:r w:rsidR="00645210" w:rsidRPr="003C0842">
        <w:rPr>
          <w:sz w:val="24"/>
          <w:szCs w:val="24"/>
        </w:rPr>
        <w:t>.</w:t>
      </w:r>
      <w:r w:rsidR="00642A15" w:rsidRPr="003C0842">
        <w:rPr>
          <w:sz w:val="24"/>
          <w:szCs w:val="24"/>
        </w:rPr>
        <w:t>poznan</w:t>
      </w:r>
      <w:r w:rsidR="00645210" w:rsidRPr="003C0842">
        <w:rPr>
          <w:sz w:val="24"/>
          <w:szCs w:val="24"/>
        </w:rPr>
        <w:t>.pl)</w:t>
      </w:r>
    </w:p>
    <w:p w:rsidR="00FE1660" w:rsidRPr="00387453" w:rsidRDefault="00FE1660" w:rsidP="007106A1">
      <w:pPr>
        <w:pStyle w:val="Tekstprzypisudolnego"/>
        <w:spacing w:line="360" w:lineRule="auto"/>
        <w:ind w:left="709" w:hanging="709"/>
        <w:contextualSpacing/>
        <w:rPr>
          <w:sz w:val="24"/>
          <w:szCs w:val="24"/>
          <w:lang w:val="en-US"/>
        </w:rPr>
      </w:pPr>
      <w:r w:rsidRPr="00387453">
        <w:rPr>
          <w:sz w:val="24"/>
          <w:szCs w:val="24"/>
          <w:lang w:val="en-US"/>
        </w:rPr>
        <w:t xml:space="preserve">Czubiński A., </w:t>
      </w:r>
      <w:r w:rsidRPr="00387453">
        <w:rPr>
          <w:i/>
          <w:sz w:val="24"/>
          <w:szCs w:val="24"/>
          <w:lang w:val="en-US"/>
        </w:rPr>
        <w:t>ZSRR i Niemcy w dobie Locarno,</w:t>
      </w:r>
      <w:r w:rsidRPr="00387453">
        <w:rPr>
          <w:sz w:val="24"/>
          <w:szCs w:val="24"/>
          <w:lang w:val="en-US"/>
        </w:rPr>
        <w:t xml:space="preserve"> Studia Historica Slavo-Germanica</w:t>
      </w:r>
      <w:r w:rsidR="00CE5D8C" w:rsidRPr="00387453">
        <w:rPr>
          <w:sz w:val="24"/>
          <w:szCs w:val="24"/>
          <w:lang w:val="en-US"/>
        </w:rPr>
        <w:t xml:space="preserve"> 18(</w:t>
      </w:r>
      <w:r w:rsidRPr="00387453">
        <w:rPr>
          <w:sz w:val="24"/>
          <w:szCs w:val="24"/>
          <w:lang w:val="en-US"/>
        </w:rPr>
        <w:t>1994</w:t>
      </w:r>
      <w:r w:rsidR="00CE5D8C" w:rsidRPr="00387453">
        <w:rPr>
          <w:sz w:val="24"/>
          <w:szCs w:val="24"/>
          <w:lang w:val="en-US"/>
        </w:rPr>
        <w:t>)</w:t>
      </w:r>
    </w:p>
    <w:p w:rsidR="00912375" w:rsidRPr="003C0842" w:rsidRDefault="00912375" w:rsidP="007106A1">
      <w:pPr>
        <w:pStyle w:val="Tekstprzypisudolnego"/>
        <w:spacing w:line="360" w:lineRule="auto"/>
        <w:ind w:left="709" w:hanging="709"/>
        <w:contextualSpacing/>
        <w:rPr>
          <w:sz w:val="24"/>
          <w:szCs w:val="24"/>
          <w:lang w:val="en-US"/>
        </w:rPr>
      </w:pPr>
      <w:r w:rsidRPr="003C0842">
        <w:rPr>
          <w:sz w:val="24"/>
          <w:szCs w:val="24"/>
          <w:lang w:val="en-US"/>
        </w:rPr>
        <w:t xml:space="preserve">Dale D.G., </w:t>
      </w:r>
      <w:r w:rsidRPr="003C0842">
        <w:rPr>
          <w:i/>
          <w:sz w:val="24"/>
          <w:szCs w:val="24"/>
          <w:lang w:val="en-US"/>
        </w:rPr>
        <w:t>An American in Geneva: Florance Wilson and the LN Library</w:t>
      </w:r>
      <w:r w:rsidRPr="00FA3D85">
        <w:rPr>
          <w:sz w:val="24"/>
          <w:szCs w:val="24"/>
          <w:lang w:val="en-US"/>
        </w:rPr>
        <w:t>,</w:t>
      </w:r>
      <w:r w:rsidRPr="003C0842">
        <w:rPr>
          <w:sz w:val="24"/>
          <w:szCs w:val="24"/>
          <w:lang w:val="en-US"/>
        </w:rPr>
        <w:t>The Journal of Library History</w:t>
      </w:r>
      <w:r w:rsidR="00FA3D85">
        <w:rPr>
          <w:sz w:val="24"/>
          <w:szCs w:val="24"/>
          <w:lang w:val="en-US"/>
        </w:rPr>
        <w:t xml:space="preserve"> 7(</w:t>
      </w:r>
      <w:r w:rsidRPr="003C0842">
        <w:rPr>
          <w:sz w:val="24"/>
          <w:szCs w:val="24"/>
          <w:lang w:val="en-US"/>
        </w:rPr>
        <w:t>1972</w:t>
      </w:r>
      <w:r w:rsidR="00FA3D85">
        <w:rPr>
          <w:sz w:val="24"/>
          <w:szCs w:val="24"/>
          <w:lang w:val="en-US"/>
        </w:rPr>
        <w:t>)</w:t>
      </w:r>
      <w:r w:rsidRPr="003C0842">
        <w:rPr>
          <w:sz w:val="24"/>
          <w:szCs w:val="24"/>
          <w:lang w:val="en-US"/>
        </w:rPr>
        <w:t>, nr 2</w:t>
      </w:r>
    </w:p>
    <w:p w:rsidR="00912375" w:rsidRPr="00387453" w:rsidRDefault="00912375" w:rsidP="007106A1">
      <w:pPr>
        <w:pStyle w:val="Tekstprzypisudolnego"/>
        <w:spacing w:line="360" w:lineRule="auto"/>
        <w:ind w:left="709" w:hanging="709"/>
        <w:contextualSpacing/>
        <w:rPr>
          <w:sz w:val="24"/>
          <w:szCs w:val="24"/>
          <w:lang w:val="en-US"/>
        </w:rPr>
      </w:pPr>
      <w:r w:rsidRPr="003C0842">
        <w:rPr>
          <w:sz w:val="24"/>
          <w:szCs w:val="24"/>
          <w:lang w:val="en-US"/>
        </w:rPr>
        <w:t xml:space="preserve">Dilley A., </w:t>
      </w:r>
      <w:r w:rsidRPr="003C0842">
        <w:rPr>
          <w:i/>
          <w:iCs/>
          <w:sz w:val="24"/>
          <w:szCs w:val="24"/>
          <w:lang w:val="en-US"/>
        </w:rPr>
        <w:t>World, Global and Imperial History in British Historiography</w:t>
      </w:r>
      <w:r w:rsidRPr="00FA3D85">
        <w:rPr>
          <w:iCs/>
          <w:sz w:val="24"/>
          <w:szCs w:val="24"/>
          <w:lang w:val="en-US"/>
        </w:rPr>
        <w:t>,</w:t>
      </w:r>
      <w:r w:rsidR="004D2F75" w:rsidRPr="003C0842">
        <w:rPr>
          <w:sz w:val="24"/>
          <w:szCs w:val="24"/>
          <w:lang w:val="en-US"/>
        </w:rPr>
        <w:t>[w:]</w:t>
      </w:r>
      <w:r w:rsidRPr="00FA3D85">
        <w:rPr>
          <w:i/>
          <w:sz w:val="24"/>
          <w:szCs w:val="24"/>
          <w:lang w:val="en-US"/>
        </w:rPr>
        <w:t>World and Global History. Research and Teaching</w:t>
      </w:r>
      <w:r w:rsidR="00FA3D85">
        <w:rPr>
          <w:sz w:val="24"/>
          <w:szCs w:val="24"/>
          <w:lang w:val="en-US"/>
        </w:rPr>
        <w:t>,red</w:t>
      </w:r>
      <w:r w:rsidRPr="003C0842">
        <w:rPr>
          <w:sz w:val="24"/>
          <w:szCs w:val="24"/>
          <w:lang w:val="en-US"/>
        </w:rPr>
        <w:t>. S.Jalagin, S.Tavera, A.Dilley</w:t>
      </w:r>
      <w:r w:rsidR="00FA3D85">
        <w:rPr>
          <w:sz w:val="24"/>
          <w:szCs w:val="24"/>
          <w:lang w:val="en-US"/>
        </w:rPr>
        <w:t>,</w:t>
      </w:r>
      <w:r w:rsidRPr="00387453">
        <w:rPr>
          <w:sz w:val="24"/>
          <w:szCs w:val="24"/>
          <w:lang w:val="en-US"/>
        </w:rPr>
        <w:t>Pisa 2011</w:t>
      </w:r>
    </w:p>
    <w:p w:rsidR="00912375" w:rsidRPr="003C0842" w:rsidRDefault="00912375" w:rsidP="007106A1">
      <w:pPr>
        <w:pStyle w:val="Tekstprzypisudolnego"/>
        <w:spacing w:line="360" w:lineRule="auto"/>
        <w:ind w:left="709" w:hanging="709"/>
        <w:contextualSpacing/>
        <w:rPr>
          <w:sz w:val="24"/>
          <w:szCs w:val="24"/>
          <w:lang w:val="it-IT"/>
        </w:rPr>
      </w:pPr>
      <w:r w:rsidRPr="003C0842">
        <w:rPr>
          <w:sz w:val="24"/>
          <w:szCs w:val="24"/>
          <w:lang w:val="it-IT"/>
        </w:rPr>
        <w:lastRenderedPageBreak/>
        <w:t xml:space="preserve">Di Nolfo E., </w:t>
      </w:r>
      <w:r w:rsidRPr="003C0842">
        <w:rPr>
          <w:i/>
          <w:sz w:val="24"/>
          <w:szCs w:val="24"/>
          <w:lang w:val="it-IT"/>
        </w:rPr>
        <w:t xml:space="preserve">Mussolini e la politica estera italiana </w:t>
      </w:r>
      <w:r w:rsidR="00F0463B" w:rsidRPr="003C0842">
        <w:rPr>
          <w:sz w:val="24"/>
          <w:szCs w:val="24"/>
          <w:lang w:val="it-IT"/>
        </w:rPr>
        <w:t>(</w:t>
      </w:r>
      <w:r w:rsidRPr="003C0842">
        <w:rPr>
          <w:i/>
          <w:sz w:val="24"/>
          <w:szCs w:val="24"/>
          <w:lang w:val="it-IT"/>
        </w:rPr>
        <w:t>1919-1933</w:t>
      </w:r>
      <w:r w:rsidRPr="003C0842">
        <w:rPr>
          <w:sz w:val="24"/>
          <w:szCs w:val="24"/>
          <w:lang w:val="it-IT"/>
        </w:rPr>
        <w:t>), Padova 1960</w:t>
      </w:r>
    </w:p>
    <w:p w:rsidR="00912375" w:rsidRPr="003C0842" w:rsidRDefault="00912375" w:rsidP="007106A1">
      <w:pPr>
        <w:pStyle w:val="Tekstprzypisudolnego"/>
        <w:spacing w:line="360" w:lineRule="auto"/>
        <w:ind w:left="709" w:hanging="709"/>
        <w:contextualSpacing/>
        <w:rPr>
          <w:sz w:val="24"/>
          <w:szCs w:val="24"/>
          <w:lang w:val="fr-FR"/>
        </w:rPr>
      </w:pPr>
      <w:r w:rsidRPr="003C0842">
        <w:rPr>
          <w:sz w:val="24"/>
          <w:szCs w:val="24"/>
          <w:lang w:val="fr-FR"/>
        </w:rPr>
        <w:t xml:space="preserve">Duroselle J.B., </w:t>
      </w:r>
      <w:r w:rsidRPr="003C0842">
        <w:rPr>
          <w:i/>
          <w:sz w:val="24"/>
          <w:szCs w:val="24"/>
          <w:lang w:val="fr-FR"/>
        </w:rPr>
        <w:t>De Wilson à Roosevelt: politique extérieure des Etas-Unis 1913-1945</w:t>
      </w:r>
      <w:r w:rsidRPr="003C0842">
        <w:rPr>
          <w:sz w:val="24"/>
          <w:szCs w:val="24"/>
          <w:lang w:val="fr-FR"/>
        </w:rPr>
        <w:t>, Paris 1960</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Essen A., </w:t>
      </w:r>
      <w:r w:rsidRPr="003C0842">
        <w:rPr>
          <w:i/>
          <w:sz w:val="24"/>
          <w:szCs w:val="24"/>
        </w:rPr>
        <w:t>Polityka Czechosłowacji w Europie Środkowej w latach 1918-1932</w:t>
      </w:r>
      <w:r w:rsidRPr="00FA3D85">
        <w:rPr>
          <w:sz w:val="24"/>
          <w:szCs w:val="24"/>
        </w:rPr>
        <w:t>,</w:t>
      </w:r>
      <w:r w:rsidRPr="003C0842">
        <w:rPr>
          <w:sz w:val="24"/>
          <w:szCs w:val="24"/>
        </w:rPr>
        <w:t>Kraków 2006</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Fiedor K., </w:t>
      </w:r>
      <w:r w:rsidRPr="003C0842">
        <w:rPr>
          <w:i/>
          <w:sz w:val="24"/>
          <w:szCs w:val="24"/>
        </w:rPr>
        <w:t>„Dyktat wersalski” w propagandzie Republiki Weimarskiej</w:t>
      </w:r>
      <w:r w:rsidRPr="003C0842">
        <w:rPr>
          <w:sz w:val="24"/>
          <w:szCs w:val="24"/>
        </w:rPr>
        <w:t xml:space="preserve">, </w:t>
      </w:r>
      <w:r w:rsidR="004D2F75" w:rsidRPr="003C0842">
        <w:rPr>
          <w:sz w:val="24"/>
          <w:szCs w:val="24"/>
        </w:rPr>
        <w:t>[w:]</w:t>
      </w:r>
      <w:r w:rsidRPr="003C0842">
        <w:rPr>
          <w:i/>
          <w:sz w:val="24"/>
          <w:szCs w:val="24"/>
        </w:rPr>
        <w:t>Niemcy w polityce międzynarodowej1919</w:t>
      </w:r>
      <w:r w:rsidR="005A5F3B">
        <w:rPr>
          <w:i/>
          <w:sz w:val="24"/>
          <w:szCs w:val="24"/>
        </w:rPr>
        <w:t>-</w:t>
      </w:r>
      <w:r w:rsidRPr="003C0842">
        <w:rPr>
          <w:i/>
          <w:sz w:val="24"/>
          <w:szCs w:val="24"/>
        </w:rPr>
        <w:t>1939</w:t>
      </w:r>
      <w:r w:rsidRPr="003C0842">
        <w:rPr>
          <w:sz w:val="24"/>
          <w:szCs w:val="24"/>
        </w:rPr>
        <w:t xml:space="preserve">, t. I: </w:t>
      </w:r>
      <w:r w:rsidRPr="003C0842">
        <w:rPr>
          <w:i/>
          <w:sz w:val="24"/>
          <w:szCs w:val="24"/>
        </w:rPr>
        <w:t>Era Stresemanna</w:t>
      </w:r>
      <w:r w:rsidRPr="003C0842">
        <w:rPr>
          <w:sz w:val="24"/>
          <w:szCs w:val="24"/>
        </w:rPr>
        <w:t>, red. S. Sierpowski, Poznań 1990</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Fiedor K., </w:t>
      </w:r>
      <w:r w:rsidRPr="003C0842">
        <w:rPr>
          <w:i/>
          <w:sz w:val="24"/>
          <w:szCs w:val="24"/>
        </w:rPr>
        <w:t>Niemieckie plany integracji Europy na tle zachodnioeuropejskich doktryn zjednoczeniowych 1918-1945</w:t>
      </w:r>
      <w:r w:rsidRPr="003C0842">
        <w:rPr>
          <w:sz w:val="24"/>
          <w:szCs w:val="24"/>
        </w:rPr>
        <w:t>, Wrocław 1991</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Fiedor K., </w:t>
      </w:r>
      <w:r w:rsidRPr="003C0842">
        <w:rPr>
          <w:i/>
          <w:sz w:val="24"/>
          <w:szCs w:val="24"/>
        </w:rPr>
        <w:t>Niemiecki ruch obrońców pokoju 1892</w:t>
      </w:r>
      <w:r w:rsidR="00FA3D85">
        <w:rPr>
          <w:i/>
          <w:sz w:val="24"/>
          <w:szCs w:val="24"/>
        </w:rPr>
        <w:t>-</w:t>
      </w:r>
      <w:r w:rsidRPr="003C0842">
        <w:rPr>
          <w:i/>
          <w:sz w:val="24"/>
          <w:szCs w:val="24"/>
        </w:rPr>
        <w:t>1933</w:t>
      </w:r>
      <w:r w:rsidRPr="003C0842">
        <w:rPr>
          <w:sz w:val="24"/>
          <w:szCs w:val="24"/>
        </w:rPr>
        <w:t>, Wrocław 1993</w:t>
      </w:r>
    </w:p>
    <w:p w:rsidR="00912375" w:rsidRPr="003C0842" w:rsidRDefault="00912375" w:rsidP="007106A1">
      <w:pPr>
        <w:pStyle w:val="Tekstprzypisudolnego"/>
        <w:spacing w:line="360" w:lineRule="auto"/>
        <w:ind w:left="709" w:hanging="709"/>
        <w:contextualSpacing/>
        <w:rPr>
          <w:sz w:val="24"/>
          <w:szCs w:val="24"/>
          <w:lang w:val="en-US"/>
        </w:rPr>
      </w:pPr>
      <w:r w:rsidRPr="003C0842">
        <w:rPr>
          <w:sz w:val="24"/>
          <w:szCs w:val="24"/>
          <w:lang w:val="en-US"/>
        </w:rPr>
        <w:t xml:space="preserve">Fine M., </w:t>
      </w:r>
      <w:r w:rsidRPr="003C0842">
        <w:rPr>
          <w:i/>
          <w:sz w:val="24"/>
          <w:szCs w:val="24"/>
          <w:lang w:val="en-US"/>
        </w:rPr>
        <w:t>Albert Thomas. A Reformer’s Vision of Modernization</w:t>
      </w:r>
      <w:r w:rsidRPr="00FA3D85">
        <w:rPr>
          <w:sz w:val="24"/>
          <w:szCs w:val="24"/>
          <w:lang w:val="en-US"/>
        </w:rPr>
        <w:t xml:space="preserve">, </w:t>
      </w:r>
      <w:r w:rsidRPr="003C0842">
        <w:rPr>
          <w:sz w:val="24"/>
          <w:szCs w:val="24"/>
          <w:lang w:val="en-US"/>
        </w:rPr>
        <w:t>Journal of Contemporary History12 (1977)</w:t>
      </w:r>
    </w:p>
    <w:p w:rsidR="00912375" w:rsidRPr="003C0842" w:rsidRDefault="00912375" w:rsidP="007106A1">
      <w:pPr>
        <w:autoSpaceDE w:val="0"/>
        <w:autoSpaceDN w:val="0"/>
        <w:adjustRightInd w:val="0"/>
        <w:spacing w:line="360" w:lineRule="auto"/>
        <w:ind w:left="709" w:hanging="709"/>
        <w:contextualSpacing/>
        <w:rPr>
          <w:color w:val="000000"/>
          <w:lang w:val="en-US"/>
        </w:rPr>
      </w:pPr>
      <w:r w:rsidRPr="003C0842">
        <w:rPr>
          <w:lang w:val="en-US"/>
        </w:rPr>
        <w:t xml:space="preserve">Fink C., </w:t>
      </w:r>
      <w:r w:rsidRPr="003C0842">
        <w:rPr>
          <w:i/>
          <w:lang w:val="en-US"/>
        </w:rPr>
        <w:t>Defending the Rights of Others: The Great Powers, the Jews, and International Minority Protection, 1878-1938</w:t>
      </w:r>
      <w:r w:rsidRPr="003C0842">
        <w:rPr>
          <w:lang w:val="en-US"/>
        </w:rPr>
        <w:t>, New York Cambridge 2004</w:t>
      </w:r>
    </w:p>
    <w:p w:rsidR="00912375" w:rsidRPr="003C0842" w:rsidRDefault="00912375" w:rsidP="007106A1">
      <w:pPr>
        <w:pStyle w:val="Tekstprzypisudolnego"/>
        <w:spacing w:line="360" w:lineRule="auto"/>
        <w:ind w:left="709" w:hanging="709"/>
        <w:contextualSpacing/>
        <w:rPr>
          <w:sz w:val="24"/>
          <w:szCs w:val="24"/>
          <w:lang w:val="fr-FR"/>
        </w:rPr>
      </w:pPr>
      <w:r w:rsidRPr="003C0842">
        <w:rPr>
          <w:sz w:val="24"/>
          <w:szCs w:val="24"/>
          <w:lang w:val="fr-FR"/>
        </w:rPr>
        <w:t xml:space="preserve">Fior M., </w:t>
      </w:r>
      <w:r w:rsidRPr="003C0842">
        <w:rPr>
          <w:i/>
          <w:sz w:val="24"/>
          <w:szCs w:val="24"/>
          <w:lang w:val="fr-FR"/>
        </w:rPr>
        <w:t xml:space="preserve">Institution globale, transition et pouvair. La Société des Nations et la reconstruction de l’Europe </w:t>
      </w:r>
      <w:r w:rsidR="00F0463B" w:rsidRPr="003C0842">
        <w:rPr>
          <w:sz w:val="24"/>
          <w:szCs w:val="24"/>
          <w:lang w:val="fr-FR"/>
        </w:rPr>
        <w:t>(</w:t>
      </w:r>
      <w:r w:rsidRPr="003C0842">
        <w:rPr>
          <w:i/>
          <w:sz w:val="24"/>
          <w:szCs w:val="24"/>
          <w:lang w:val="fr-FR"/>
        </w:rPr>
        <w:t>1918-1931</w:t>
      </w:r>
      <w:r w:rsidR="00F0463B" w:rsidRPr="003C0842">
        <w:rPr>
          <w:sz w:val="24"/>
          <w:szCs w:val="24"/>
          <w:lang w:val="fr-FR"/>
        </w:rPr>
        <w:t>)</w:t>
      </w:r>
      <w:r w:rsidRPr="003C0842">
        <w:rPr>
          <w:i/>
          <w:sz w:val="24"/>
          <w:szCs w:val="24"/>
          <w:lang w:val="fr-FR"/>
        </w:rPr>
        <w:t>,</w:t>
      </w:r>
      <w:r w:rsidRPr="003C0842">
        <w:rPr>
          <w:sz w:val="24"/>
          <w:szCs w:val="24"/>
          <w:lang w:val="fr-FR"/>
        </w:rPr>
        <w:t xml:space="preserve"> Neuchâtel 2006</w:t>
      </w:r>
    </w:p>
    <w:p w:rsidR="00912375" w:rsidRPr="003C0842" w:rsidRDefault="00912375" w:rsidP="007106A1">
      <w:pPr>
        <w:pStyle w:val="Tekstprzypisudolnego"/>
        <w:spacing w:line="360" w:lineRule="auto"/>
        <w:ind w:left="709" w:hanging="709"/>
        <w:contextualSpacing/>
        <w:rPr>
          <w:sz w:val="24"/>
          <w:szCs w:val="24"/>
          <w:lang w:val="it-IT"/>
        </w:rPr>
      </w:pPr>
      <w:r w:rsidRPr="003C0842">
        <w:rPr>
          <w:sz w:val="24"/>
          <w:szCs w:val="24"/>
          <w:lang w:val="it-IT"/>
        </w:rPr>
        <w:t xml:space="preserve">Garcia E.V., </w:t>
      </w:r>
      <w:r w:rsidRPr="003C0842">
        <w:rPr>
          <w:i/>
          <w:sz w:val="24"/>
          <w:szCs w:val="24"/>
          <w:lang w:val="it-IT"/>
        </w:rPr>
        <w:t>Entre América e Europa: politica extera brasilèíra na década de 1920,</w:t>
      </w:r>
      <w:r w:rsidRPr="003C0842">
        <w:rPr>
          <w:sz w:val="24"/>
          <w:szCs w:val="24"/>
          <w:lang w:val="it-IT"/>
        </w:rPr>
        <w:t xml:space="preserve"> Brasília/DF, 2006</w:t>
      </w:r>
    </w:p>
    <w:p w:rsidR="00912375" w:rsidRPr="003C0842" w:rsidRDefault="00912375" w:rsidP="007106A1">
      <w:pPr>
        <w:pStyle w:val="Tekstprzypisudolnego"/>
        <w:spacing w:line="360" w:lineRule="auto"/>
        <w:ind w:left="709" w:hanging="709"/>
        <w:contextualSpacing/>
        <w:rPr>
          <w:sz w:val="24"/>
          <w:szCs w:val="24"/>
          <w:lang w:val="en-US"/>
        </w:rPr>
      </w:pPr>
      <w:r w:rsidRPr="003C0842">
        <w:rPr>
          <w:sz w:val="24"/>
          <w:szCs w:val="24"/>
          <w:lang w:val="en-US"/>
        </w:rPr>
        <w:t xml:space="preserve">Gatzke H.W., </w:t>
      </w:r>
      <w:r w:rsidRPr="003C0842">
        <w:rPr>
          <w:i/>
          <w:sz w:val="24"/>
          <w:szCs w:val="24"/>
          <w:lang w:val="en-US"/>
        </w:rPr>
        <w:t>Germany and the United States. A „Special Relationship”</w:t>
      </w:r>
      <w:r w:rsidRPr="003C0842">
        <w:rPr>
          <w:sz w:val="24"/>
          <w:szCs w:val="24"/>
          <w:lang w:val="en-US"/>
        </w:rPr>
        <w:t>, Cambridge (Mass</w:t>
      </w:r>
      <w:r w:rsidR="00DC65D6">
        <w:rPr>
          <w:sz w:val="24"/>
          <w:szCs w:val="24"/>
          <w:lang w:val="en-US"/>
        </w:rPr>
        <w:t>.</w:t>
      </w:r>
      <w:r w:rsidRPr="003C0842">
        <w:rPr>
          <w:sz w:val="24"/>
          <w:szCs w:val="24"/>
          <w:lang w:val="en-US"/>
        </w:rPr>
        <w:t>), 1980</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Gawroński J., </w:t>
      </w:r>
      <w:r w:rsidRPr="003C0842">
        <w:rPr>
          <w:i/>
          <w:sz w:val="24"/>
          <w:szCs w:val="24"/>
        </w:rPr>
        <w:t>Moja misja w Wiedniu</w:t>
      </w:r>
      <w:r w:rsidRPr="003C0842">
        <w:rPr>
          <w:sz w:val="24"/>
          <w:szCs w:val="24"/>
        </w:rPr>
        <w:t>, Warszawa 1965,</w:t>
      </w:r>
    </w:p>
    <w:p w:rsidR="00912375" w:rsidRPr="00241D7B" w:rsidRDefault="00912375" w:rsidP="007106A1">
      <w:pPr>
        <w:pStyle w:val="Tekstprzypisudolnego"/>
        <w:spacing w:line="360" w:lineRule="auto"/>
        <w:ind w:left="709" w:hanging="709"/>
        <w:contextualSpacing/>
        <w:rPr>
          <w:sz w:val="24"/>
          <w:szCs w:val="24"/>
          <w:lang w:val="en-US"/>
        </w:rPr>
      </w:pPr>
      <w:r w:rsidRPr="003C0842">
        <w:rPr>
          <w:sz w:val="24"/>
          <w:szCs w:val="24"/>
        </w:rPr>
        <w:t xml:space="preserve">Gawrycki M. F., </w:t>
      </w:r>
      <w:r w:rsidRPr="003C0842">
        <w:rPr>
          <w:i/>
          <w:sz w:val="24"/>
          <w:szCs w:val="24"/>
        </w:rPr>
        <w:t>Etyka compradora – postkolonialna Ameryka Łacińska w Lidze Narodów,</w:t>
      </w:r>
      <w:r w:rsidR="004D2F75" w:rsidRPr="003C0842">
        <w:rPr>
          <w:sz w:val="24"/>
          <w:szCs w:val="24"/>
        </w:rPr>
        <w:t>[w:]</w:t>
      </w:r>
      <w:r w:rsidRPr="003C0842">
        <w:rPr>
          <w:i/>
          <w:sz w:val="24"/>
          <w:szCs w:val="24"/>
        </w:rPr>
        <w:t>Liga Narodów wybranych</w:t>
      </w:r>
      <w:r w:rsidR="00FA3D85" w:rsidRPr="00FA3D85">
        <w:rPr>
          <w:sz w:val="24"/>
          <w:szCs w:val="24"/>
        </w:rPr>
        <w:t>,r</w:t>
      </w:r>
      <w:r w:rsidRPr="003C0842">
        <w:rPr>
          <w:sz w:val="24"/>
          <w:szCs w:val="24"/>
        </w:rPr>
        <w:t>ed</w:t>
      </w:r>
      <w:r w:rsidR="00FA3D85">
        <w:rPr>
          <w:sz w:val="24"/>
          <w:szCs w:val="24"/>
        </w:rPr>
        <w:t xml:space="preserve">. </w:t>
      </w:r>
      <w:r w:rsidR="00FA3D85" w:rsidRPr="00241D7B">
        <w:rPr>
          <w:sz w:val="24"/>
          <w:szCs w:val="24"/>
          <w:lang w:val="en-US"/>
        </w:rPr>
        <w:t>M.</w:t>
      </w:r>
      <w:r w:rsidRPr="00241D7B">
        <w:rPr>
          <w:sz w:val="24"/>
          <w:szCs w:val="24"/>
          <w:lang w:val="en-US"/>
        </w:rPr>
        <w:t>F. Gawrycki, A. Bógdał-Brzezińska, Warszawa 2010</w:t>
      </w:r>
    </w:p>
    <w:p w:rsidR="00912375" w:rsidRPr="003C0842" w:rsidRDefault="00912375" w:rsidP="007106A1">
      <w:pPr>
        <w:pStyle w:val="Tekstprzypisudolnego"/>
        <w:spacing w:line="360" w:lineRule="auto"/>
        <w:ind w:left="709" w:hanging="709"/>
        <w:contextualSpacing/>
        <w:rPr>
          <w:sz w:val="24"/>
          <w:szCs w:val="24"/>
          <w:lang w:val="fr-FR"/>
        </w:rPr>
      </w:pPr>
      <w:r w:rsidRPr="00241D7B">
        <w:rPr>
          <w:i/>
          <w:sz w:val="24"/>
          <w:szCs w:val="24"/>
          <w:lang w:val="en-US"/>
        </w:rPr>
        <w:t>Genoa, Rapallo and European reconstruction in 1922</w:t>
      </w:r>
      <w:r w:rsidRPr="00241D7B">
        <w:rPr>
          <w:sz w:val="24"/>
          <w:szCs w:val="24"/>
          <w:lang w:val="en-US"/>
        </w:rPr>
        <w:t xml:space="preserve">, red. </w:t>
      </w:r>
      <w:r w:rsidRPr="003C0842">
        <w:rPr>
          <w:sz w:val="24"/>
          <w:szCs w:val="24"/>
          <w:lang w:val="fr-FR"/>
        </w:rPr>
        <w:t>Carole Fink i in., Cambridge University Press 1991</w:t>
      </w:r>
    </w:p>
    <w:p w:rsidR="00912375" w:rsidRPr="003C0842" w:rsidRDefault="00912375" w:rsidP="007106A1">
      <w:pPr>
        <w:pStyle w:val="Tekstprzypisudolnego"/>
        <w:spacing w:line="360" w:lineRule="auto"/>
        <w:ind w:left="709" w:hanging="709"/>
        <w:contextualSpacing/>
        <w:rPr>
          <w:sz w:val="24"/>
          <w:szCs w:val="24"/>
          <w:lang w:val="fr-FR"/>
        </w:rPr>
      </w:pPr>
      <w:r w:rsidRPr="003C0842">
        <w:rPr>
          <w:sz w:val="24"/>
          <w:szCs w:val="24"/>
          <w:lang w:val="fr-FR"/>
        </w:rPr>
        <w:t xml:space="preserve">Ghebali V.Y., </w:t>
      </w:r>
      <w:r w:rsidRPr="003C0842">
        <w:rPr>
          <w:i/>
          <w:sz w:val="24"/>
          <w:szCs w:val="24"/>
          <w:lang w:val="fr-FR"/>
        </w:rPr>
        <w:t>Délègations permanents auprès de la SdN</w:t>
      </w:r>
      <w:r w:rsidRPr="003C0842">
        <w:rPr>
          <w:sz w:val="24"/>
          <w:szCs w:val="24"/>
          <w:lang w:val="fr-FR"/>
        </w:rPr>
        <w:t>, Bruxelles 1971</w:t>
      </w:r>
    </w:p>
    <w:p w:rsidR="00912375" w:rsidRPr="003C0842" w:rsidRDefault="00912375" w:rsidP="007106A1">
      <w:pPr>
        <w:pStyle w:val="Tekstprzypisudolnego"/>
        <w:spacing w:line="360" w:lineRule="auto"/>
        <w:ind w:left="709" w:hanging="709"/>
        <w:contextualSpacing/>
        <w:rPr>
          <w:sz w:val="24"/>
          <w:szCs w:val="24"/>
          <w:lang w:val="en-US"/>
        </w:rPr>
      </w:pPr>
      <w:r w:rsidRPr="003C0842">
        <w:rPr>
          <w:sz w:val="24"/>
          <w:szCs w:val="24"/>
        </w:rPr>
        <w:t xml:space="preserve">Gilas J., </w:t>
      </w:r>
      <w:r w:rsidRPr="003C0842">
        <w:rPr>
          <w:i/>
          <w:sz w:val="24"/>
          <w:szCs w:val="24"/>
        </w:rPr>
        <w:t>Zagadnienie reglamentacji handlu i produkcji broni, amunicji i materiału wojennego w organach Ligi Narodów,</w:t>
      </w:r>
      <w:r w:rsidRPr="003C0842">
        <w:rPr>
          <w:sz w:val="24"/>
          <w:szCs w:val="24"/>
        </w:rPr>
        <w:t xml:space="preserve"> Acta Universitatis Lodziensis. </w:t>
      </w:r>
      <w:r w:rsidRPr="003C0842">
        <w:rPr>
          <w:sz w:val="24"/>
          <w:szCs w:val="24"/>
          <w:lang w:val="en-US"/>
        </w:rPr>
        <w:t>Folia Historica 17 (1983)</w:t>
      </w:r>
    </w:p>
    <w:p w:rsidR="00912375" w:rsidRPr="003C0842" w:rsidRDefault="00912375" w:rsidP="007106A1">
      <w:pPr>
        <w:pStyle w:val="Tekstprzypisudolnego"/>
        <w:spacing w:line="360" w:lineRule="auto"/>
        <w:ind w:left="709" w:hanging="709"/>
        <w:contextualSpacing/>
        <w:rPr>
          <w:sz w:val="24"/>
          <w:szCs w:val="24"/>
          <w:lang w:val="fr-FR"/>
        </w:rPr>
      </w:pPr>
      <w:r w:rsidRPr="003C0842">
        <w:rPr>
          <w:i/>
          <w:sz w:val="24"/>
          <w:szCs w:val="24"/>
          <w:lang w:val="en-US"/>
        </w:rPr>
        <w:t>The Globalization of U.S.-Latin American Relations: Democracy, Intervention and Human Right</w:t>
      </w:r>
      <w:r w:rsidR="000F3F88" w:rsidRPr="003C0842">
        <w:rPr>
          <w:i/>
          <w:sz w:val="24"/>
          <w:szCs w:val="24"/>
          <w:lang w:val="en-US"/>
        </w:rPr>
        <w:t>s</w:t>
      </w:r>
      <w:r w:rsidRPr="003C0842">
        <w:rPr>
          <w:sz w:val="24"/>
          <w:szCs w:val="24"/>
          <w:lang w:val="en-US"/>
        </w:rPr>
        <w:t xml:space="preserve">, red. </w:t>
      </w:r>
      <w:r w:rsidRPr="003C0842">
        <w:rPr>
          <w:sz w:val="24"/>
          <w:szCs w:val="24"/>
          <w:lang w:val="fr-FR"/>
        </w:rPr>
        <w:t>V.E. Bouvier, Vesport CT 2002</w:t>
      </w:r>
    </w:p>
    <w:p w:rsidR="00585479" w:rsidRPr="003C0842" w:rsidRDefault="00585479" w:rsidP="007106A1">
      <w:pPr>
        <w:pStyle w:val="Tekstprzypisudolnego"/>
        <w:spacing w:line="360" w:lineRule="auto"/>
        <w:ind w:left="709" w:hanging="709"/>
        <w:contextualSpacing/>
        <w:rPr>
          <w:sz w:val="24"/>
          <w:szCs w:val="24"/>
          <w:lang w:val="fr-FR"/>
        </w:rPr>
      </w:pPr>
      <w:r w:rsidRPr="003C0842">
        <w:rPr>
          <w:sz w:val="24"/>
          <w:szCs w:val="24"/>
          <w:lang w:val="fr-FR"/>
        </w:rPr>
        <w:t xml:space="preserve">Gonsiorowski M., </w:t>
      </w:r>
      <w:r w:rsidRPr="003C0842">
        <w:rPr>
          <w:i/>
          <w:sz w:val="24"/>
          <w:szCs w:val="24"/>
          <w:lang w:val="fr-FR"/>
        </w:rPr>
        <w:t>Société des Nations et problème de la paix</w:t>
      </w:r>
      <w:r w:rsidRPr="003C0842">
        <w:rPr>
          <w:sz w:val="24"/>
          <w:szCs w:val="24"/>
          <w:lang w:val="fr-FR"/>
        </w:rPr>
        <w:t xml:space="preserve">, Paris 1927, 3 vol. </w:t>
      </w:r>
    </w:p>
    <w:p w:rsidR="00045328" w:rsidRPr="003C0842" w:rsidRDefault="00045328" w:rsidP="007106A1">
      <w:pPr>
        <w:pStyle w:val="Tekstprzypisudolnego"/>
        <w:spacing w:line="360" w:lineRule="auto"/>
        <w:ind w:left="709" w:hanging="709"/>
        <w:contextualSpacing/>
        <w:rPr>
          <w:sz w:val="24"/>
          <w:szCs w:val="24"/>
          <w:lang w:val="en-US"/>
        </w:rPr>
      </w:pPr>
      <w:r w:rsidRPr="003C0842">
        <w:rPr>
          <w:sz w:val="24"/>
          <w:szCs w:val="24"/>
          <w:lang w:val="en-US"/>
        </w:rPr>
        <w:t xml:space="preserve">Goodman J., </w:t>
      </w:r>
      <w:hyperlink r:id="rId9" w:history="1">
        <w:r w:rsidRPr="003C0842">
          <w:rPr>
            <w:rStyle w:val="Hipercze"/>
            <w:i/>
            <w:color w:val="auto"/>
            <w:sz w:val="24"/>
            <w:szCs w:val="24"/>
            <w:u w:val="none"/>
            <w:lang w:val="en-US"/>
          </w:rPr>
          <w:t>Women and International Intellectual Co-Operation</w:t>
        </w:r>
        <w:r w:rsidRPr="00B3609F">
          <w:rPr>
            <w:rStyle w:val="Hipercze"/>
            <w:color w:val="auto"/>
            <w:sz w:val="24"/>
            <w:szCs w:val="24"/>
            <w:u w:val="none"/>
            <w:lang w:val="en-US"/>
          </w:rPr>
          <w:t xml:space="preserve">, </w:t>
        </w:r>
      </w:hyperlink>
      <w:r w:rsidRPr="003C0842">
        <w:rPr>
          <w:sz w:val="24"/>
          <w:szCs w:val="24"/>
          <w:lang w:val="en-US"/>
        </w:rPr>
        <w:t>Paedagogica Historica: International Journal of the History of Education</w:t>
      </w:r>
      <w:r w:rsidR="00FA3D85">
        <w:rPr>
          <w:sz w:val="24"/>
          <w:szCs w:val="24"/>
          <w:lang w:val="en-US"/>
        </w:rPr>
        <w:t xml:space="preserve"> 48(</w:t>
      </w:r>
      <w:r w:rsidRPr="003C0842">
        <w:rPr>
          <w:sz w:val="24"/>
          <w:szCs w:val="24"/>
          <w:lang w:val="en-US"/>
        </w:rPr>
        <w:t>2012</w:t>
      </w:r>
      <w:r w:rsidR="00FA3D85">
        <w:rPr>
          <w:sz w:val="24"/>
          <w:szCs w:val="24"/>
          <w:lang w:val="en-US"/>
        </w:rPr>
        <w:t>)</w:t>
      </w:r>
      <w:r w:rsidRPr="003C0842">
        <w:rPr>
          <w:sz w:val="24"/>
          <w:szCs w:val="24"/>
          <w:lang w:val="en-US"/>
        </w:rPr>
        <w:t xml:space="preserve">, 3, </w:t>
      </w:r>
      <w:r w:rsidR="00FA3D85">
        <w:rPr>
          <w:sz w:val="24"/>
          <w:szCs w:val="24"/>
          <w:lang w:val="en-US"/>
        </w:rPr>
        <w:t>s</w:t>
      </w:r>
      <w:r w:rsidRPr="003C0842">
        <w:rPr>
          <w:sz w:val="24"/>
          <w:szCs w:val="24"/>
          <w:lang w:val="en-US"/>
        </w:rPr>
        <w:t>.357</w:t>
      </w:r>
    </w:p>
    <w:p w:rsidR="00912375" w:rsidRPr="00387453" w:rsidRDefault="00912375" w:rsidP="007106A1">
      <w:pPr>
        <w:pStyle w:val="Tekstprzypisudolnego"/>
        <w:spacing w:line="360" w:lineRule="auto"/>
        <w:ind w:left="709" w:hanging="709"/>
        <w:contextualSpacing/>
        <w:rPr>
          <w:sz w:val="24"/>
          <w:szCs w:val="24"/>
          <w:lang w:val="en-US"/>
        </w:rPr>
      </w:pPr>
      <w:r w:rsidRPr="003C0842">
        <w:rPr>
          <w:sz w:val="24"/>
          <w:szCs w:val="24"/>
          <w:lang w:val="en-US"/>
        </w:rPr>
        <w:lastRenderedPageBreak/>
        <w:t xml:space="preserve">Gray W.G., </w:t>
      </w:r>
      <w:r w:rsidRPr="003C0842">
        <w:rPr>
          <w:i/>
          <w:sz w:val="24"/>
          <w:szCs w:val="24"/>
          <w:lang w:val="en-US"/>
        </w:rPr>
        <w:t>What did the League do, exactly?</w:t>
      </w:r>
      <w:r w:rsidRPr="00387453">
        <w:rPr>
          <w:sz w:val="24"/>
          <w:szCs w:val="24"/>
          <w:lang w:val="en-US"/>
        </w:rPr>
        <w:t xml:space="preserve">International History Spotlight (IHS), 2007, </w:t>
      </w:r>
      <w:r w:rsidR="00FA3D85" w:rsidRPr="00387453">
        <w:rPr>
          <w:sz w:val="24"/>
          <w:szCs w:val="24"/>
          <w:lang w:val="en-US"/>
        </w:rPr>
        <w:t xml:space="preserve">nr 1 </w:t>
      </w:r>
      <w:r w:rsidR="00BC5068" w:rsidRPr="00387453">
        <w:rPr>
          <w:sz w:val="24"/>
          <w:szCs w:val="24"/>
          <w:lang w:val="en-US"/>
        </w:rPr>
        <w:t>(</w:t>
      </w:r>
      <w:r w:rsidRPr="00387453">
        <w:rPr>
          <w:sz w:val="24"/>
          <w:szCs w:val="24"/>
          <w:lang w:val="en-US"/>
        </w:rPr>
        <w:t>tekst dostępny:http://www.h-net.org/~diplo/IHS/</w:t>
      </w:r>
      <w:r w:rsidR="00BC5068" w:rsidRPr="00387453">
        <w:rPr>
          <w:sz w:val="24"/>
          <w:szCs w:val="24"/>
          <w:lang w:val="en-US"/>
        </w:rPr>
        <w:t>)</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Grzonkowski W., </w:t>
      </w:r>
      <w:r w:rsidRPr="003C0842">
        <w:rPr>
          <w:i/>
          <w:sz w:val="24"/>
          <w:szCs w:val="24"/>
        </w:rPr>
        <w:t>Zagadnienie sankcji międzynarodowych Ligi Narodów</w:t>
      </w:r>
      <w:r w:rsidRPr="00BC5068">
        <w:rPr>
          <w:sz w:val="24"/>
          <w:szCs w:val="24"/>
        </w:rPr>
        <w:t xml:space="preserve">, </w:t>
      </w:r>
      <w:r w:rsidRPr="003C0842">
        <w:rPr>
          <w:sz w:val="24"/>
          <w:szCs w:val="24"/>
        </w:rPr>
        <w:t>Warszawa 1932</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Haffner S., </w:t>
      </w:r>
      <w:r w:rsidRPr="003C0842">
        <w:rPr>
          <w:i/>
          <w:sz w:val="24"/>
          <w:szCs w:val="24"/>
        </w:rPr>
        <w:t>Diabelski pakt</w:t>
      </w:r>
      <w:r w:rsidRPr="003C0842">
        <w:rPr>
          <w:sz w:val="24"/>
          <w:szCs w:val="24"/>
        </w:rPr>
        <w:t>, Lublin 1994</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Harasimowicz A</w:t>
      </w:r>
      <w:r w:rsidRPr="00BC5068">
        <w:rPr>
          <w:sz w:val="24"/>
          <w:szCs w:val="24"/>
        </w:rPr>
        <w:t>., D</w:t>
      </w:r>
      <w:r w:rsidRPr="003C0842">
        <w:rPr>
          <w:i/>
          <w:sz w:val="24"/>
          <w:szCs w:val="24"/>
        </w:rPr>
        <w:t>yplomacja brytyjska wobec zagadnienia rozbrojenia 1921-1937</w:t>
      </w:r>
      <w:r w:rsidRPr="003C0842">
        <w:rPr>
          <w:sz w:val="24"/>
          <w:szCs w:val="24"/>
        </w:rPr>
        <w:t>, Łódź 1990</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Harasimowicz A., </w:t>
      </w:r>
      <w:r w:rsidRPr="003C0842">
        <w:rPr>
          <w:i/>
          <w:sz w:val="24"/>
          <w:szCs w:val="24"/>
        </w:rPr>
        <w:t>Polityka zagraniczna pierwszego rządu Partii Pracy w Wielkiej Brytanii w 1924 r</w:t>
      </w:r>
      <w:r w:rsidRPr="003C0842">
        <w:rPr>
          <w:sz w:val="24"/>
          <w:szCs w:val="24"/>
        </w:rPr>
        <w:t>., Łódź 1981</w:t>
      </w:r>
    </w:p>
    <w:p w:rsidR="00912375" w:rsidRPr="00387453" w:rsidRDefault="00912375" w:rsidP="007106A1">
      <w:pPr>
        <w:pStyle w:val="Tekstprzypisudolnego"/>
        <w:spacing w:line="360" w:lineRule="auto"/>
        <w:ind w:left="709" w:hanging="709"/>
        <w:contextualSpacing/>
        <w:rPr>
          <w:sz w:val="24"/>
          <w:szCs w:val="24"/>
          <w:lang w:val="en-US"/>
        </w:rPr>
      </w:pPr>
      <w:r w:rsidRPr="003C0842">
        <w:rPr>
          <w:sz w:val="24"/>
          <w:szCs w:val="24"/>
          <w:lang w:val="en-US"/>
        </w:rPr>
        <w:t xml:space="preserve">Harris J.H., </w:t>
      </w:r>
      <w:r w:rsidRPr="003C0842">
        <w:rPr>
          <w:i/>
          <w:sz w:val="24"/>
          <w:szCs w:val="24"/>
          <w:lang w:val="en-US"/>
        </w:rPr>
        <w:t>Slavery or “Secret Trust”?</w:t>
      </w:r>
      <w:r w:rsidR="00BC5068" w:rsidRPr="00387453">
        <w:rPr>
          <w:sz w:val="24"/>
          <w:szCs w:val="24"/>
          <w:lang w:val="en-US"/>
        </w:rPr>
        <w:t>London 1926 (reprint 1969)</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Hass L.,</w:t>
      </w:r>
      <w:r w:rsidR="00555529" w:rsidRPr="003C0842">
        <w:rPr>
          <w:rStyle w:val="Uwydatnienie"/>
          <w:sz w:val="24"/>
          <w:szCs w:val="24"/>
        </w:rPr>
        <w:t>Ambicje</w:t>
      </w:r>
      <w:r w:rsidR="00BC5068">
        <w:rPr>
          <w:rStyle w:val="Uwydatnienie"/>
          <w:sz w:val="24"/>
          <w:szCs w:val="24"/>
        </w:rPr>
        <w:t>,</w:t>
      </w:r>
      <w:r w:rsidR="00555529" w:rsidRPr="003C0842">
        <w:rPr>
          <w:rStyle w:val="Uwydatnienie"/>
          <w:sz w:val="24"/>
          <w:szCs w:val="24"/>
        </w:rPr>
        <w:t xml:space="preserve"> rachuby</w:t>
      </w:r>
      <w:r w:rsidR="00BC5068">
        <w:rPr>
          <w:rStyle w:val="Uwydatnienie"/>
          <w:sz w:val="24"/>
          <w:szCs w:val="24"/>
        </w:rPr>
        <w:t>,</w:t>
      </w:r>
      <w:r w:rsidR="00555529" w:rsidRPr="00BC5068">
        <w:rPr>
          <w:rStyle w:val="st"/>
          <w:i/>
          <w:sz w:val="24"/>
          <w:szCs w:val="24"/>
        </w:rPr>
        <w:t>rzeczywistość. Wolnomularstwo w Europie Środkowo-Wschodni</w:t>
      </w:r>
      <w:r w:rsidR="00BC5068" w:rsidRPr="00BC5068">
        <w:rPr>
          <w:rStyle w:val="st"/>
          <w:i/>
          <w:sz w:val="24"/>
          <w:szCs w:val="24"/>
        </w:rPr>
        <w:t>ej 1905-1928</w:t>
      </w:r>
      <w:r w:rsidR="00BC5068">
        <w:rPr>
          <w:rStyle w:val="st"/>
          <w:sz w:val="24"/>
          <w:szCs w:val="24"/>
        </w:rPr>
        <w:t>,</w:t>
      </w:r>
      <w:r w:rsidR="00555529" w:rsidRPr="003C0842">
        <w:rPr>
          <w:rStyle w:val="st"/>
          <w:sz w:val="24"/>
          <w:szCs w:val="24"/>
        </w:rPr>
        <w:t xml:space="preserve"> Warszawa 1984</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Hass L. </w:t>
      </w:r>
      <w:r w:rsidRPr="003C0842">
        <w:rPr>
          <w:i/>
          <w:sz w:val="24"/>
          <w:szCs w:val="24"/>
        </w:rPr>
        <w:t xml:space="preserve">Wolnomularski Paryż w </w:t>
      </w:r>
      <w:r w:rsidR="00035BC3" w:rsidRPr="003C0842">
        <w:rPr>
          <w:i/>
          <w:sz w:val="24"/>
          <w:szCs w:val="24"/>
        </w:rPr>
        <w:t xml:space="preserve">końcowym </w:t>
      </w:r>
      <w:r w:rsidRPr="003C0842">
        <w:rPr>
          <w:i/>
          <w:sz w:val="24"/>
          <w:szCs w:val="24"/>
        </w:rPr>
        <w:t>okresie I wojny światowej</w:t>
      </w:r>
      <w:r w:rsidRPr="003C0842">
        <w:rPr>
          <w:sz w:val="24"/>
          <w:szCs w:val="24"/>
        </w:rPr>
        <w:t xml:space="preserve">, </w:t>
      </w:r>
      <w:r w:rsidR="004D2F75" w:rsidRPr="003C0842">
        <w:rPr>
          <w:sz w:val="24"/>
          <w:szCs w:val="24"/>
        </w:rPr>
        <w:t>[w:]</w:t>
      </w:r>
      <w:r w:rsidRPr="00BC5068">
        <w:rPr>
          <w:i/>
          <w:sz w:val="24"/>
          <w:szCs w:val="24"/>
        </w:rPr>
        <w:t>Polska</w:t>
      </w:r>
      <w:r w:rsidR="00164234" w:rsidRPr="00BC5068">
        <w:rPr>
          <w:i/>
          <w:sz w:val="24"/>
          <w:szCs w:val="24"/>
        </w:rPr>
        <w:t xml:space="preserve"> – </w:t>
      </w:r>
      <w:r w:rsidRPr="00BC5068">
        <w:rPr>
          <w:i/>
          <w:sz w:val="24"/>
          <w:szCs w:val="24"/>
        </w:rPr>
        <w:t>Niemcy</w:t>
      </w:r>
      <w:r w:rsidR="00164234" w:rsidRPr="00BC5068">
        <w:rPr>
          <w:i/>
          <w:sz w:val="24"/>
          <w:szCs w:val="24"/>
        </w:rPr>
        <w:t xml:space="preserve"> – </w:t>
      </w:r>
      <w:r w:rsidRPr="00BC5068">
        <w:rPr>
          <w:i/>
          <w:sz w:val="24"/>
          <w:szCs w:val="24"/>
        </w:rPr>
        <w:t>Europa</w:t>
      </w:r>
      <w:r w:rsidR="00035BC3" w:rsidRPr="00BC5068">
        <w:rPr>
          <w:i/>
          <w:iCs/>
          <w:sz w:val="24"/>
          <w:szCs w:val="24"/>
        </w:rPr>
        <w:t>. Studia z dziejów myśli politycznej i stosunków międzynarodowych</w:t>
      </w:r>
      <w:r w:rsidR="00035BC3" w:rsidRPr="003C0842">
        <w:rPr>
          <w:iCs/>
          <w:sz w:val="24"/>
          <w:szCs w:val="24"/>
        </w:rPr>
        <w:t>, red A. Czubiński,</w:t>
      </w:r>
      <w:r w:rsidR="00035BC3" w:rsidRPr="003C0842">
        <w:rPr>
          <w:sz w:val="24"/>
          <w:szCs w:val="24"/>
        </w:rPr>
        <w:t xml:space="preserve"> Poznań 1977</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Hass L., </w:t>
      </w:r>
      <w:r w:rsidRPr="003C0842">
        <w:rPr>
          <w:i/>
          <w:sz w:val="24"/>
          <w:szCs w:val="24"/>
        </w:rPr>
        <w:t>Wolnomularstwo a faszyzm we Włoszech</w:t>
      </w:r>
      <w:r w:rsidRPr="003C0842">
        <w:rPr>
          <w:sz w:val="24"/>
          <w:szCs w:val="24"/>
        </w:rPr>
        <w:t>, Przegląd Historyczny</w:t>
      </w:r>
      <w:r w:rsidR="00BC5068">
        <w:rPr>
          <w:sz w:val="24"/>
          <w:szCs w:val="24"/>
        </w:rPr>
        <w:t xml:space="preserve"> 66(</w:t>
      </w:r>
      <w:r w:rsidRPr="003C0842">
        <w:rPr>
          <w:sz w:val="24"/>
          <w:szCs w:val="24"/>
        </w:rPr>
        <w:t>1975</w:t>
      </w:r>
      <w:r w:rsidR="00BC5068">
        <w:rPr>
          <w:sz w:val="24"/>
          <w:szCs w:val="24"/>
        </w:rPr>
        <w:t>)</w:t>
      </w:r>
      <w:r w:rsidRPr="003C0842">
        <w:rPr>
          <w:sz w:val="24"/>
          <w:szCs w:val="24"/>
        </w:rPr>
        <w:t>, z.1</w:t>
      </w:r>
    </w:p>
    <w:p w:rsidR="00912375" w:rsidRPr="003C0842" w:rsidRDefault="00912375" w:rsidP="007106A1">
      <w:pPr>
        <w:pStyle w:val="Tekstprzypisudolnego"/>
        <w:spacing w:line="360" w:lineRule="auto"/>
        <w:ind w:left="709" w:hanging="709"/>
        <w:contextualSpacing/>
        <w:rPr>
          <w:sz w:val="24"/>
          <w:szCs w:val="24"/>
          <w:lang w:val="de-DE"/>
        </w:rPr>
      </w:pPr>
      <w:r w:rsidRPr="003C0842">
        <w:rPr>
          <w:sz w:val="24"/>
          <w:szCs w:val="24"/>
          <w:lang w:val="de-DE"/>
        </w:rPr>
        <w:t xml:space="preserve">Holl K., </w:t>
      </w:r>
      <w:r w:rsidRPr="003C0842">
        <w:rPr>
          <w:i/>
          <w:sz w:val="24"/>
          <w:szCs w:val="24"/>
          <w:lang w:val="de-DE"/>
        </w:rPr>
        <w:t>Pazifismus in Deutschland</w:t>
      </w:r>
      <w:r w:rsidRPr="003C0842">
        <w:rPr>
          <w:sz w:val="24"/>
          <w:szCs w:val="24"/>
          <w:lang w:val="de-DE"/>
        </w:rPr>
        <w:t>, Frankfurt a</w:t>
      </w:r>
      <w:r w:rsidR="00CA0312" w:rsidRPr="003C0842">
        <w:rPr>
          <w:sz w:val="24"/>
          <w:szCs w:val="24"/>
          <w:lang w:val="de-DE"/>
        </w:rPr>
        <w:t>.</w:t>
      </w:r>
      <w:r w:rsidRPr="003C0842">
        <w:rPr>
          <w:sz w:val="24"/>
          <w:szCs w:val="24"/>
          <w:lang w:val="de-DE"/>
        </w:rPr>
        <w:t xml:space="preserve"> M. 1988</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Holzer J., </w:t>
      </w:r>
      <w:r w:rsidRPr="003C0842">
        <w:rPr>
          <w:i/>
          <w:sz w:val="24"/>
          <w:szCs w:val="24"/>
        </w:rPr>
        <w:t>Kompleks Rapallo</w:t>
      </w:r>
      <w:r w:rsidRPr="003C0842">
        <w:rPr>
          <w:sz w:val="24"/>
          <w:szCs w:val="24"/>
        </w:rPr>
        <w:t>, Warszawa 1999</w:t>
      </w:r>
    </w:p>
    <w:p w:rsidR="00912375" w:rsidRPr="003C0842" w:rsidRDefault="00912375" w:rsidP="007106A1">
      <w:pPr>
        <w:pStyle w:val="Tekstprzypisudolnego"/>
        <w:spacing w:line="360" w:lineRule="auto"/>
        <w:ind w:left="709" w:hanging="709"/>
        <w:contextualSpacing/>
        <w:rPr>
          <w:sz w:val="24"/>
          <w:szCs w:val="24"/>
          <w:lang w:val="en-US"/>
        </w:rPr>
      </w:pPr>
      <w:r w:rsidRPr="003C0842">
        <w:rPr>
          <w:sz w:val="24"/>
          <w:szCs w:val="24"/>
          <w:lang w:val="en-US"/>
        </w:rPr>
        <w:t xml:space="preserve">Housden M., </w:t>
      </w:r>
      <w:r w:rsidRPr="003C0842">
        <w:rPr>
          <w:i/>
          <w:sz w:val="24"/>
          <w:szCs w:val="24"/>
          <w:lang w:val="en-US"/>
        </w:rPr>
        <w:t>When the Baltic Sea was a „Bridge” for Humanitarian Action. The League of Nations, the Red Cross and the Repatriation of Prisoners of War between Russia and Central Europe, 1920</w:t>
      </w:r>
      <w:r w:rsidR="005A5F3B">
        <w:rPr>
          <w:i/>
          <w:sz w:val="24"/>
          <w:szCs w:val="24"/>
          <w:lang w:val="en-US"/>
        </w:rPr>
        <w:t>-</w:t>
      </w:r>
      <w:r w:rsidRPr="003C0842">
        <w:rPr>
          <w:i/>
          <w:sz w:val="24"/>
          <w:szCs w:val="24"/>
          <w:lang w:val="en-US"/>
        </w:rPr>
        <w:t>22,</w:t>
      </w:r>
      <w:r w:rsidRPr="003C0842">
        <w:rPr>
          <w:sz w:val="24"/>
          <w:szCs w:val="24"/>
          <w:lang w:val="en-US"/>
        </w:rPr>
        <w:t xml:space="preserve"> Journal of Baltic Studies 38 (2007)</w:t>
      </w:r>
    </w:p>
    <w:p w:rsidR="00912375" w:rsidRPr="00387453" w:rsidRDefault="00912375" w:rsidP="007106A1">
      <w:pPr>
        <w:pStyle w:val="Tekstprzypisudolnego"/>
        <w:spacing w:line="360" w:lineRule="auto"/>
        <w:ind w:left="709" w:hanging="709"/>
        <w:contextualSpacing/>
        <w:rPr>
          <w:sz w:val="24"/>
          <w:szCs w:val="24"/>
          <w:lang w:val="en-US"/>
        </w:rPr>
      </w:pPr>
      <w:r w:rsidRPr="00387453">
        <w:rPr>
          <w:sz w:val="24"/>
          <w:szCs w:val="24"/>
          <w:lang w:val="en-US"/>
        </w:rPr>
        <w:t>Iljuchina R.M.,</w:t>
      </w:r>
      <w:r w:rsidRPr="00387453">
        <w:rPr>
          <w:i/>
          <w:sz w:val="24"/>
          <w:szCs w:val="24"/>
          <w:lang w:val="en-US"/>
        </w:rPr>
        <w:t>Liga Nacij 1919</w:t>
      </w:r>
      <w:r w:rsidR="005A5F3B" w:rsidRPr="00387453">
        <w:rPr>
          <w:i/>
          <w:sz w:val="24"/>
          <w:szCs w:val="24"/>
          <w:lang w:val="en-US"/>
        </w:rPr>
        <w:t>-</w:t>
      </w:r>
      <w:r w:rsidRPr="00387453">
        <w:rPr>
          <w:i/>
          <w:sz w:val="24"/>
          <w:szCs w:val="24"/>
          <w:lang w:val="en-US"/>
        </w:rPr>
        <w:t>1934</w:t>
      </w:r>
      <w:r w:rsidRPr="00387453">
        <w:rPr>
          <w:sz w:val="24"/>
          <w:szCs w:val="24"/>
          <w:lang w:val="en-US"/>
        </w:rPr>
        <w:t>, Moskva 1982</w:t>
      </w:r>
    </w:p>
    <w:p w:rsidR="00912375" w:rsidRPr="003C0842" w:rsidRDefault="00912375" w:rsidP="007106A1">
      <w:pPr>
        <w:pStyle w:val="Tekstprzypisudolnego"/>
        <w:spacing w:line="360" w:lineRule="auto"/>
        <w:ind w:left="709" w:hanging="709"/>
        <w:contextualSpacing/>
        <w:rPr>
          <w:sz w:val="24"/>
          <w:szCs w:val="24"/>
          <w:lang w:val="en-GB"/>
        </w:rPr>
      </w:pPr>
      <w:r w:rsidRPr="003C0842">
        <w:rPr>
          <w:sz w:val="24"/>
          <w:szCs w:val="24"/>
          <w:lang w:val="fr-FR"/>
        </w:rPr>
        <w:t xml:space="preserve">Ingram N., </w:t>
      </w:r>
      <w:r w:rsidRPr="003C0842">
        <w:rPr>
          <w:i/>
          <w:sz w:val="24"/>
          <w:szCs w:val="24"/>
          <w:lang w:val="fr-FR"/>
        </w:rPr>
        <w:t>Les pacifistes et Aristide Briand</w:t>
      </w:r>
      <w:r w:rsidRPr="003C0842">
        <w:rPr>
          <w:sz w:val="24"/>
          <w:szCs w:val="24"/>
          <w:lang w:val="fr-FR"/>
        </w:rPr>
        <w:t xml:space="preserve">, </w:t>
      </w:r>
      <w:r w:rsidR="004D2F75" w:rsidRPr="003C0842">
        <w:rPr>
          <w:sz w:val="24"/>
          <w:szCs w:val="24"/>
          <w:lang w:val="fr-FR"/>
        </w:rPr>
        <w:t>[w:]</w:t>
      </w:r>
      <w:r w:rsidRPr="00BC5068">
        <w:rPr>
          <w:i/>
          <w:sz w:val="24"/>
          <w:szCs w:val="24"/>
          <w:lang w:val="fr-FR"/>
        </w:rPr>
        <w:t>Aristide Briand, la Société des Nations et l’Europe 1919-1932</w:t>
      </w:r>
      <w:r w:rsidRPr="003C0842">
        <w:rPr>
          <w:sz w:val="24"/>
          <w:szCs w:val="24"/>
          <w:lang w:val="fr-FR"/>
        </w:rPr>
        <w:t xml:space="preserve">, red. </w:t>
      </w:r>
      <w:r w:rsidRPr="003C0842">
        <w:rPr>
          <w:sz w:val="24"/>
          <w:szCs w:val="24"/>
          <w:lang w:val="en-US"/>
        </w:rPr>
        <w:t>J. Bariéty, Strasbourg 2007</w:t>
      </w:r>
    </w:p>
    <w:p w:rsidR="00912375" w:rsidRPr="003C0842" w:rsidRDefault="00912375" w:rsidP="007106A1">
      <w:pPr>
        <w:pStyle w:val="Tekstprzypisudolnego"/>
        <w:spacing w:line="360" w:lineRule="auto"/>
        <w:ind w:left="709" w:hanging="709"/>
        <w:contextualSpacing/>
        <w:rPr>
          <w:sz w:val="24"/>
          <w:szCs w:val="24"/>
          <w:lang w:val="en-US"/>
        </w:rPr>
      </w:pPr>
      <w:r w:rsidRPr="003C0842">
        <w:rPr>
          <w:i/>
          <w:sz w:val="24"/>
          <w:szCs w:val="24"/>
          <w:lang w:val="en-US"/>
        </w:rPr>
        <w:t>International Hea</w:t>
      </w:r>
      <w:r w:rsidR="000F3F88" w:rsidRPr="003C0842">
        <w:rPr>
          <w:i/>
          <w:sz w:val="24"/>
          <w:szCs w:val="24"/>
          <w:lang w:val="en-US"/>
        </w:rPr>
        <w:t>l</w:t>
      </w:r>
      <w:r w:rsidRPr="003C0842">
        <w:rPr>
          <w:i/>
          <w:sz w:val="24"/>
          <w:szCs w:val="24"/>
          <w:lang w:val="en-US"/>
        </w:rPr>
        <w:t>th Organisations and Movements 1918</w:t>
      </w:r>
      <w:r w:rsidR="00BC5068">
        <w:rPr>
          <w:i/>
          <w:sz w:val="24"/>
          <w:szCs w:val="24"/>
          <w:lang w:val="en-US"/>
        </w:rPr>
        <w:t>-</w:t>
      </w:r>
      <w:r w:rsidRPr="003C0842">
        <w:rPr>
          <w:i/>
          <w:sz w:val="24"/>
          <w:szCs w:val="24"/>
          <w:lang w:val="en-US"/>
        </w:rPr>
        <w:t>1939</w:t>
      </w:r>
      <w:r w:rsidRPr="00BC5068">
        <w:rPr>
          <w:sz w:val="24"/>
          <w:szCs w:val="24"/>
          <w:lang w:val="en-US"/>
        </w:rPr>
        <w:t xml:space="preserve">, </w:t>
      </w:r>
      <w:r w:rsidRPr="003C0842">
        <w:rPr>
          <w:sz w:val="24"/>
          <w:szCs w:val="24"/>
          <w:lang w:val="en-US"/>
        </w:rPr>
        <w:t>red. P. Weindling, Oxford 1995</w:t>
      </w:r>
    </w:p>
    <w:p w:rsidR="00912375" w:rsidRPr="003C0842" w:rsidRDefault="00912375" w:rsidP="007106A1">
      <w:pPr>
        <w:pStyle w:val="Tekstprzypisudolnego"/>
        <w:spacing w:line="360" w:lineRule="auto"/>
        <w:ind w:left="709" w:hanging="709"/>
        <w:contextualSpacing/>
        <w:rPr>
          <w:sz w:val="24"/>
          <w:szCs w:val="24"/>
          <w:lang w:val="en-US"/>
        </w:rPr>
      </w:pPr>
      <w:r w:rsidRPr="003C0842">
        <w:rPr>
          <w:sz w:val="24"/>
          <w:szCs w:val="24"/>
          <w:lang w:val="en-US"/>
        </w:rPr>
        <w:t xml:space="preserve">Jacobson J., </w:t>
      </w:r>
      <w:r w:rsidRPr="003C0842">
        <w:rPr>
          <w:i/>
          <w:sz w:val="24"/>
          <w:szCs w:val="24"/>
          <w:lang w:val="en-US"/>
        </w:rPr>
        <w:t>Locarno Diplomacy. Germany and the West 1925</w:t>
      </w:r>
      <w:r w:rsidR="005A5F3B">
        <w:rPr>
          <w:i/>
          <w:sz w:val="24"/>
          <w:szCs w:val="24"/>
          <w:lang w:val="en-US"/>
        </w:rPr>
        <w:t>-</w:t>
      </w:r>
      <w:r w:rsidRPr="003C0842">
        <w:rPr>
          <w:i/>
          <w:sz w:val="24"/>
          <w:szCs w:val="24"/>
          <w:lang w:val="en-US"/>
        </w:rPr>
        <w:t>1929</w:t>
      </w:r>
      <w:r w:rsidRPr="003C0842">
        <w:rPr>
          <w:sz w:val="24"/>
          <w:szCs w:val="24"/>
          <w:lang w:val="en-US"/>
        </w:rPr>
        <w:t>, Princeton 1972, 1978</w:t>
      </w:r>
    </w:p>
    <w:p w:rsidR="00912375" w:rsidRPr="003C0842" w:rsidRDefault="00912375" w:rsidP="007106A1">
      <w:pPr>
        <w:pStyle w:val="Tekstprzypisudolnego"/>
        <w:spacing w:line="360" w:lineRule="auto"/>
        <w:ind w:left="709" w:hanging="709"/>
        <w:contextualSpacing/>
        <w:rPr>
          <w:sz w:val="24"/>
          <w:szCs w:val="24"/>
          <w:lang w:val="en-US"/>
        </w:rPr>
      </w:pPr>
      <w:r w:rsidRPr="003C0842">
        <w:rPr>
          <w:sz w:val="24"/>
          <w:szCs w:val="24"/>
          <w:lang w:val="en-US"/>
        </w:rPr>
        <w:t xml:space="preserve">Johnson G., </w:t>
      </w:r>
      <w:r w:rsidRPr="003C0842">
        <w:rPr>
          <w:i/>
          <w:sz w:val="24"/>
          <w:szCs w:val="24"/>
          <w:lang w:val="en-US"/>
        </w:rPr>
        <w:t>Lord Curzon and the Appointment of lord D’Abernon as ambassador to Berlin in 1920</w:t>
      </w:r>
      <w:r w:rsidRPr="003C0842">
        <w:rPr>
          <w:sz w:val="24"/>
          <w:szCs w:val="24"/>
          <w:lang w:val="en-US"/>
        </w:rPr>
        <w:t xml:space="preserve">, Journal of Contemporary History </w:t>
      </w:r>
      <w:r w:rsidR="00BC5068">
        <w:rPr>
          <w:sz w:val="24"/>
          <w:szCs w:val="24"/>
          <w:lang w:val="en-US"/>
        </w:rPr>
        <w:t>39(</w:t>
      </w:r>
      <w:r w:rsidRPr="003C0842">
        <w:rPr>
          <w:sz w:val="24"/>
          <w:szCs w:val="24"/>
          <w:lang w:val="en-US"/>
        </w:rPr>
        <w:t>2004</w:t>
      </w:r>
      <w:r w:rsidR="00BC5068">
        <w:rPr>
          <w:sz w:val="24"/>
          <w:szCs w:val="24"/>
          <w:lang w:val="en-US"/>
        </w:rPr>
        <w:t>)</w:t>
      </w:r>
    </w:p>
    <w:p w:rsidR="00912375" w:rsidRPr="003C0842" w:rsidRDefault="00912375" w:rsidP="007106A1">
      <w:pPr>
        <w:pStyle w:val="Tekstprzypisudolnego"/>
        <w:spacing w:line="360" w:lineRule="auto"/>
        <w:ind w:left="709" w:hanging="709"/>
        <w:contextualSpacing/>
        <w:rPr>
          <w:i/>
          <w:sz w:val="24"/>
          <w:szCs w:val="24"/>
          <w:lang w:val="en-US"/>
        </w:rPr>
      </w:pPr>
      <w:r w:rsidRPr="003C0842">
        <w:rPr>
          <w:sz w:val="24"/>
          <w:szCs w:val="24"/>
          <w:lang w:val="en-US"/>
        </w:rPr>
        <w:t xml:space="preserve">Juhasz G., </w:t>
      </w:r>
      <w:r w:rsidRPr="003C0842">
        <w:rPr>
          <w:i/>
          <w:sz w:val="24"/>
          <w:szCs w:val="24"/>
          <w:lang w:val="en-US"/>
        </w:rPr>
        <w:t>Hungarian Foreign Policy</w:t>
      </w:r>
      <w:r w:rsidRPr="00BC5068">
        <w:rPr>
          <w:sz w:val="24"/>
          <w:szCs w:val="24"/>
          <w:lang w:val="en-US"/>
        </w:rPr>
        <w:t>,</w:t>
      </w:r>
      <w:r w:rsidRPr="003C0842">
        <w:rPr>
          <w:sz w:val="24"/>
          <w:szCs w:val="24"/>
          <w:lang w:val="en-US"/>
        </w:rPr>
        <w:t xml:space="preserve"> Budapest 1979</w:t>
      </w:r>
    </w:p>
    <w:p w:rsidR="00912375" w:rsidRPr="003C0842" w:rsidRDefault="00912375" w:rsidP="007106A1">
      <w:pPr>
        <w:pStyle w:val="Tekstprzypisudolnego"/>
        <w:spacing w:line="360" w:lineRule="auto"/>
        <w:ind w:left="709" w:hanging="709"/>
        <w:contextualSpacing/>
        <w:rPr>
          <w:sz w:val="24"/>
          <w:szCs w:val="24"/>
          <w:lang w:val="en-US"/>
        </w:rPr>
      </w:pPr>
      <w:r w:rsidRPr="003C0842">
        <w:rPr>
          <w:sz w:val="24"/>
          <w:szCs w:val="24"/>
          <w:lang w:val="en-US"/>
        </w:rPr>
        <w:t xml:space="preserve">Kaeckenbeeck G., </w:t>
      </w:r>
      <w:r w:rsidRPr="003C0842">
        <w:rPr>
          <w:i/>
          <w:sz w:val="24"/>
          <w:szCs w:val="24"/>
          <w:lang w:val="en-US"/>
        </w:rPr>
        <w:t>The International Experiment of Upper Silesia</w:t>
      </w:r>
      <w:r w:rsidRPr="003C0842">
        <w:rPr>
          <w:sz w:val="24"/>
          <w:szCs w:val="24"/>
          <w:lang w:val="en-US"/>
        </w:rPr>
        <w:t>, London 1942</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Kamiński M.K., </w:t>
      </w:r>
      <w:r w:rsidRPr="003C0842">
        <w:rPr>
          <w:i/>
          <w:sz w:val="24"/>
          <w:szCs w:val="24"/>
        </w:rPr>
        <w:t>Konflikt polsko-czeski 1918</w:t>
      </w:r>
      <w:r w:rsidR="005A5F3B">
        <w:rPr>
          <w:i/>
          <w:sz w:val="24"/>
          <w:szCs w:val="24"/>
        </w:rPr>
        <w:t>-</w:t>
      </w:r>
      <w:r w:rsidRPr="003C0842">
        <w:rPr>
          <w:i/>
          <w:sz w:val="24"/>
          <w:szCs w:val="24"/>
        </w:rPr>
        <w:t>1921</w:t>
      </w:r>
      <w:r w:rsidRPr="003C0842">
        <w:rPr>
          <w:sz w:val="24"/>
          <w:szCs w:val="24"/>
        </w:rPr>
        <w:t>, Warszawa 2003</w:t>
      </w:r>
    </w:p>
    <w:p w:rsidR="00912375" w:rsidRPr="003C0842" w:rsidRDefault="00912375" w:rsidP="007106A1">
      <w:pPr>
        <w:pStyle w:val="Tekstprzypisudolnego"/>
        <w:spacing w:line="360" w:lineRule="auto"/>
        <w:ind w:left="709" w:hanging="709"/>
        <w:contextualSpacing/>
        <w:rPr>
          <w:sz w:val="24"/>
          <w:szCs w:val="24"/>
          <w:lang w:val="en-US"/>
        </w:rPr>
      </w:pPr>
      <w:r w:rsidRPr="003C0842">
        <w:rPr>
          <w:sz w:val="24"/>
          <w:szCs w:val="24"/>
          <w:lang w:val="en-US"/>
        </w:rPr>
        <w:t xml:space="preserve">Kennedy D., </w:t>
      </w:r>
      <w:r w:rsidRPr="003C0842">
        <w:rPr>
          <w:i/>
          <w:sz w:val="24"/>
          <w:szCs w:val="24"/>
          <w:lang w:val="en-US"/>
        </w:rPr>
        <w:t>The Move to Institutions</w:t>
      </w:r>
      <w:r w:rsidRPr="003C0842">
        <w:rPr>
          <w:sz w:val="24"/>
          <w:szCs w:val="24"/>
          <w:lang w:val="en-US"/>
        </w:rPr>
        <w:t>, Cardozo Law Review8</w:t>
      </w:r>
      <w:r w:rsidR="00BC5068">
        <w:rPr>
          <w:sz w:val="24"/>
          <w:szCs w:val="24"/>
          <w:lang w:val="en-US"/>
        </w:rPr>
        <w:t xml:space="preserve"> (1987)</w:t>
      </w:r>
      <w:r w:rsidRPr="003C0842">
        <w:rPr>
          <w:sz w:val="24"/>
          <w:szCs w:val="24"/>
          <w:lang w:val="en-US"/>
        </w:rPr>
        <w:t>, n</w:t>
      </w:r>
      <w:r w:rsidR="00BC5068">
        <w:rPr>
          <w:sz w:val="24"/>
          <w:szCs w:val="24"/>
          <w:lang w:val="en-US"/>
        </w:rPr>
        <w:t>r</w:t>
      </w:r>
      <w:r w:rsidRPr="003C0842">
        <w:rPr>
          <w:sz w:val="24"/>
          <w:szCs w:val="24"/>
          <w:lang w:val="en-US"/>
        </w:rPr>
        <w:t xml:space="preserve"> 5</w:t>
      </w:r>
    </w:p>
    <w:p w:rsidR="00912375" w:rsidRPr="003C0842" w:rsidRDefault="00912375" w:rsidP="007106A1">
      <w:pPr>
        <w:pStyle w:val="Tekstprzypisudolnego"/>
        <w:spacing w:line="360" w:lineRule="auto"/>
        <w:ind w:left="709" w:hanging="709"/>
        <w:contextualSpacing/>
        <w:rPr>
          <w:sz w:val="24"/>
          <w:szCs w:val="24"/>
          <w:lang w:val="en-US"/>
        </w:rPr>
      </w:pPr>
      <w:r w:rsidRPr="003C0842">
        <w:rPr>
          <w:sz w:val="24"/>
          <w:szCs w:val="24"/>
          <w:lang w:val="en-US"/>
        </w:rPr>
        <w:t xml:space="preserve">Kimmich Ch., </w:t>
      </w:r>
      <w:r w:rsidRPr="003C0842">
        <w:rPr>
          <w:i/>
          <w:sz w:val="24"/>
          <w:szCs w:val="24"/>
          <w:lang w:val="en-US"/>
        </w:rPr>
        <w:t>Germany and the League of Nations</w:t>
      </w:r>
      <w:r w:rsidRPr="00BC5068">
        <w:rPr>
          <w:sz w:val="24"/>
          <w:szCs w:val="24"/>
          <w:lang w:val="en-US"/>
        </w:rPr>
        <w:t xml:space="preserve">, </w:t>
      </w:r>
      <w:r w:rsidRPr="003C0842">
        <w:rPr>
          <w:sz w:val="24"/>
          <w:szCs w:val="24"/>
          <w:lang w:val="en-US"/>
        </w:rPr>
        <w:t>Chicago</w:t>
      </w:r>
      <w:r w:rsidR="00BC5068">
        <w:rPr>
          <w:sz w:val="24"/>
          <w:szCs w:val="24"/>
          <w:lang w:val="en-US"/>
        </w:rPr>
        <w:t>-</w:t>
      </w:r>
      <w:r w:rsidRPr="003C0842">
        <w:rPr>
          <w:sz w:val="24"/>
          <w:szCs w:val="24"/>
          <w:lang w:val="en-US"/>
        </w:rPr>
        <w:t>London 1976</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lastRenderedPageBreak/>
        <w:t xml:space="preserve">Kiwerska J., </w:t>
      </w:r>
      <w:r w:rsidRPr="003C0842">
        <w:rPr>
          <w:i/>
          <w:sz w:val="24"/>
          <w:szCs w:val="24"/>
        </w:rPr>
        <w:t>Między izolacjonizmem a zaangażowaniem. Europa w polityce Stanów Zjednoczonych od Wilsona do Roosevelta</w:t>
      </w:r>
      <w:r w:rsidRPr="003C0842">
        <w:rPr>
          <w:sz w:val="24"/>
          <w:szCs w:val="24"/>
        </w:rPr>
        <w:t>, Poznań 1995</w:t>
      </w:r>
    </w:p>
    <w:p w:rsidR="00912375" w:rsidRPr="003C0842" w:rsidRDefault="00912375" w:rsidP="007106A1">
      <w:pPr>
        <w:pStyle w:val="Tekstprzypisudolnego"/>
        <w:spacing w:line="360" w:lineRule="auto"/>
        <w:ind w:left="709" w:hanging="709"/>
        <w:contextualSpacing/>
        <w:rPr>
          <w:sz w:val="24"/>
          <w:szCs w:val="24"/>
          <w:lang w:val="de-DE"/>
        </w:rPr>
      </w:pPr>
      <w:r w:rsidRPr="003C0842">
        <w:rPr>
          <w:sz w:val="24"/>
          <w:szCs w:val="24"/>
        </w:rPr>
        <w:t>Kiwerska J.,</w:t>
      </w:r>
      <w:r w:rsidRPr="003C0842">
        <w:rPr>
          <w:i/>
          <w:sz w:val="24"/>
          <w:szCs w:val="24"/>
        </w:rPr>
        <w:t xml:space="preserve"> Niemcy w polityce Stanów Zjednoczonych 1919-1929</w:t>
      </w:r>
      <w:r w:rsidRPr="00BC5068">
        <w:rPr>
          <w:sz w:val="24"/>
          <w:szCs w:val="24"/>
        </w:rPr>
        <w:t xml:space="preserve">, </w:t>
      </w:r>
      <w:r w:rsidR="004D2F75" w:rsidRPr="003C0842">
        <w:rPr>
          <w:sz w:val="24"/>
          <w:szCs w:val="24"/>
        </w:rPr>
        <w:t>[w:]</w:t>
      </w:r>
      <w:r w:rsidRPr="00BC5068">
        <w:rPr>
          <w:i/>
          <w:sz w:val="24"/>
          <w:szCs w:val="24"/>
        </w:rPr>
        <w:t>Niemcy w polityce międzynarodowej1919</w:t>
      </w:r>
      <w:r w:rsidR="005A5F3B">
        <w:rPr>
          <w:i/>
          <w:sz w:val="24"/>
          <w:szCs w:val="24"/>
        </w:rPr>
        <w:t>-</w:t>
      </w:r>
      <w:r w:rsidRPr="00BC5068">
        <w:rPr>
          <w:i/>
          <w:sz w:val="24"/>
          <w:szCs w:val="24"/>
        </w:rPr>
        <w:t>1939</w:t>
      </w:r>
      <w:r w:rsidRPr="003C0842">
        <w:rPr>
          <w:sz w:val="24"/>
          <w:szCs w:val="24"/>
        </w:rPr>
        <w:t xml:space="preserve">, t. I: </w:t>
      </w:r>
      <w:r w:rsidRPr="00BC5068">
        <w:rPr>
          <w:i/>
          <w:sz w:val="24"/>
          <w:szCs w:val="24"/>
        </w:rPr>
        <w:t>Era Stresemanna</w:t>
      </w:r>
      <w:r w:rsidRPr="003C0842">
        <w:rPr>
          <w:sz w:val="24"/>
          <w:szCs w:val="24"/>
        </w:rPr>
        <w:t xml:space="preserve">, red. </w:t>
      </w:r>
      <w:r w:rsidRPr="003C0842">
        <w:rPr>
          <w:sz w:val="24"/>
          <w:szCs w:val="24"/>
          <w:lang w:val="de-DE"/>
        </w:rPr>
        <w:t>S. Sierpowski, Poznań 1990</w:t>
      </w:r>
    </w:p>
    <w:p w:rsidR="00912375" w:rsidRPr="003C0842" w:rsidRDefault="00912375" w:rsidP="007106A1">
      <w:pPr>
        <w:pStyle w:val="Tekstprzypisudolnego"/>
        <w:spacing w:line="360" w:lineRule="auto"/>
        <w:ind w:left="709" w:hanging="709"/>
        <w:contextualSpacing/>
        <w:rPr>
          <w:sz w:val="24"/>
          <w:szCs w:val="24"/>
          <w:lang w:val="de-DE"/>
        </w:rPr>
      </w:pPr>
      <w:r w:rsidRPr="003C0842">
        <w:rPr>
          <w:sz w:val="24"/>
          <w:szCs w:val="24"/>
          <w:lang w:val="de-DE"/>
        </w:rPr>
        <w:t xml:space="preserve">Knauss B., </w:t>
      </w:r>
      <w:r w:rsidRPr="003C0842">
        <w:rPr>
          <w:i/>
          <w:sz w:val="24"/>
          <w:szCs w:val="24"/>
          <w:lang w:val="de-DE"/>
        </w:rPr>
        <w:t>Politik ohne Waffen. Dargestellt an der Diplomatie Stresemann</w:t>
      </w:r>
      <w:r w:rsidRPr="003C0842">
        <w:rPr>
          <w:sz w:val="24"/>
          <w:szCs w:val="24"/>
          <w:lang w:val="de-DE"/>
        </w:rPr>
        <w:t>,Zeitschrift für Politik</w:t>
      </w:r>
      <w:r w:rsidR="00BC5068">
        <w:rPr>
          <w:sz w:val="24"/>
          <w:szCs w:val="24"/>
          <w:lang w:val="de-DE"/>
        </w:rPr>
        <w:t xml:space="preserve"> 10(</w:t>
      </w:r>
      <w:r w:rsidRPr="003C0842">
        <w:rPr>
          <w:sz w:val="24"/>
          <w:szCs w:val="24"/>
          <w:lang w:val="de-DE"/>
        </w:rPr>
        <w:t>1963</w:t>
      </w:r>
      <w:r w:rsidR="00BC5068">
        <w:rPr>
          <w:sz w:val="24"/>
          <w:szCs w:val="24"/>
          <w:lang w:val="de-DE"/>
        </w:rPr>
        <w:t>)</w:t>
      </w:r>
    </w:p>
    <w:p w:rsidR="00912375" w:rsidRPr="003C0842" w:rsidRDefault="00BC5068" w:rsidP="007106A1">
      <w:pPr>
        <w:pStyle w:val="Tekstprzypisudolnego"/>
        <w:spacing w:line="360" w:lineRule="auto"/>
        <w:ind w:left="709" w:hanging="709"/>
        <w:contextualSpacing/>
        <w:rPr>
          <w:sz w:val="24"/>
          <w:szCs w:val="24"/>
          <w:lang w:val="en-US"/>
        </w:rPr>
      </w:pPr>
      <w:r>
        <w:rPr>
          <w:sz w:val="24"/>
          <w:szCs w:val="24"/>
          <w:lang w:val="en-US"/>
        </w:rPr>
        <w:t>Knock T.</w:t>
      </w:r>
      <w:r w:rsidR="00912375" w:rsidRPr="003C0842">
        <w:rPr>
          <w:sz w:val="24"/>
          <w:szCs w:val="24"/>
          <w:lang w:val="en-US"/>
        </w:rPr>
        <w:t>J.,</w:t>
      </w:r>
      <w:r w:rsidR="00912375" w:rsidRPr="003C0842">
        <w:rPr>
          <w:i/>
          <w:sz w:val="24"/>
          <w:szCs w:val="24"/>
          <w:lang w:val="en-US"/>
        </w:rPr>
        <w:t>To end all wars: Woodrow Wilson and the quest for a new world order</w:t>
      </w:r>
      <w:r w:rsidR="00912375" w:rsidRPr="003C0842">
        <w:rPr>
          <w:sz w:val="24"/>
          <w:szCs w:val="24"/>
          <w:lang w:val="en-US"/>
        </w:rPr>
        <w:t>, Princeton University Press 1995</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Korczyk H., </w:t>
      </w:r>
      <w:r w:rsidRPr="003C0842">
        <w:rPr>
          <w:i/>
          <w:sz w:val="24"/>
          <w:szCs w:val="24"/>
        </w:rPr>
        <w:t>Działania i recepcja Locarna 1927</w:t>
      </w:r>
      <w:r w:rsidR="005A5F3B">
        <w:rPr>
          <w:i/>
          <w:sz w:val="24"/>
          <w:szCs w:val="24"/>
        </w:rPr>
        <w:t>-</w:t>
      </w:r>
      <w:r w:rsidRPr="003C0842">
        <w:rPr>
          <w:i/>
          <w:sz w:val="24"/>
          <w:szCs w:val="24"/>
        </w:rPr>
        <w:t>1936</w:t>
      </w:r>
      <w:r w:rsidRPr="003C0842">
        <w:rPr>
          <w:sz w:val="24"/>
          <w:szCs w:val="24"/>
        </w:rPr>
        <w:t>, Warszawa 1999</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Korczyk H., </w:t>
      </w:r>
      <w:r w:rsidRPr="003C0842">
        <w:rPr>
          <w:i/>
          <w:sz w:val="24"/>
          <w:szCs w:val="24"/>
        </w:rPr>
        <w:t>PrzyjęcieNiemiec i Polski do Rady Ligi Narodów w 1926 roku</w:t>
      </w:r>
      <w:r w:rsidRPr="003C0842">
        <w:rPr>
          <w:sz w:val="24"/>
          <w:szCs w:val="24"/>
        </w:rPr>
        <w:t>,Wrocław 1986</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Korczyk H., </w:t>
      </w:r>
      <w:r w:rsidRPr="003C0842">
        <w:rPr>
          <w:i/>
          <w:sz w:val="24"/>
          <w:szCs w:val="24"/>
        </w:rPr>
        <w:t>Rokowania w sprawie traktatu przymierza francusko-brytyjskiego w 1922 roku</w:t>
      </w:r>
      <w:r w:rsidRPr="00BC5068">
        <w:rPr>
          <w:sz w:val="24"/>
          <w:szCs w:val="24"/>
        </w:rPr>
        <w:t xml:space="preserve">, </w:t>
      </w:r>
      <w:r w:rsidRPr="003C0842">
        <w:rPr>
          <w:sz w:val="24"/>
          <w:szCs w:val="24"/>
        </w:rPr>
        <w:t>Warszawa 1980</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lang w:val="en-US"/>
        </w:rPr>
        <w:t xml:space="preserve">Koszel B., </w:t>
      </w:r>
      <w:r w:rsidRPr="003C0842">
        <w:rPr>
          <w:i/>
          <w:sz w:val="24"/>
          <w:szCs w:val="24"/>
          <w:lang w:val="en-US"/>
        </w:rPr>
        <w:t>Nationality Problems in Upper Silesia 1918</w:t>
      </w:r>
      <w:r w:rsidR="005A5F3B">
        <w:rPr>
          <w:i/>
          <w:sz w:val="24"/>
          <w:szCs w:val="24"/>
          <w:lang w:val="en-US"/>
        </w:rPr>
        <w:t>-</w:t>
      </w:r>
      <w:r w:rsidRPr="003C0842">
        <w:rPr>
          <w:i/>
          <w:sz w:val="24"/>
          <w:szCs w:val="24"/>
          <w:lang w:val="en-US"/>
        </w:rPr>
        <w:t>1922</w:t>
      </w:r>
      <w:r w:rsidRPr="003C0842">
        <w:rPr>
          <w:sz w:val="24"/>
          <w:szCs w:val="24"/>
          <w:lang w:val="en-US"/>
        </w:rPr>
        <w:t xml:space="preserve">, </w:t>
      </w:r>
      <w:r w:rsidR="004D2F75" w:rsidRPr="003C0842">
        <w:rPr>
          <w:sz w:val="24"/>
          <w:szCs w:val="24"/>
          <w:lang w:val="en-US"/>
        </w:rPr>
        <w:t>[w:]</w:t>
      </w:r>
      <w:r w:rsidRPr="00BC5068">
        <w:rPr>
          <w:i/>
          <w:sz w:val="24"/>
          <w:szCs w:val="24"/>
          <w:lang w:val="en-US"/>
        </w:rPr>
        <w:t>Ethnic Groups in International Relations</w:t>
      </w:r>
      <w:r w:rsidRPr="003C0842">
        <w:rPr>
          <w:sz w:val="24"/>
          <w:szCs w:val="24"/>
          <w:lang w:val="en-US"/>
        </w:rPr>
        <w:t xml:space="preserve">, red. </w:t>
      </w:r>
      <w:r w:rsidRPr="00241D7B">
        <w:rPr>
          <w:sz w:val="24"/>
          <w:szCs w:val="24"/>
        </w:rPr>
        <w:t>P</w:t>
      </w:r>
      <w:r w:rsidR="00BC5068" w:rsidRPr="00241D7B">
        <w:rPr>
          <w:sz w:val="24"/>
          <w:szCs w:val="24"/>
        </w:rPr>
        <w:t>.</w:t>
      </w:r>
      <w:r w:rsidRPr="00241D7B">
        <w:rPr>
          <w:sz w:val="24"/>
          <w:szCs w:val="24"/>
        </w:rPr>
        <w:t xml:space="preserve"> Smith, New York University Press Dartmouth. </w:t>
      </w:r>
      <w:r w:rsidRPr="003C0842">
        <w:rPr>
          <w:sz w:val="24"/>
          <w:szCs w:val="24"/>
        </w:rPr>
        <w:t>1991</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Koszel B., </w:t>
      </w:r>
      <w:r w:rsidRPr="003C0842">
        <w:rPr>
          <w:i/>
          <w:sz w:val="24"/>
          <w:szCs w:val="24"/>
        </w:rPr>
        <w:t>Niemcy w polityce Włoch w latach dwudziestych XX wieku</w:t>
      </w:r>
      <w:r w:rsidRPr="009520A0">
        <w:rPr>
          <w:sz w:val="24"/>
          <w:szCs w:val="24"/>
        </w:rPr>
        <w:t>,</w:t>
      </w:r>
      <w:r w:rsidR="004D2F75" w:rsidRPr="003C0842">
        <w:rPr>
          <w:sz w:val="24"/>
          <w:szCs w:val="24"/>
        </w:rPr>
        <w:t>[w:]</w:t>
      </w:r>
      <w:r w:rsidRPr="009520A0">
        <w:rPr>
          <w:i/>
          <w:sz w:val="24"/>
          <w:szCs w:val="24"/>
        </w:rPr>
        <w:t>Niemcy w polityce międzynarodowej</w:t>
      </w:r>
      <w:r w:rsidRPr="003C0842">
        <w:rPr>
          <w:sz w:val="24"/>
          <w:szCs w:val="24"/>
        </w:rPr>
        <w:t>, t. I</w:t>
      </w:r>
      <w:r w:rsidR="009520A0">
        <w:rPr>
          <w:sz w:val="24"/>
          <w:szCs w:val="24"/>
        </w:rPr>
        <w:t>:</w:t>
      </w:r>
      <w:r w:rsidRPr="003C0842">
        <w:rPr>
          <w:i/>
          <w:sz w:val="24"/>
          <w:szCs w:val="24"/>
        </w:rPr>
        <w:t>Era Stresemanna</w:t>
      </w:r>
      <w:r w:rsidRPr="003C0842">
        <w:rPr>
          <w:sz w:val="24"/>
          <w:szCs w:val="24"/>
        </w:rPr>
        <w:t>, red. S. Sierpowski, Poznań 1990</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Kotłowski T., </w:t>
      </w:r>
      <w:r w:rsidRPr="003C0842">
        <w:rPr>
          <w:i/>
          <w:sz w:val="24"/>
          <w:szCs w:val="24"/>
        </w:rPr>
        <w:t xml:space="preserve">Historia Republiki Weimarskiej </w:t>
      </w:r>
      <w:r w:rsidR="00F0463B" w:rsidRPr="003C0842">
        <w:rPr>
          <w:sz w:val="24"/>
          <w:szCs w:val="24"/>
        </w:rPr>
        <w:t>(</w:t>
      </w:r>
      <w:r w:rsidRPr="003C0842">
        <w:rPr>
          <w:i/>
          <w:sz w:val="24"/>
          <w:szCs w:val="24"/>
        </w:rPr>
        <w:t>1919-1933</w:t>
      </w:r>
      <w:r w:rsidR="00F0463B" w:rsidRPr="003C0842">
        <w:rPr>
          <w:sz w:val="24"/>
          <w:szCs w:val="24"/>
        </w:rPr>
        <w:t>)</w:t>
      </w:r>
      <w:r w:rsidRPr="003C0842">
        <w:rPr>
          <w:sz w:val="24"/>
          <w:szCs w:val="24"/>
        </w:rPr>
        <w:t>, Poznań 2004</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Kotłowski T., </w:t>
      </w:r>
      <w:r w:rsidRPr="003C0842">
        <w:rPr>
          <w:i/>
          <w:sz w:val="24"/>
          <w:szCs w:val="24"/>
        </w:rPr>
        <w:t>Kryzys 1923 roku w Niemczech</w:t>
      </w:r>
      <w:r w:rsidRPr="003C0842">
        <w:rPr>
          <w:sz w:val="24"/>
          <w:szCs w:val="24"/>
        </w:rPr>
        <w:t>, Poznań 1998.</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Kotłowski T., </w:t>
      </w:r>
      <w:r w:rsidRPr="003C0842">
        <w:rPr>
          <w:i/>
          <w:sz w:val="24"/>
          <w:szCs w:val="24"/>
        </w:rPr>
        <w:t>Wybory prezydenckie w Niemczech w 1925 roku</w:t>
      </w:r>
      <w:r w:rsidRPr="009520A0">
        <w:rPr>
          <w:sz w:val="24"/>
          <w:szCs w:val="24"/>
        </w:rPr>
        <w:t xml:space="preserve">, </w:t>
      </w:r>
      <w:r w:rsidRPr="003C0842">
        <w:rPr>
          <w:sz w:val="24"/>
          <w:szCs w:val="24"/>
        </w:rPr>
        <w:t>Studia Historica Slavo-Germanica</w:t>
      </w:r>
      <w:r w:rsidR="009520A0">
        <w:rPr>
          <w:sz w:val="24"/>
          <w:szCs w:val="24"/>
        </w:rPr>
        <w:t xml:space="preserve"> 16</w:t>
      </w:r>
      <w:r w:rsidRPr="003C0842">
        <w:rPr>
          <w:sz w:val="24"/>
          <w:szCs w:val="24"/>
        </w:rPr>
        <w:t xml:space="preserve"> (1991)</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Kozłowski P.R., </w:t>
      </w:r>
      <w:r w:rsidRPr="003C0842">
        <w:rPr>
          <w:i/>
          <w:sz w:val="24"/>
          <w:szCs w:val="24"/>
        </w:rPr>
        <w:t>Japonia i Liga Narodów</w:t>
      </w:r>
      <w:r w:rsidRPr="003C0842">
        <w:rPr>
          <w:sz w:val="24"/>
          <w:szCs w:val="24"/>
        </w:rPr>
        <w:t xml:space="preserve">, </w:t>
      </w:r>
      <w:r w:rsidR="004D2F75" w:rsidRPr="003C0842">
        <w:rPr>
          <w:sz w:val="24"/>
          <w:szCs w:val="24"/>
        </w:rPr>
        <w:t>[w:]</w:t>
      </w:r>
      <w:r w:rsidRPr="003C0842">
        <w:rPr>
          <w:sz w:val="24"/>
          <w:szCs w:val="24"/>
        </w:rPr>
        <w:t xml:space="preserve"> Liga Narodów wybranych, red. M. F. Gawrycki, A. Bógdał-Brzezińska, Warszawa 2010</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Krasuski J., </w:t>
      </w:r>
      <w:r w:rsidRPr="003C0842">
        <w:rPr>
          <w:i/>
          <w:sz w:val="24"/>
          <w:szCs w:val="24"/>
        </w:rPr>
        <w:t>Stosunki polsko-niemieckie w latach 1919-1932</w:t>
      </w:r>
      <w:r w:rsidRPr="003C0842">
        <w:rPr>
          <w:sz w:val="24"/>
          <w:szCs w:val="24"/>
        </w:rPr>
        <w:t>, Poznań 1975</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Kraszewski P., </w:t>
      </w:r>
      <w:r w:rsidRPr="003C0842">
        <w:rPr>
          <w:i/>
          <w:sz w:val="24"/>
          <w:szCs w:val="24"/>
        </w:rPr>
        <w:t>Polityka Wielkiej Brytanii wobec Niemiec w latach 1918</w:t>
      </w:r>
      <w:r w:rsidR="005A5F3B">
        <w:rPr>
          <w:i/>
          <w:sz w:val="24"/>
          <w:szCs w:val="24"/>
        </w:rPr>
        <w:t>-</w:t>
      </w:r>
      <w:r w:rsidRPr="003C0842">
        <w:rPr>
          <w:i/>
          <w:sz w:val="24"/>
          <w:szCs w:val="24"/>
        </w:rPr>
        <w:t>1925</w:t>
      </w:r>
      <w:r w:rsidRPr="003C0842">
        <w:rPr>
          <w:sz w:val="24"/>
          <w:szCs w:val="24"/>
        </w:rPr>
        <w:t>, Poznań 1982</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Leczyk M., </w:t>
      </w:r>
      <w:r w:rsidRPr="003C0842">
        <w:rPr>
          <w:i/>
          <w:sz w:val="24"/>
          <w:szCs w:val="24"/>
        </w:rPr>
        <w:t>Polska i sąsiedzi. Stosunki wojskowe 1921</w:t>
      </w:r>
      <w:r w:rsidR="005A5F3B">
        <w:rPr>
          <w:i/>
          <w:sz w:val="24"/>
          <w:szCs w:val="24"/>
        </w:rPr>
        <w:t>-</w:t>
      </w:r>
      <w:r w:rsidRPr="003C0842">
        <w:rPr>
          <w:i/>
          <w:sz w:val="24"/>
          <w:szCs w:val="24"/>
        </w:rPr>
        <w:t>1939</w:t>
      </w:r>
      <w:r w:rsidRPr="003C0842">
        <w:rPr>
          <w:sz w:val="24"/>
          <w:szCs w:val="24"/>
        </w:rPr>
        <w:t>, Białystok 1997</w:t>
      </w:r>
    </w:p>
    <w:p w:rsidR="00912375" w:rsidRPr="003C0842" w:rsidRDefault="00912375" w:rsidP="007106A1">
      <w:pPr>
        <w:pStyle w:val="Tekstprzypisudolnego"/>
        <w:spacing w:line="360" w:lineRule="auto"/>
        <w:ind w:left="709" w:hanging="709"/>
        <w:contextualSpacing/>
        <w:rPr>
          <w:sz w:val="24"/>
          <w:szCs w:val="24"/>
          <w:lang w:val="en-US"/>
        </w:rPr>
      </w:pPr>
      <w:r w:rsidRPr="003C0842">
        <w:rPr>
          <w:sz w:val="24"/>
          <w:szCs w:val="24"/>
        </w:rPr>
        <w:t xml:space="preserve">Lee M.M., </w:t>
      </w:r>
      <w:r w:rsidRPr="003C0842">
        <w:rPr>
          <w:i/>
          <w:sz w:val="24"/>
          <w:szCs w:val="24"/>
        </w:rPr>
        <w:t xml:space="preserve">Failure in Geneva. </w:t>
      </w:r>
      <w:r w:rsidRPr="003C0842">
        <w:rPr>
          <w:i/>
          <w:sz w:val="24"/>
          <w:szCs w:val="24"/>
          <w:lang w:val="en-US"/>
        </w:rPr>
        <w:t>The German Foreign Ministry and the League of Nations 1926</w:t>
      </w:r>
      <w:r w:rsidR="005A5F3B">
        <w:rPr>
          <w:i/>
          <w:sz w:val="24"/>
          <w:szCs w:val="24"/>
          <w:lang w:val="en-US"/>
        </w:rPr>
        <w:t>-</w:t>
      </w:r>
      <w:r w:rsidRPr="003C0842">
        <w:rPr>
          <w:i/>
          <w:sz w:val="24"/>
          <w:szCs w:val="24"/>
          <w:lang w:val="en-US"/>
        </w:rPr>
        <w:t>1933</w:t>
      </w:r>
      <w:r w:rsidRPr="003C0842">
        <w:rPr>
          <w:sz w:val="24"/>
          <w:szCs w:val="24"/>
          <w:lang w:val="en-US"/>
        </w:rPr>
        <w:t xml:space="preserve">, Ann Arbor </w:t>
      </w:r>
      <w:r w:rsidR="009520A0">
        <w:rPr>
          <w:sz w:val="24"/>
          <w:szCs w:val="24"/>
          <w:lang w:val="en-US"/>
        </w:rPr>
        <w:t>(</w:t>
      </w:r>
      <w:r w:rsidRPr="003C0842">
        <w:rPr>
          <w:sz w:val="24"/>
          <w:szCs w:val="24"/>
          <w:lang w:val="en-US"/>
        </w:rPr>
        <w:t>Mich</w:t>
      </w:r>
      <w:r w:rsidR="00DC65D6">
        <w:rPr>
          <w:sz w:val="24"/>
          <w:szCs w:val="24"/>
          <w:lang w:val="en-US"/>
        </w:rPr>
        <w:t>.</w:t>
      </w:r>
      <w:r w:rsidR="009520A0">
        <w:rPr>
          <w:sz w:val="24"/>
          <w:szCs w:val="24"/>
          <w:lang w:val="en-US"/>
        </w:rPr>
        <w:t>) 1974</w:t>
      </w:r>
    </w:p>
    <w:p w:rsidR="00912375" w:rsidRPr="003C0842" w:rsidRDefault="00912375" w:rsidP="007106A1">
      <w:pPr>
        <w:pStyle w:val="Tekstprzypisudolnego"/>
        <w:spacing w:line="360" w:lineRule="auto"/>
        <w:ind w:left="709" w:hanging="709"/>
        <w:contextualSpacing/>
        <w:rPr>
          <w:sz w:val="24"/>
          <w:szCs w:val="24"/>
          <w:lang w:val="en-US"/>
        </w:rPr>
      </w:pPr>
      <w:r w:rsidRPr="003C0842">
        <w:rPr>
          <w:sz w:val="24"/>
          <w:szCs w:val="24"/>
          <w:lang w:val="fr-FR"/>
        </w:rPr>
        <w:t xml:space="preserve">Lespinois J. de, </w:t>
      </w:r>
      <w:r w:rsidRPr="003C0842">
        <w:rPr>
          <w:i/>
          <w:sz w:val="24"/>
          <w:szCs w:val="24"/>
          <w:lang w:val="fr-FR"/>
        </w:rPr>
        <w:t>Sécurité et désarmement 1922</w:t>
      </w:r>
      <w:r w:rsidR="005A5F3B">
        <w:rPr>
          <w:i/>
          <w:sz w:val="24"/>
          <w:szCs w:val="24"/>
          <w:lang w:val="fr-FR"/>
        </w:rPr>
        <w:t>-</w:t>
      </w:r>
      <w:r w:rsidRPr="003C0842">
        <w:rPr>
          <w:i/>
          <w:sz w:val="24"/>
          <w:szCs w:val="24"/>
          <w:lang w:val="fr-FR"/>
        </w:rPr>
        <w:t>1924</w:t>
      </w:r>
      <w:r w:rsidRPr="003C0842">
        <w:rPr>
          <w:sz w:val="24"/>
          <w:szCs w:val="24"/>
          <w:lang w:val="fr-FR"/>
        </w:rPr>
        <w:t xml:space="preserve">, </w:t>
      </w:r>
      <w:r w:rsidR="004D2F75" w:rsidRPr="003C0842">
        <w:rPr>
          <w:sz w:val="24"/>
          <w:szCs w:val="24"/>
          <w:lang w:val="fr-FR"/>
        </w:rPr>
        <w:t>[w:]</w:t>
      </w:r>
      <w:r w:rsidR="009520A0">
        <w:rPr>
          <w:i/>
          <w:sz w:val="24"/>
          <w:szCs w:val="24"/>
          <w:lang w:val="fr-FR"/>
        </w:rPr>
        <w:t>Aristide Briand</w:t>
      </w:r>
      <w:r w:rsidR="00273B13">
        <w:rPr>
          <w:i/>
          <w:sz w:val="24"/>
          <w:szCs w:val="24"/>
          <w:lang w:val="fr-FR"/>
        </w:rPr>
        <w:t>,l</w:t>
      </w:r>
      <w:r w:rsidRPr="009520A0">
        <w:rPr>
          <w:i/>
          <w:sz w:val="24"/>
          <w:szCs w:val="24"/>
          <w:lang w:val="fr-FR"/>
        </w:rPr>
        <w:t>a Société des Nations et d’Europe1919-1932</w:t>
      </w:r>
      <w:r w:rsidRPr="003C0842">
        <w:rPr>
          <w:sz w:val="24"/>
          <w:szCs w:val="24"/>
          <w:lang w:val="fr-FR"/>
        </w:rPr>
        <w:t xml:space="preserve">, red. </w:t>
      </w:r>
      <w:r w:rsidRPr="003C0842">
        <w:rPr>
          <w:sz w:val="24"/>
          <w:szCs w:val="24"/>
          <w:lang w:val="en-US"/>
        </w:rPr>
        <w:t>J. Bariéty, Strasbourg 2007</w:t>
      </w:r>
    </w:p>
    <w:p w:rsidR="00912375" w:rsidRPr="003C0842" w:rsidRDefault="00912375" w:rsidP="007106A1">
      <w:pPr>
        <w:pStyle w:val="Tekstprzypisudolnego"/>
        <w:spacing w:line="360" w:lineRule="auto"/>
        <w:ind w:left="709" w:hanging="709"/>
        <w:contextualSpacing/>
        <w:rPr>
          <w:sz w:val="24"/>
          <w:szCs w:val="24"/>
          <w:lang w:val="en-US"/>
        </w:rPr>
      </w:pPr>
      <w:r w:rsidRPr="003C0842">
        <w:rPr>
          <w:sz w:val="24"/>
          <w:szCs w:val="24"/>
          <w:lang w:val="en-US"/>
        </w:rPr>
        <w:t xml:space="preserve">Levin N.G. (jr), </w:t>
      </w:r>
      <w:r w:rsidRPr="003C0842">
        <w:rPr>
          <w:i/>
          <w:sz w:val="24"/>
          <w:szCs w:val="24"/>
          <w:lang w:val="en-US"/>
        </w:rPr>
        <w:t>Woodrow Wilson and World Politics</w:t>
      </w:r>
      <w:r w:rsidR="00925C83" w:rsidRPr="003C0842">
        <w:rPr>
          <w:i/>
          <w:sz w:val="24"/>
          <w:szCs w:val="24"/>
          <w:lang w:val="en-US"/>
        </w:rPr>
        <w:t>:</w:t>
      </w:r>
      <w:r w:rsidRPr="003C0842">
        <w:rPr>
          <w:i/>
          <w:sz w:val="24"/>
          <w:szCs w:val="24"/>
          <w:lang w:val="en-US"/>
        </w:rPr>
        <w:t xml:space="preserve"> America’s Response to War and Revolution</w:t>
      </w:r>
      <w:r w:rsidRPr="003C0842">
        <w:rPr>
          <w:sz w:val="24"/>
          <w:szCs w:val="24"/>
          <w:lang w:val="en-US"/>
        </w:rPr>
        <w:t>, New York 1968</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Lietz Z., </w:t>
      </w:r>
      <w:r w:rsidRPr="003C0842">
        <w:rPr>
          <w:i/>
          <w:sz w:val="24"/>
          <w:szCs w:val="24"/>
        </w:rPr>
        <w:t>Plebiscyty europejskie po I wojnie światowej</w:t>
      </w:r>
      <w:r w:rsidRPr="003C0842">
        <w:rPr>
          <w:sz w:val="24"/>
          <w:szCs w:val="24"/>
        </w:rPr>
        <w:t>, Rocznik Olsztyński</w:t>
      </w:r>
      <w:r w:rsidR="009520A0">
        <w:rPr>
          <w:sz w:val="24"/>
          <w:szCs w:val="24"/>
        </w:rPr>
        <w:t xml:space="preserve"> 10(</w:t>
      </w:r>
      <w:r w:rsidR="00013D28" w:rsidRPr="003C0842">
        <w:rPr>
          <w:sz w:val="24"/>
          <w:szCs w:val="24"/>
        </w:rPr>
        <w:t>1972</w:t>
      </w:r>
      <w:r w:rsidR="009520A0">
        <w:rPr>
          <w:sz w:val="24"/>
          <w:szCs w:val="24"/>
        </w:rPr>
        <w:t>)</w:t>
      </w:r>
    </w:p>
    <w:p w:rsidR="00912375" w:rsidRPr="003C0842" w:rsidRDefault="00912375" w:rsidP="007106A1">
      <w:pPr>
        <w:pStyle w:val="Tekstprzypisudolnego"/>
        <w:spacing w:line="360" w:lineRule="auto"/>
        <w:ind w:left="709" w:hanging="709"/>
        <w:contextualSpacing/>
        <w:rPr>
          <w:sz w:val="24"/>
          <w:szCs w:val="24"/>
        </w:rPr>
      </w:pPr>
      <w:r w:rsidRPr="003C0842">
        <w:rPr>
          <w:i/>
          <w:sz w:val="24"/>
          <w:szCs w:val="24"/>
        </w:rPr>
        <w:t>Locarno z perspektywy siedemdziesięciu lat</w:t>
      </w:r>
      <w:r w:rsidRPr="003C0842">
        <w:rPr>
          <w:sz w:val="24"/>
          <w:szCs w:val="24"/>
        </w:rPr>
        <w:t>, red. M. Baumgart, Szczecin 1998</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Łuczak C., </w:t>
      </w:r>
      <w:r w:rsidRPr="003C0842">
        <w:rPr>
          <w:i/>
          <w:sz w:val="24"/>
          <w:szCs w:val="24"/>
        </w:rPr>
        <w:t>Dzieje gospodarcze Niemiec 1871</w:t>
      </w:r>
      <w:r w:rsidR="005A5F3B">
        <w:rPr>
          <w:i/>
          <w:sz w:val="24"/>
          <w:szCs w:val="24"/>
        </w:rPr>
        <w:t>-</w:t>
      </w:r>
      <w:r w:rsidRPr="003C0842">
        <w:rPr>
          <w:i/>
          <w:sz w:val="24"/>
          <w:szCs w:val="24"/>
        </w:rPr>
        <w:t>1945</w:t>
      </w:r>
      <w:r w:rsidRPr="009520A0">
        <w:rPr>
          <w:sz w:val="24"/>
          <w:szCs w:val="24"/>
        </w:rPr>
        <w:t>,</w:t>
      </w:r>
      <w:r w:rsidRPr="003C0842">
        <w:rPr>
          <w:sz w:val="24"/>
          <w:szCs w:val="24"/>
        </w:rPr>
        <w:t xml:space="preserve"> Poznań 1984</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lastRenderedPageBreak/>
        <w:t xml:space="preserve">Madajczyk P., </w:t>
      </w:r>
      <w:r w:rsidRPr="003C0842">
        <w:rPr>
          <w:i/>
          <w:sz w:val="24"/>
          <w:szCs w:val="24"/>
        </w:rPr>
        <w:t xml:space="preserve">Polityka i koncepcjepolityczne Gustawa Stresemanna wobec Polski </w:t>
      </w:r>
      <w:r w:rsidR="00F0463B" w:rsidRPr="003C0842">
        <w:rPr>
          <w:sz w:val="24"/>
          <w:szCs w:val="24"/>
        </w:rPr>
        <w:t>(</w:t>
      </w:r>
      <w:r w:rsidRPr="003C0842">
        <w:rPr>
          <w:i/>
          <w:sz w:val="24"/>
          <w:szCs w:val="24"/>
        </w:rPr>
        <w:t>1915-1929</w:t>
      </w:r>
      <w:r w:rsidR="00F0463B" w:rsidRPr="003C0842">
        <w:rPr>
          <w:sz w:val="24"/>
          <w:szCs w:val="24"/>
        </w:rPr>
        <w:t>)</w:t>
      </w:r>
      <w:r w:rsidRPr="009520A0">
        <w:rPr>
          <w:sz w:val="24"/>
          <w:szCs w:val="24"/>
        </w:rPr>
        <w:t>,</w:t>
      </w:r>
      <w:r w:rsidRPr="003C0842">
        <w:rPr>
          <w:sz w:val="24"/>
          <w:szCs w:val="24"/>
        </w:rPr>
        <w:t xml:space="preserve"> Warszawa 1991</w:t>
      </w:r>
    </w:p>
    <w:p w:rsidR="00912375" w:rsidRPr="003C0842" w:rsidRDefault="00912375" w:rsidP="007106A1">
      <w:pPr>
        <w:pStyle w:val="Tekstprzypisudolnego"/>
        <w:spacing w:line="360" w:lineRule="auto"/>
        <w:ind w:left="709" w:hanging="709"/>
        <w:contextualSpacing/>
        <w:rPr>
          <w:sz w:val="24"/>
          <w:szCs w:val="24"/>
          <w:lang w:val="en-US"/>
        </w:rPr>
      </w:pPr>
      <w:r w:rsidRPr="003C0842">
        <w:rPr>
          <w:sz w:val="24"/>
          <w:szCs w:val="24"/>
          <w:lang w:val="en-US"/>
        </w:rPr>
        <w:t xml:space="preserve">Meienberger N., </w:t>
      </w:r>
      <w:r w:rsidRPr="003C0842">
        <w:rPr>
          <w:i/>
          <w:sz w:val="24"/>
          <w:szCs w:val="24"/>
          <w:lang w:val="en-US"/>
        </w:rPr>
        <w:t>China and the League of Nation</w:t>
      </w:r>
      <w:r w:rsidRPr="003C0842">
        <w:rPr>
          <w:sz w:val="24"/>
          <w:szCs w:val="24"/>
          <w:lang w:val="en-US"/>
        </w:rPr>
        <w:t xml:space="preserve">, </w:t>
      </w:r>
      <w:r w:rsidR="004D2F75" w:rsidRPr="003C0842">
        <w:rPr>
          <w:sz w:val="24"/>
          <w:szCs w:val="24"/>
          <w:lang w:val="en-US"/>
        </w:rPr>
        <w:t>[w:]</w:t>
      </w:r>
      <w:r w:rsidRPr="003C0842">
        <w:rPr>
          <w:i/>
          <w:sz w:val="24"/>
          <w:szCs w:val="24"/>
          <w:lang w:val="en-US"/>
        </w:rPr>
        <w:t xml:space="preserve"> The League of Nation in Retrospect</w:t>
      </w:r>
      <w:r w:rsidRPr="003C0842">
        <w:rPr>
          <w:sz w:val="24"/>
          <w:szCs w:val="24"/>
          <w:lang w:val="en-US"/>
        </w:rPr>
        <w:t>, Berlin</w:t>
      </w:r>
      <w:r w:rsidR="009520A0">
        <w:rPr>
          <w:sz w:val="24"/>
          <w:szCs w:val="24"/>
          <w:lang w:val="en-US"/>
        </w:rPr>
        <w:t>-</w:t>
      </w:r>
      <w:r w:rsidRPr="003C0842">
        <w:rPr>
          <w:sz w:val="24"/>
          <w:szCs w:val="24"/>
          <w:lang w:val="en-US"/>
        </w:rPr>
        <w:t>New York 1983</w:t>
      </w:r>
    </w:p>
    <w:p w:rsidR="00645210" w:rsidRPr="003C0842" w:rsidRDefault="00645210" w:rsidP="007106A1">
      <w:pPr>
        <w:pStyle w:val="Tekstprzypisudolnego"/>
        <w:spacing w:line="360" w:lineRule="auto"/>
        <w:ind w:left="709" w:hanging="709"/>
        <w:contextualSpacing/>
        <w:rPr>
          <w:sz w:val="24"/>
          <w:szCs w:val="24"/>
          <w:lang w:val="fr-FR"/>
        </w:rPr>
      </w:pPr>
      <w:r w:rsidRPr="003C0842">
        <w:rPr>
          <w:sz w:val="24"/>
          <w:szCs w:val="24"/>
        </w:rPr>
        <w:t xml:space="preserve">E. Makowski, </w:t>
      </w:r>
      <w:r w:rsidRPr="003C0842">
        <w:rPr>
          <w:i/>
          <w:sz w:val="24"/>
          <w:szCs w:val="24"/>
        </w:rPr>
        <w:t xml:space="preserve">Tajne zabiegi Niemiec o utrzymanie kolonistów w zachodniej Polsce </w:t>
      </w:r>
      <w:r w:rsidRPr="003C0842">
        <w:rPr>
          <w:sz w:val="24"/>
          <w:szCs w:val="24"/>
        </w:rPr>
        <w:t>(</w:t>
      </w:r>
      <w:r w:rsidRPr="003C0842">
        <w:rPr>
          <w:i/>
          <w:sz w:val="24"/>
          <w:szCs w:val="24"/>
        </w:rPr>
        <w:t>1919-1929</w:t>
      </w:r>
      <w:r w:rsidR="004D2F75" w:rsidRPr="003C0842">
        <w:rPr>
          <w:sz w:val="24"/>
          <w:szCs w:val="24"/>
        </w:rPr>
        <w:t>), [w:]</w:t>
      </w:r>
      <w:r w:rsidRPr="009520A0">
        <w:rPr>
          <w:i/>
          <w:sz w:val="24"/>
          <w:szCs w:val="24"/>
        </w:rPr>
        <w:t xml:space="preserve">Polacy i Niemcy. </w:t>
      </w:r>
      <w:r w:rsidRPr="009520A0">
        <w:rPr>
          <w:i/>
          <w:sz w:val="24"/>
          <w:szCs w:val="24"/>
          <w:lang w:val="fr-FR"/>
        </w:rPr>
        <w:t>Dziesięć wieków sąsiedztwa</w:t>
      </w:r>
      <w:r w:rsidRPr="003C0842">
        <w:rPr>
          <w:sz w:val="24"/>
          <w:szCs w:val="24"/>
          <w:lang w:val="fr-FR"/>
        </w:rPr>
        <w:t>, red. A. Czubiński, Warszawa 1987</w:t>
      </w:r>
    </w:p>
    <w:p w:rsidR="00912375" w:rsidRPr="003C0842" w:rsidRDefault="00912375" w:rsidP="007106A1">
      <w:pPr>
        <w:pStyle w:val="Tekstprzypisudolnego"/>
        <w:spacing w:line="360" w:lineRule="auto"/>
        <w:ind w:left="709" w:hanging="709"/>
        <w:contextualSpacing/>
        <w:rPr>
          <w:sz w:val="24"/>
          <w:szCs w:val="24"/>
          <w:lang w:val="fr-FR"/>
        </w:rPr>
      </w:pPr>
      <w:r w:rsidRPr="003C0842">
        <w:rPr>
          <w:sz w:val="24"/>
          <w:szCs w:val="24"/>
          <w:lang w:val="fr-FR"/>
        </w:rPr>
        <w:t xml:space="preserve">Manigand Ch., </w:t>
      </w:r>
      <w:r w:rsidRPr="003C0842">
        <w:rPr>
          <w:i/>
          <w:sz w:val="24"/>
          <w:szCs w:val="24"/>
          <w:lang w:val="fr-FR"/>
        </w:rPr>
        <w:t>Les Français au service de la Société des Nations</w:t>
      </w:r>
      <w:r w:rsidRPr="003C0842">
        <w:rPr>
          <w:sz w:val="24"/>
          <w:szCs w:val="24"/>
          <w:lang w:val="fr-FR"/>
        </w:rPr>
        <w:t>, Bern 2003</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Marczewski J., </w:t>
      </w:r>
      <w:r w:rsidRPr="003C0842">
        <w:rPr>
          <w:i/>
          <w:sz w:val="24"/>
          <w:szCs w:val="24"/>
        </w:rPr>
        <w:t>Niektóre aspekty dyskusji nad zagadnieniem celów wojennych Niemiec okresu I wojny światowej w historiografii zachodnioniemieckiej 1945</w:t>
      </w:r>
      <w:r w:rsidR="005A5F3B">
        <w:rPr>
          <w:i/>
          <w:sz w:val="24"/>
          <w:szCs w:val="24"/>
        </w:rPr>
        <w:t>-</w:t>
      </w:r>
      <w:r w:rsidRPr="003C0842">
        <w:rPr>
          <w:i/>
          <w:sz w:val="24"/>
          <w:szCs w:val="24"/>
        </w:rPr>
        <w:t>1965</w:t>
      </w:r>
      <w:r w:rsidRPr="003C0842">
        <w:rPr>
          <w:sz w:val="24"/>
          <w:szCs w:val="24"/>
        </w:rPr>
        <w:t>, S</w:t>
      </w:r>
      <w:r w:rsidR="009520A0">
        <w:rPr>
          <w:sz w:val="24"/>
          <w:szCs w:val="24"/>
        </w:rPr>
        <w:t>tudia Historica Slavo-Germanica 7</w:t>
      </w:r>
      <w:r w:rsidRPr="003C0842">
        <w:rPr>
          <w:sz w:val="24"/>
          <w:szCs w:val="24"/>
        </w:rPr>
        <w:t xml:space="preserve"> (1978)</w:t>
      </w:r>
    </w:p>
    <w:p w:rsidR="00912375" w:rsidRPr="003C0842" w:rsidRDefault="00912375" w:rsidP="007106A1">
      <w:pPr>
        <w:pStyle w:val="Tekstprzypisudolnego"/>
        <w:spacing w:line="360" w:lineRule="auto"/>
        <w:ind w:left="709" w:hanging="709"/>
        <w:contextualSpacing/>
        <w:rPr>
          <w:sz w:val="24"/>
          <w:szCs w:val="24"/>
          <w:lang w:val="fr-FR"/>
        </w:rPr>
      </w:pPr>
      <w:r w:rsidRPr="003C0842">
        <w:rPr>
          <w:sz w:val="24"/>
          <w:szCs w:val="24"/>
          <w:lang w:val="fr-FR"/>
        </w:rPr>
        <w:t xml:space="preserve">Martin W., </w:t>
      </w:r>
      <w:r w:rsidRPr="003C0842">
        <w:rPr>
          <w:i/>
          <w:sz w:val="24"/>
          <w:szCs w:val="24"/>
          <w:lang w:val="fr-FR"/>
        </w:rPr>
        <w:t>Un grand journaliste à Genève. Publié sous la direction de Pablo Azcarate</w:t>
      </w:r>
      <w:r w:rsidRPr="009520A0">
        <w:rPr>
          <w:sz w:val="24"/>
          <w:szCs w:val="24"/>
          <w:lang w:val="fr-FR"/>
        </w:rPr>
        <w:t xml:space="preserve">, </w:t>
      </w:r>
      <w:r w:rsidRPr="003C0842">
        <w:rPr>
          <w:sz w:val="24"/>
          <w:szCs w:val="24"/>
          <w:lang w:val="fr-FR"/>
        </w:rPr>
        <w:t>Genève 1970</w:t>
      </w:r>
    </w:p>
    <w:p w:rsidR="00912375" w:rsidRPr="003C0842" w:rsidRDefault="00912375" w:rsidP="007106A1">
      <w:pPr>
        <w:pStyle w:val="Tekstprzypisudolnego"/>
        <w:spacing w:line="360" w:lineRule="auto"/>
        <w:ind w:left="709" w:hanging="709"/>
        <w:contextualSpacing/>
        <w:rPr>
          <w:sz w:val="24"/>
          <w:szCs w:val="24"/>
          <w:lang w:val="en-US"/>
        </w:rPr>
      </w:pPr>
      <w:r w:rsidRPr="003C0842">
        <w:rPr>
          <w:sz w:val="24"/>
          <w:szCs w:val="24"/>
          <w:lang w:val="en-US"/>
        </w:rPr>
        <w:t xml:space="preserve">Martin T., </w:t>
      </w:r>
      <w:r w:rsidRPr="003C0842">
        <w:rPr>
          <w:i/>
          <w:sz w:val="24"/>
          <w:szCs w:val="24"/>
          <w:lang w:val="en-US"/>
        </w:rPr>
        <w:t>Marcus Garvey</w:t>
      </w:r>
      <w:r w:rsidR="009520A0">
        <w:rPr>
          <w:i/>
          <w:sz w:val="24"/>
          <w:szCs w:val="24"/>
          <w:lang w:val="en-US"/>
        </w:rPr>
        <w:t>,</w:t>
      </w:r>
      <w:r w:rsidRPr="003C0842">
        <w:rPr>
          <w:i/>
          <w:sz w:val="24"/>
          <w:szCs w:val="24"/>
          <w:lang w:val="en-US"/>
        </w:rPr>
        <w:t xml:space="preserve"> Hero. A first Biography</w:t>
      </w:r>
      <w:r w:rsidRPr="009520A0">
        <w:rPr>
          <w:sz w:val="24"/>
          <w:szCs w:val="24"/>
          <w:lang w:val="en-US"/>
        </w:rPr>
        <w:t xml:space="preserve">, </w:t>
      </w:r>
      <w:r w:rsidRPr="003C0842">
        <w:rPr>
          <w:sz w:val="24"/>
          <w:szCs w:val="24"/>
          <w:lang w:val="en-US"/>
        </w:rPr>
        <w:t xml:space="preserve">Dover </w:t>
      </w:r>
      <w:r w:rsidR="009520A0">
        <w:rPr>
          <w:sz w:val="24"/>
          <w:szCs w:val="24"/>
          <w:lang w:val="en-US"/>
        </w:rPr>
        <w:t>(</w:t>
      </w:r>
      <w:r w:rsidRPr="003C0842">
        <w:rPr>
          <w:sz w:val="24"/>
          <w:szCs w:val="24"/>
          <w:lang w:val="en-US"/>
        </w:rPr>
        <w:t>Mass</w:t>
      </w:r>
      <w:r w:rsidR="009520A0">
        <w:rPr>
          <w:sz w:val="24"/>
          <w:szCs w:val="24"/>
          <w:lang w:val="en-US"/>
        </w:rPr>
        <w:t>.)</w:t>
      </w:r>
      <w:r w:rsidRPr="003C0842">
        <w:rPr>
          <w:sz w:val="24"/>
          <w:szCs w:val="24"/>
          <w:lang w:val="en-US"/>
        </w:rPr>
        <w:t xml:space="preserve"> 1983</w:t>
      </w:r>
    </w:p>
    <w:p w:rsidR="00912375" w:rsidRPr="003C0842" w:rsidRDefault="00912375" w:rsidP="007106A1">
      <w:pPr>
        <w:pStyle w:val="Tekstprzypisudolnego"/>
        <w:spacing w:line="360" w:lineRule="auto"/>
        <w:ind w:left="709" w:hanging="709"/>
        <w:contextualSpacing/>
        <w:rPr>
          <w:sz w:val="24"/>
          <w:szCs w:val="24"/>
          <w:lang w:val="en-US"/>
        </w:rPr>
      </w:pPr>
      <w:r w:rsidRPr="003C0842">
        <w:rPr>
          <w:sz w:val="24"/>
          <w:szCs w:val="24"/>
          <w:lang w:val="en-US"/>
        </w:rPr>
        <w:t xml:space="preserve">Meltzer M.S., </w:t>
      </w:r>
      <w:r w:rsidRPr="003C0842">
        <w:rPr>
          <w:i/>
          <w:sz w:val="24"/>
          <w:szCs w:val="24"/>
          <w:lang w:val="en-US"/>
        </w:rPr>
        <w:t>A History of the Federal Reserve: 1913</w:t>
      </w:r>
      <w:r w:rsidR="009520A0">
        <w:rPr>
          <w:i/>
          <w:sz w:val="24"/>
          <w:szCs w:val="24"/>
          <w:lang w:val="en-US"/>
        </w:rPr>
        <w:t>-</w:t>
      </w:r>
      <w:r w:rsidRPr="003C0842">
        <w:rPr>
          <w:i/>
          <w:sz w:val="24"/>
          <w:szCs w:val="24"/>
          <w:lang w:val="en-US"/>
        </w:rPr>
        <w:t>1951</w:t>
      </w:r>
      <w:r w:rsidRPr="003C0842">
        <w:rPr>
          <w:sz w:val="24"/>
          <w:szCs w:val="24"/>
          <w:lang w:val="en-US"/>
        </w:rPr>
        <w:t>, Chicago 2003</w:t>
      </w:r>
    </w:p>
    <w:p w:rsidR="00912375" w:rsidRPr="003C0842" w:rsidRDefault="00912375" w:rsidP="007106A1">
      <w:pPr>
        <w:pStyle w:val="Tekstprzypisudolnego"/>
        <w:spacing w:line="360" w:lineRule="auto"/>
        <w:ind w:left="709" w:hanging="709"/>
        <w:contextualSpacing/>
        <w:rPr>
          <w:sz w:val="24"/>
          <w:szCs w:val="24"/>
          <w:lang w:val="de-DE"/>
        </w:rPr>
      </w:pPr>
      <w:r w:rsidRPr="003C0842">
        <w:rPr>
          <w:sz w:val="24"/>
          <w:szCs w:val="24"/>
          <w:lang w:val="de-DE"/>
        </w:rPr>
        <w:t xml:space="preserve">Michaelsen R., </w:t>
      </w:r>
      <w:r w:rsidRPr="003C0842">
        <w:rPr>
          <w:i/>
          <w:sz w:val="24"/>
          <w:szCs w:val="24"/>
          <w:lang w:val="de-DE"/>
        </w:rPr>
        <w:t>Der Europäische Nationalitäten Kongress 1925</w:t>
      </w:r>
      <w:r w:rsidR="009520A0">
        <w:rPr>
          <w:i/>
          <w:sz w:val="24"/>
          <w:szCs w:val="24"/>
          <w:lang w:val="de-DE"/>
        </w:rPr>
        <w:t>-</w:t>
      </w:r>
      <w:r w:rsidRPr="003C0842">
        <w:rPr>
          <w:i/>
          <w:sz w:val="24"/>
          <w:szCs w:val="24"/>
          <w:lang w:val="de-DE"/>
        </w:rPr>
        <w:t>1928</w:t>
      </w:r>
      <w:r w:rsidRPr="003C0842">
        <w:rPr>
          <w:sz w:val="24"/>
          <w:szCs w:val="24"/>
          <w:lang w:val="de-DE"/>
        </w:rPr>
        <w:t xml:space="preserve">, Frankfurt </w:t>
      </w:r>
      <w:r w:rsidR="009520A0">
        <w:rPr>
          <w:sz w:val="24"/>
          <w:szCs w:val="24"/>
          <w:lang w:val="de-DE"/>
        </w:rPr>
        <w:t xml:space="preserve">a.M. </w:t>
      </w:r>
      <w:r w:rsidRPr="003C0842">
        <w:rPr>
          <w:sz w:val="24"/>
          <w:szCs w:val="24"/>
          <w:lang w:val="de-DE"/>
        </w:rPr>
        <w:t>1984</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Michałek K., </w:t>
      </w:r>
      <w:r w:rsidRPr="003C0842">
        <w:rPr>
          <w:i/>
          <w:sz w:val="24"/>
          <w:szCs w:val="24"/>
        </w:rPr>
        <w:t>Ustanowienie ery prohibicyjnej w Stanach Zjednoczonych. Sukces ale czyj?</w:t>
      </w:r>
      <w:r w:rsidR="004D2F75" w:rsidRPr="003C0842">
        <w:rPr>
          <w:sz w:val="24"/>
          <w:szCs w:val="24"/>
        </w:rPr>
        <w:t>[w:]</w:t>
      </w:r>
      <w:r w:rsidRPr="003C0842">
        <w:rPr>
          <w:i/>
          <w:sz w:val="24"/>
          <w:szCs w:val="24"/>
        </w:rPr>
        <w:t>Między wielką polityką a narodowym partykularyzmem</w:t>
      </w:r>
      <w:r w:rsidRPr="003C0842">
        <w:rPr>
          <w:sz w:val="24"/>
          <w:szCs w:val="24"/>
        </w:rPr>
        <w:t xml:space="preserve">, red. J. Kiwerska, A. Koszel, Poznań 1992 </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Michalowie D. i J.,</w:t>
      </w:r>
      <w:r w:rsidRPr="003C0842">
        <w:rPr>
          <w:i/>
          <w:sz w:val="24"/>
          <w:szCs w:val="24"/>
        </w:rPr>
        <w:t>Hemingway reporter</w:t>
      </w:r>
      <w:r w:rsidRPr="003C0842">
        <w:rPr>
          <w:sz w:val="24"/>
          <w:szCs w:val="24"/>
        </w:rPr>
        <w:t>,Katowice 1986</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Michowicz W., </w:t>
      </w:r>
      <w:r w:rsidRPr="003C0842">
        <w:rPr>
          <w:i/>
          <w:sz w:val="24"/>
          <w:szCs w:val="24"/>
        </w:rPr>
        <w:t>Rola planów i programów rozbrojeniowych w polityce Niemiec</w:t>
      </w:r>
      <w:r w:rsidRPr="003C0842">
        <w:rPr>
          <w:sz w:val="24"/>
          <w:szCs w:val="24"/>
        </w:rPr>
        <w:t xml:space="preserve">, </w:t>
      </w:r>
      <w:r w:rsidR="004D2F75" w:rsidRPr="003C0842">
        <w:rPr>
          <w:sz w:val="24"/>
          <w:szCs w:val="24"/>
        </w:rPr>
        <w:t>[w:]</w:t>
      </w:r>
      <w:r w:rsidRPr="00B61FF8">
        <w:rPr>
          <w:i/>
          <w:sz w:val="24"/>
          <w:szCs w:val="24"/>
        </w:rPr>
        <w:t>Niemcy w polityce międzynarodowej 1919</w:t>
      </w:r>
      <w:r w:rsidR="00B61FF8" w:rsidRPr="00B61FF8">
        <w:rPr>
          <w:i/>
          <w:sz w:val="24"/>
          <w:szCs w:val="24"/>
        </w:rPr>
        <w:t>-</w:t>
      </w:r>
      <w:r w:rsidRPr="00B61FF8">
        <w:rPr>
          <w:i/>
          <w:sz w:val="24"/>
          <w:szCs w:val="24"/>
        </w:rPr>
        <w:t>1939</w:t>
      </w:r>
      <w:r w:rsidRPr="003C0842">
        <w:rPr>
          <w:sz w:val="24"/>
          <w:szCs w:val="24"/>
        </w:rPr>
        <w:t xml:space="preserve">, </w:t>
      </w:r>
      <w:r w:rsidR="00B61FF8">
        <w:rPr>
          <w:sz w:val="24"/>
          <w:szCs w:val="24"/>
        </w:rPr>
        <w:t xml:space="preserve">red. S. Sierpowski, </w:t>
      </w:r>
      <w:r w:rsidRPr="003C0842">
        <w:rPr>
          <w:sz w:val="24"/>
          <w:szCs w:val="24"/>
        </w:rPr>
        <w:t>Poznań 1990</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Mikietyński P., </w:t>
      </w:r>
      <w:r w:rsidRPr="003C0842">
        <w:rPr>
          <w:i/>
          <w:sz w:val="24"/>
          <w:szCs w:val="24"/>
        </w:rPr>
        <w:t xml:space="preserve">Niemiecka droga ku Mitteleuropie. Polityka II Rzeszy wobec Królestwa Polskiego </w:t>
      </w:r>
      <w:r w:rsidR="00F0463B" w:rsidRPr="003C0842">
        <w:rPr>
          <w:sz w:val="24"/>
          <w:szCs w:val="24"/>
        </w:rPr>
        <w:t>(</w:t>
      </w:r>
      <w:r w:rsidRPr="003C0842">
        <w:rPr>
          <w:i/>
          <w:sz w:val="24"/>
          <w:szCs w:val="24"/>
        </w:rPr>
        <w:t>1914</w:t>
      </w:r>
      <w:r w:rsidR="00B61FF8">
        <w:rPr>
          <w:i/>
          <w:sz w:val="24"/>
          <w:szCs w:val="24"/>
        </w:rPr>
        <w:t>-</w:t>
      </w:r>
      <w:r w:rsidRPr="003C0842">
        <w:rPr>
          <w:i/>
          <w:sz w:val="24"/>
          <w:szCs w:val="24"/>
        </w:rPr>
        <w:t>1916</w:t>
      </w:r>
      <w:r w:rsidR="00F0463B" w:rsidRPr="003C0842">
        <w:rPr>
          <w:sz w:val="24"/>
          <w:szCs w:val="24"/>
        </w:rPr>
        <w:t>)</w:t>
      </w:r>
      <w:r w:rsidRPr="00B61FF8">
        <w:rPr>
          <w:sz w:val="24"/>
          <w:szCs w:val="24"/>
        </w:rPr>
        <w:t xml:space="preserve">, </w:t>
      </w:r>
      <w:r w:rsidRPr="003C0842">
        <w:rPr>
          <w:sz w:val="24"/>
          <w:szCs w:val="24"/>
        </w:rPr>
        <w:t>Kraków 2009</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Mikołajczyk M., </w:t>
      </w:r>
      <w:r w:rsidRPr="003C0842">
        <w:rPr>
          <w:i/>
          <w:sz w:val="24"/>
          <w:szCs w:val="24"/>
        </w:rPr>
        <w:t>Jean Monnet</w:t>
      </w:r>
      <w:r w:rsidR="00B61FF8">
        <w:rPr>
          <w:i/>
          <w:sz w:val="24"/>
          <w:szCs w:val="24"/>
        </w:rPr>
        <w:t>.I</w:t>
      </w:r>
      <w:r w:rsidRPr="003C0842">
        <w:rPr>
          <w:i/>
          <w:sz w:val="24"/>
          <w:szCs w:val="24"/>
        </w:rPr>
        <w:t>nspirator zjednoczonej Europy</w:t>
      </w:r>
      <w:r w:rsidRPr="003C0842">
        <w:rPr>
          <w:sz w:val="24"/>
          <w:szCs w:val="24"/>
        </w:rPr>
        <w:t>, Poznań 2007</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Mikos S., </w:t>
      </w:r>
      <w:r w:rsidRPr="003C0842">
        <w:rPr>
          <w:i/>
          <w:sz w:val="24"/>
          <w:szCs w:val="24"/>
        </w:rPr>
        <w:t>Wolne Miasto Gdańsk a Liga Narodów 1920</w:t>
      </w:r>
      <w:r w:rsidR="00B61FF8">
        <w:rPr>
          <w:i/>
          <w:sz w:val="24"/>
          <w:szCs w:val="24"/>
        </w:rPr>
        <w:t>-</w:t>
      </w:r>
      <w:r w:rsidRPr="003C0842">
        <w:rPr>
          <w:i/>
          <w:sz w:val="24"/>
          <w:szCs w:val="24"/>
        </w:rPr>
        <w:t>1939,</w:t>
      </w:r>
      <w:r w:rsidRPr="003C0842">
        <w:rPr>
          <w:sz w:val="24"/>
          <w:szCs w:val="24"/>
        </w:rPr>
        <w:t xml:space="preserve"> Gdańsk 1979</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Mikulicz S., </w:t>
      </w:r>
      <w:r w:rsidRPr="003C0842">
        <w:rPr>
          <w:i/>
          <w:sz w:val="24"/>
          <w:szCs w:val="24"/>
        </w:rPr>
        <w:t>Od Genui do Rapallo</w:t>
      </w:r>
      <w:r w:rsidRPr="003C0842">
        <w:rPr>
          <w:sz w:val="24"/>
          <w:szCs w:val="24"/>
        </w:rPr>
        <w:t>, Warszawa 1966</w:t>
      </w:r>
    </w:p>
    <w:p w:rsidR="00912375" w:rsidRPr="003C0842" w:rsidRDefault="00912375" w:rsidP="007106A1">
      <w:pPr>
        <w:pStyle w:val="Tekstprzypisudolnego"/>
        <w:spacing w:line="360" w:lineRule="auto"/>
        <w:ind w:left="709" w:hanging="709"/>
        <w:contextualSpacing/>
        <w:rPr>
          <w:sz w:val="24"/>
          <w:szCs w:val="24"/>
          <w:lang w:val="fr-FR"/>
        </w:rPr>
      </w:pPr>
      <w:r w:rsidRPr="003C0842">
        <w:rPr>
          <w:sz w:val="24"/>
          <w:szCs w:val="24"/>
          <w:lang w:val="fr-FR"/>
        </w:rPr>
        <w:t xml:space="preserve">Mouton R.M., </w:t>
      </w:r>
      <w:r w:rsidRPr="003C0842">
        <w:rPr>
          <w:i/>
          <w:sz w:val="24"/>
          <w:szCs w:val="24"/>
          <w:lang w:val="fr-FR"/>
        </w:rPr>
        <w:t xml:space="preserve">La Société des Nations et les intérêts de la France </w:t>
      </w:r>
      <w:r w:rsidR="00F0463B" w:rsidRPr="003C0842">
        <w:rPr>
          <w:sz w:val="24"/>
          <w:szCs w:val="24"/>
          <w:lang w:val="fr-FR"/>
        </w:rPr>
        <w:t>(</w:t>
      </w:r>
      <w:r w:rsidRPr="003C0842">
        <w:rPr>
          <w:i/>
          <w:sz w:val="24"/>
          <w:szCs w:val="24"/>
          <w:lang w:val="fr-FR"/>
        </w:rPr>
        <w:t>1920</w:t>
      </w:r>
      <w:r w:rsidR="005A5F3B">
        <w:rPr>
          <w:i/>
          <w:sz w:val="24"/>
          <w:szCs w:val="24"/>
          <w:lang w:val="fr-FR"/>
        </w:rPr>
        <w:t>-</w:t>
      </w:r>
      <w:r w:rsidRPr="003C0842">
        <w:rPr>
          <w:i/>
          <w:sz w:val="24"/>
          <w:szCs w:val="24"/>
          <w:lang w:val="fr-FR"/>
        </w:rPr>
        <w:t>1924</w:t>
      </w:r>
      <w:r w:rsidRPr="003C0842">
        <w:rPr>
          <w:sz w:val="24"/>
          <w:szCs w:val="24"/>
          <w:lang w:val="fr-FR"/>
        </w:rPr>
        <w:t>), Bern 1995</w:t>
      </w:r>
    </w:p>
    <w:p w:rsidR="00912375" w:rsidRPr="003C0842" w:rsidRDefault="00912375" w:rsidP="007106A1">
      <w:pPr>
        <w:pStyle w:val="Tekstprzypisudolnego"/>
        <w:spacing w:line="360" w:lineRule="auto"/>
        <w:ind w:left="709" w:hanging="709"/>
        <w:contextualSpacing/>
        <w:rPr>
          <w:sz w:val="24"/>
          <w:szCs w:val="24"/>
          <w:lang w:val="en-US"/>
        </w:rPr>
      </w:pPr>
      <w:r w:rsidRPr="003C0842">
        <w:rPr>
          <w:sz w:val="24"/>
          <w:szCs w:val="24"/>
          <w:lang w:val="en-US"/>
        </w:rPr>
        <w:t xml:space="preserve">Mulley C., </w:t>
      </w:r>
      <w:r w:rsidR="00925C83" w:rsidRPr="003C0842">
        <w:rPr>
          <w:i/>
          <w:sz w:val="24"/>
          <w:szCs w:val="24"/>
          <w:lang w:val="en-US"/>
        </w:rPr>
        <w:t>The Woman Who Sa</w:t>
      </w:r>
      <w:r w:rsidRPr="003C0842">
        <w:rPr>
          <w:i/>
          <w:sz w:val="24"/>
          <w:szCs w:val="24"/>
          <w:lang w:val="en-US"/>
        </w:rPr>
        <w:t>ved the Children. A Biography of Eglantyne Jebb</w:t>
      </w:r>
      <w:r w:rsidR="00B61FF8" w:rsidRPr="00B61FF8">
        <w:rPr>
          <w:sz w:val="24"/>
          <w:szCs w:val="24"/>
          <w:lang w:val="en-US"/>
        </w:rPr>
        <w:t>,</w:t>
      </w:r>
      <w:r w:rsidR="00B61FF8">
        <w:rPr>
          <w:sz w:val="24"/>
          <w:szCs w:val="24"/>
          <w:lang w:val="en-US"/>
        </w:rPr>
        <w:t>Onew</w:t>
      </w:r>
      <w:r w:rsidRPr="003C0842">
        <w:rPr>
          <w:sz w:val="24"/>
          <w:szCs w:val="24"/>
          <w:lang w:val="en-US"/>
        </w:rPr>
        <w:t>ord Publications 2009</w:t>
      </w:r>
    </w:p>
    <w:p w:rsidR="00912375" w:rsidRPr="00241D7B" w:rsidRDefault="00B61FF8" w:rsidP="007106A1">
      <w:pPr>
        <w:pStyle w:val="Tekstprzypisudolnego"/>
        <w:spacing w:line="360" w:lineRule="auto"/>
        <w:ind w:left="709" w:hanging="709"/>
        <w:contextualSpacing/>
        <w:rPr>
          <w:sz w:val="24"/>
          <w:szCs w:val="24"/>
          <w:lang w:val="en-US"/>
        </w:rPr>
      </w:pPr>
      <w:r>
        <w:rPr>
          <w:sz w:val="24"/>
          <w:szCs w:val="24"/>
          <w:lang w:val="en-US"/>
        </w:rPr>
        <w:t>Niall P.</w:t>
      </w:r>
      <w:r w:rsidR="00912375" w:rsidRPr="003C0842">
        <w:rPr>
          <w:sz w:val="24"/>
          <w:szCs w:val="24"/>
          <w:lang w:val="en-US"/>
        </w:rPr>
        <w:t>A., Johnson</w:t>
      </w:r>
      <w:r>
        <w:rPr>
          <w:sz w:val="24"/>
          <w:szCs w:val="24"/>
          <w:lang w:val="en-US"/>
        </w:rPr>
        <w:t xml:space="preserve"> S.</w:t>
      </w:r>
      <w:r w:rsidR="00912375" w:rsidRPr="003C0842">
        <w:rPr>
          <w:sz w:val="24"/>
          <w:szCs w:val="24"/>
          <w:lang w:val="en-US"/>
        </w:rPr>
        <w:t>, Mueller</w:t>
      </w:r>
      <w:r>
        <w:rPr>
          <w:sz w:val="24"/>
          <w:szCs w:val="24"/>
          <w:lang w:val="en-US"/>
        </w:rPr>
        <w:t xml:space="preserve"> J.</w:t>
      </w:r>
      <w:r w:rsidR="00912375" w:rsidRPr="003C0842">
        <w:rPr>
          <w:sz w:val="24"/>
          <w:szCs w:val="24"/>
          <w:lang w:val="en-US"/>
        </w:rPr>
        <w:t xml:space="preserve">, </w:t>
      </w:r>
      <w:r w:rsidR="00912375" w:rsidRPr="003C0842">
        <w:rPr>
          <w:i/>
          <w:sz w:val="24"/>
          <w:szCs w:val="24"/>
          <w:lang w:val="en-US"/>
        </w:rPr>
        <w:t>Updating the Accounts: Global Mortality at the 1918</w:t>
      </w:r>
      <w:r w:rsidR="005A5F3B">
        <w:rPr>
          <w:i/>
          <w:sz w:val="24"/>
          <w:szCs w:val="24"/>
          <w:lang w:val="en-US"/>
        </w:rPr>
        <w:t>-</w:t>
      </w:r>
      <w:r w:rsidR="00912375" w:rsidRPr="003C0842">
        <w:rPr>
          <w:i/>
          <w:sz w:val="24"/>
          <w:szCs w:val="24"/>
          <w:lang w:val="en-US"/>
        </w:rPr>
        <w:t xml:space="preserve">1920. </w:t>
      </w:r>
      <w:r>
        <w:rPr>
          <w:i/>
          <w:sz w:val="24"/>
          <w:szCs w:val="24"/>
          <w:lang w:val="en-US"/>
        </w:rPr>
        <w:t>„</w:t>
      </w:r>
      <w:r w:rsidR="00912375" w:rsidRPr="003C0842">
        <w:rPr>
          <w:i/>
          <w:sz w:val="24"/>
          <w:szCs w:val="24"/>
          <w:lang w:val="en-US"/>
        </w:rPr>
        <w:t>Spanish” Influenza Pandemic</w:t>
      </w:r>
      <w:r w:rsidR="00912375" w:rsidRPr="003C0842">
        <w:rPr>
          <w:sz w:val="24"/>
          <w:szCs w:val="24"/>
          <w:lang w:val="en-US"/>
        </w:rPr>
        <w:t xml:space="preserve">, Bulletin of the History of Medicine. </w:t>
      </w:r>
      <w:r w:rsidR="00912375" w:rsidRPr="00241D7B">
        <w:rPr>
          <w:sz w:val="24"/>
          <w:szCs w:val="24"/>
          <w:lang w:val="en-US"/>
        </w:rPr>
        <w:t>76</w:t>
      </w:r>
      <w:r w:rsidRPr="00241D7B">
        <w:rPr>
          <w:sz w:val="24"/>
          <w:szCs w:val="24"/>
          <w:lang w:val="en-US"/>
        </w:rPr>
        <w:t xml:space="preserve"> (2002)</w:t>
      </w:r>
      <w:r w:rsidR="00912375" w:rsidRPr="00241D7B">
        <w:rPr>
          <w:sz w:val="24"/>
          <w:szCs w:val="24"/>
          <w:lang w:val="en-US"/>
        </w:rPr>
        <w:t xml:space="preserve">, nr 1 </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Nikonowa S.W., </w:t>
      </w:r>
      <w:r w:rsidRPr="003C0842">
        <w:rPr>
          <w:i/>
          <w:sz w:val="24"/>
          <w:szCs w:val="24"/>
        </w:rPr>
        <w:t>Oczerek evropejskoj politiki Germanii w 1924</w:t>
      </w:r>
      <w:r w:rsidR="00B64D08">
        <w:rPr>
          <w:i/>
          <w:sz w:val="24"/>
          <w:szCs w:val="24"/>
        </w:rPr>
        <w:t>-</w:t>
      </w:r>
      <w:r w:rsidRPr="003C0842">
        <w:rPr>
          <w:i/>
          <w:sz w:val="24"/>
          <w:szCs w:val="24"/>
        </w:rPr>
        <w:t>1929 gg.</w:t>
      </w:r>
      <w:r w:rsidRPr="003C0842">
        <w:rPr>
          <w:sz w:val="24"/>
          <w:szCs w:val="24"/>
        </w:rPr>
        <w:t xml:space="preserve"> Moskwa 1977</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lastRenderedPageBreak/>
        <w:t xml:space="preserve">Nowak-Kiełbikowa M., </w:t>
      </w:r>
      <w:r w:rsidRPr="003C0842">
        <w:rPr>
          <w:i/>
          <w:sz w:val="24"/>
          <w:szCs w:val="24"/>
        </w:rPr>
        <w:t>Polska</w:t>
      </w:r>
      <w:r w:rsidR="00B61FF8">
        <w:rPr>
          <w:i/>
          <w:sz w:val="24"/>
          <w:szCs w:val="24"/>
        </w:rPr>
        <w:t xml:space="preserve"> – </w:t>
      </w:r>
      <w:r w:rsidRPr="003C0842">
        <w:rPr>
          <w:i/>
          <w:sz w:val="24"/>
          <w:szCs w:val="24"/>
        </w:rPr>
        <w:t>Wielka Brytania w dobie zabiegów o zbiorowe bezpieczeństwo w Europie 1923-1937</w:t>
      </w:r>
      <w:r w:rsidRPr="003C0842">
        <w:rPr>
          <w:sz w:val="24"/>
          <w:szCs w:val="24"/>
        </w:rPr>
        <w:t>, Warszawa 1989</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Nowinowski S., </w:t>
      </w:r>
      <w:r w:rsidRPr="003C0842">
        <w:rPr>
          <w:i/>
          <w:sz w:val="24"/>
          <w:szCs w:val="24"/>
        </w:rPr>
        <w:t xml:space="preserve">Konstatacje i nadzieje. Dyplomacja czechosłowacka wobec kwestii bezpieczeństwa zbiorowego w Europie </w:t>
      </w:r>
      <w:r w:rsidR="00F0463B" w:rsidRPr="003C0842">
        <w:rPr>
          <w:sz w:val="24"/>
          <w:szCs w:val="24"/>
        </w:rPr>
        <w:t>(</w:t>
      </w:r>
      <w:r w:rsidRPr="003C0842">
        <w:rPr>
          <w:i/>
          <w:sz w:val="24"/>
          <w:szCs w:val="24"/>
        </w:rPr>
        <w:t>1919</w:t>
      </w:r>
      <w:r w:rsidR="00B64D08">
        <w:rPr>
          <w:i/>
          <w:sz w:val="24"/>
          <w:szCs w:val="24"/>
        </w:rPr>
        <w:t>-</w:t>
      </w:r>
      <w:r w:rsidRPr="003C0842">
        <w:rPr>
          <w:i/>
          <w:sz w:val="24"/>
          <w:szCs w:val="24"/>
        </w:rPr>
        <w:t>1925</w:t>
      </w:r>
      <w:r w:rsidR="00F0463B" w:rsidRPr="003C0842">
        <w:rPr>
          <w:sz w:val="24"/>
          <w:szCs w:val="24"/>
        </w:rPr>
        <w:t>)</w:t>
      </w:r>
      <w:r w:rsidRPr="003C0842">
        <w:rPr>
          <w:sz w:val="24"/>
          <w:szCs w:val="24"/>
        </w:rPr>
        <w:t>, Toruń 2005</w:t>
      </w:r>
    </w:p>
    <w:p w:rsidR="00912375" w:rsidRPr="003C0842" w:rsidRDefault="00912375" w:rsidP="007106A1">
      <w:pPr>
        <w:pStyle w:val="Tekstprzypisudolnego"/>
        <w:spacing w:line="360" w:lineRule="auto"/>
        <w:ind w:left="709" w:hanging="709"/>
        <w:contextualSpacing/>
        <w:rPr>
          <w:sz w:val="24"/>
          <w:szCs w:val="24"/>
          <w:lang w:val="en-US"/>
        </w:rPr>
      </w:pPr>
      <w:r w:rsidRPr="003C0842">
        <w:rPr>
          <w:sz w:val="24"/>
          <w:szCs w:val="24"/>
          <w:lang w:val="en-US"/>
        </w:rPr>
        <w:t xml:space="preserve">Paddle S., </w:t>
      </w:r>
      <w:r w:rsidRPr="003C0842">
        <w:rPr>
          <w:i/>
          <w:sz w:val="24"/>
          <w:szCs w:val="24"/>
          <w:lang w:val="en-US"/>
        </w:rPr>
        <w:t>The Limit of Sympathy: International Feminists and the Chinese ‘Slave Girl’</w:t>
      </w:r>
      <w:r w:rsidRPr="00B61FF8">
        <w:rPr>
          <w:sz w:val="24"/>
          <w:szCs w:val="24"/>
          <w:lang w:val="en-US"/>
        </w:rPr>
        <w:t xml:space="preserve">, </w:t>
      </w:r>
      <w:r w:rsidRPr="003C0842">
        <w:rPr>
          <w:sz w:val="24"/>
          <w:szCs w:val="24"/>
          <w:lang w:val="en-US"/>
        </w:rPr>
        <w:t>Journal of Colonialism and Colonial History 4</w:t>
      </w:r>
      <w:r w:rsidR="00B61FF8" w:rsidRPr="003C0842">
        <w:rPr>
          <w:sz w:val="24"/>
          <w:szCs w:val="24"/>
          <w:lang w:val="en-US"/>
        </w:rPr>
        <w:t>(2003)</w:t>
      </w:r>
      <w:r w:rsidRPr="003C0842">
        <w:rPr>
          <w:sz w:val="24"/>
          <w:szCs w:val="24"/>
          <w:lang w:val="en-US"/>
        </w:rPr>
        <w:t>, n</w:t>
      </w:r>
      <w:r w:rsidR="00B61FF8">
        <w:rPr>
          <w:sz w:val="24"/>
          <w:szCs w:val="24"/>
          <w:lang w:val="en-US"/>
        </w:rPr>
        <w:t xml:space="preserve">r </w:t>
      </w:r>
      <w:r w:rsidRPr="003C0842">
        <w:rPr>
          <w:sz w:val="24"/>
          <w:szCs w:val="24"/>
          <w:lang w:val="en-US"/>
        </w:rPr>
        <w:t xml:space="preserve">3 </w:t>
      </w:r>
    </w:p>
    <w:p w:rsidR="00912375" w:rsidRPr="00B61FF8" w:rsidRDefault="00912375" w:rsidP="007106A1">
      <w:pPr>
        <w:pStyle w:val="Tekstprzypisudolnego"/>
        <w:spacing w:line="360" w:lineRule="auto"/>
        <w:ind w:left="709" w:hanging="709"/>
        <w:contextualSpacing/>
        <w:rPr>
          <w:sz w:val="24"/>
          <w:szCs w:val="24"/>
        </w:rPr>
      </w:pPr>
      <w:r w:rsidRPr="00B61FF8">
        <w:rPr>
          <w:sz w:val="24"/>
          <w:szCs w:val="24"/>
        </w:rPr>
        <w:t xml:space="preserve">Pajewski J., </w:t>
      </w:r>
      <w:r w:rsidRPr="00B61FF8">
        <w:rPr>
          <w:i/>
          <w:sz w:val="24"/>
          <w:szCs w:val="24"/>
        </w:rPr>
        <w:t>Polityka Gustawa Stresemanna w świetle nowszych badań,</w:t>
      </w:r>
      <w:r w:rsidRPr="00B61FF8">
        <w:rPr>
          <w:sz w:val="24"/>
          <w:szCs w:val="24"/>
        </w:rPr>
        <w:t xml:space="preserve"> Przegląd Zachodni 1957</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Pajewski J., </w:t>
      </w:r>
      <w:r w:rsidRPr="003C0842">
        <w:rPr>
          <w:i/>
          <w:sz w:val="24"/>
          <w:szCs w:val="24"/>
        </w:rPr>
        <w:t>Wokół sprawy polskiej. Paryż – Lozanna – Londyn 1914</w:t>
      </w:r>
      <w:r w:rsidR="00B64D08">
        <w:rPr>
          <w:i/>
          <w:sz w:val="24"/>
          <w:szCs w:val="24"/>
        </w:rPr>
        <w:t>-</w:t>
      </w:r>
      <w:r w:rsidRPr="003C0842">
        <w:rPr>
          <w:i/>
          <w:sz w:val="24"/>
          <w:szCs w:val="24"/>
        </w:rPr>
        <w:t>1918</w:t>
      </w:r>
      <w:r w:rsidRPr="00B61FF8">
        <w:rPr>
          <w:sz w:val="24"/>
          <w:szCs w:val="24"/>
        </w:rPr>
        <w:t xml:space="preserve">, </w:t>
      </w:r>
      <w:r w:rsidRPr="003C0842">
        <w:rPr>
          <w:sz w:val="24"/>
          <w:szCs w:val="24"/>
        </w:rPr>
        <w:t>Poznań 1970</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Paszkiewicz J., </w:t>
      </w:r>
      <w:r w:rsidRPr="003C0842">
        <w:rPr>
          <w:i/>
          <w:sz w:val="24"/>
          <w:szCs w:val="24"/>
        </w:rPr>
        <w:t>Grecja a bezpieczeństwo międzynarodowe na Bałkanach 1923</w:t>
      </w:r>
      <w:r w:rsidRPr="00B61FF8">
        <w:rPr>
          <w:i/>
          <w:sz w:val="24"/>
          <w:szCs w:val="24"/>
        </w:rPr>
        <w:t>-1936</w:t>
      </w:r>
      <w:r w:rsidRPr="003C0842">
        <w:rPr>
          <w:sz w:val="24"/>
          <w:szCs w:val="24"/>
        </w:rPr>
        <w:t>, Poznań 2012</w:t>
      </w:r>
    </w:p>
    <w:p w:rsidR="00912375" w:rsidRPr="003C0842" w:rsidRDefault="00912375" w:rsidP="007106A1">
      <w:pPr>
        <w:pStyle w:val="Tekstprzypisudolnego"/>
        <w:spacing w:line="360" w:lineRule="auto"/>
        <w:ind w:left="709" w:hanging="709"/>
        <w:contextualSpacing/>
        <w:rPr>
          <w:sz w:val="24"/>
          <w:szCs w:val="24"/>
          <w:lang w:val="fr-FR"/>
        </w:rPr>
      </w:pPr>
      <w:r w:rsidRPr="003C0842">
        <w:rPr>
          <w:sz w:val="24"/>
          <w:szCs w:val="24"/>
          <w:lang w:val="fr-FR"/>
        </w:rPr>
        <w:t xml:space="preserve">Perez-Guerrero M., </w:t>
      </w:r>
      <w:r w:rsidRPr="003C0842">
        <w:rPr>
          <w:i/>
          <w:sz w:val="24"/>
          <w:szCs w:val="24"/>
          <w:lang w:val="fr-FR"/>
        </w:rPr>
        <w:t>Les relations de Etats de l’Amerique latin avec la SDN</w:t>
      </w:r>
      <w:r w:rsidRPr="003C0842">
        <w:rPr>
          <w:sz w:val="24"/>
          <w:szCs w:val="24"/>
          <w:lang w:val="fr-FR"/>
        </w:rPr>
        <w:t>, Paris 1936</w:t>
      </w:r>
    </w:p>
    <w:p w:rsidR="00912375" w:rsidRPr="003C0842" w:rsidRDefault="00912375" w:rsidP="007106A1">
      <w:pPr>
        <w:pStyle w:val="Tekstprzypisudolnego"/>
        <w:spacing w:line="360" w:lineRule="auto"/>
        <w:ind w:left="709" w:hanging="709"/>
        <w:contextualSpacing/>
        <w:rPr>
          <w:sz w:val="24"/>
          <w:szCs w:val="24"/>
          <w:lang w:val="en-US"/>
        </w:rPr>
      </w:pPr>
      <w:r w:rsidRPr="003C0842">
        <w:rPr>
          <w:sz w:val="24"/>
          <w:szCs w:val="24"/>
          <w:lang w:val="en-US"/>
        </w:rPr>
        <w:t xml:space="preserve">Pedersen S., </w:t>
      </w:r>
      <w:r w:rsidRPr="003C0842">
        <w:rPr>
          <w:i/>
          <w:sz w:val="24"/>
          <w:szCs w:val="24"/>
          <w:lang w:val="en-US"/>
        </w:rPr>
        <w:t>Back to League of Nations</w:t>
      </w:r>
      <w:r w:rsidRPr="003C0842">
        <w:rPr>
          <w:sz w:val="24"/>
          <w:szCs w:val="24"/>
          <w:lang w:val="en-US"/>
        </w:rPr>
        <w:t xml:space="preserve">, </w:t>
      </w:r>
      <w:r w:rsidR="00925C83" w:rsidRPr="003C0842">
        <w:rPr>
          <w:sz w:val="24"/>
          <w:szCs w:val="24"/>
          <w:lang w:val="en-US"/>
        </w:rPr>
        <w:t>The American Historical Review</w:t>
      </w:r>
      <w:r w:rsidRPr="003C0842">
        <w:rPr>
          <w:sz w:val="24"/>
          <w:szCs w:val="24"/>
          <w:lang w:val="en-US"/>
        </w:rPr>
        <w:t>112</w:t>
      </w:r>
      <w:r w:rsidR="00B61FF8">
        <w:rPr>
          <w:sz w:val="24"/>
          <w:szCs w:val="24"/>
          <w:lang w:val="en-US"/>
        </w:rPr>
        <w:t xml:space="preserve"> (2007)</w:t>
      </w:r>
      <w:r w:rsidRPr="003C0842">
        <w:rPr>
          <w:sz w:val="24"/>
          <w:szCs w:val="24"/>
          <w:lang w:val="en-US"/>
        </w:rPr>
        <w:t>, nr 4</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Piskurewicz J., </w:t>
      </w:r>
      <w:r w:rsidRPr="003C0842">
        <w:rPr>
          <w:i/>
          <w:sz w:val="24"/>
          <w:szCs w:val="24"/>
        </w:rPr>
        <w:t>Między nauką a polityką. Maria Skłodowska-Curie w laboratorium i Lidze Narodów</w:t>
      </w:r>
      <w:r w:rsidR="00555529" w:rsidRPr="00B61FF8">
        <w:rPr>
          <w:sz w:val="24"/>
          <w:szCs w:val="24"/>
        </w:rPr>
        <w:t>,</w:t>
      </w:r>
      <w:r w:rsidRPr="003C0842">
        <w:rPr>
          <w:sz w:val="24"/>
          <w:szCs w:val="24"/>
        </w:rPr>
        <w:t>Lublin 2007</w:t>
      </w:r>
    </w:p>
    <w:p w:rsidR="00912375" w:rsidRDefault="00912375" w:rsidP="007106A1">
      <w:pPr>
        <w:pStyle w:val="Tekstprzypisudolnego"/>
        <w:spacing w:line="360" w:lineRule="auto"/>
        <w:ind w:left="709" w:hanging="709"/>
        <w:contextualSpacing/>
        <w:rPr>
          <w:sz w:val="24"/>
          <w:szCs w:val="24"/>
          <w:lang w:val="en-US"/>
        </w:rPr>
      </w:pPr>
      <w:r w:rsidRPr="003C0842">
        <w:rPr>
          <w:sz w:val="24"/>
          <w:szCs w:val="24"/>
          <w:lang w:val="en-US"/>
        </w:rPr>
        <w:t xml:space="preserve">Pliley J.R., </w:t>
      </w:r>
      <w:r w:rsidRPr="003C0842">
        <w:rPr>
          <w:i/>
          <w:sz w:val="24"/>
          <w:szCs w:val="24"/>
          <w:lang w:val="en-US"/>
        </w:rPr>
        <w:t>Claims to Protection: The Rise and Fall of Feminist Abolitionism in the League of Nations’ Committee on the Traffic in Women and Children 1919</w:t>
      </w:r>
      <w:r w:rsidR="00B64D08">
        <w:rPr>
          <w:i/>
          <w:sz w:val="24"/>
          <w:szCs w:val="24"/>
          <w:lang w:val="en-US"/>
        </w:rPr>
        <w:t>-</w:t>
      </w:r>
      <w:r w:rsidRPr="003C0842">
        <w:rPr>
          <w:i/>
          <w:sz w:val="24"/>
          <w:szCs w:val="24"/>
          <w:lang w:val="en-US"/>
        </w:rPr>
        <w:t>1936,</w:t>
      </w:r>
      <w:r w:rsidR="004D2F75" w:rsidRPr="003C0842">
        <w:rPr>
          <w:sz w:val="24"/>
          <w:szCs w:val="24"/>
          <w:lang w:val="en-US"/>
        </w:rPr>
        <w:t>J</w:t>
      </w:r>
      <w:r w:rsidRPr="003C0842">
        <w:rPr>
          <w:sz w:val="24"/>
          <w:szCs w:val="24"/>
          <w:lang w:val="en-US"/>
        </w:rPr>
        <w:t>ournal of Women’s History</w:t>
      </w:r>
      <w:r w:rsidR="00B61FF8">
        <w:rPr>
          <w:sz w:val="24"/>
          <w:szCs w:val="24"/>
          <w:lang w:val="en-US"/>
        </w:rPr>
        <w:t xml:space="preserve"> 22(</w:t>
      </w:r>
      <w:r w:rsidRPr="003C0842">
        <w:rPr>
          <w:sz w:val="24"/>
          <w:szCs w:val="24"/>
          <w:lang w:val="en-US"/>
        </w:rPr>
        <w:t>2010</w:t>
      </w:r>
      <w:r w:rsidR="00B61FF8">
        <w:rPr>
          <w:sz w:val="24"/>
          <w:szCs w:val="24"/>
          <w:lang w:val="en-US"/>
        </w:rPr>
        <w:t>)</w:t>
      </w:r>
      <w:r w:rsidRPr="003C0842">
        <w:rPr>
          <w:sz w:val="24"/>
          <w:szCs w:val="24"/>
          <w:lang w:val="en-US"/>
        </w:rPr>
        <w:t>, nr 4</w:t>
      </w:r>
    </w:p>
    <w:p w:rsidR="00FA3D85" w:rsidRPr="003C0842" w:rsidRDefault="00FA3D85" w:rsidP="00FA3D85">
      <w:pPr>
        <w:pStyle w:val="Tekstprzypisudolnego"/>
        <w:spacing w:line="360" w:lineRule="auto"/>
        <w:ind w:left="709" w:hanging="709"/>
        <w:contextualSpacing/>
        <w:rPr>
          <w:sz w:val="24"/>
          <w:szCs w:val="24"/>
        </w:rPr>
      </w:pPr>
      <w:r w:rsidRPr="003C0842">
        <w:rPr>
          <w:i/>
          <w:sz w:val="24"/>
          <w:szCs w:val="24"/>
        </w:rPr>
        <w:t xml:space="preserve">Polska polityka zagraniczna w latach 1926-1939 </w:t>
      </w:r>
      <w:r w:rsidRPr="003C0842">
        <w:rPr>
          <w:sz w:val="24"/>
          <w:szCs w:val="24"/>
        </w:rPr>
        <w:t>[wydrukowano błędnie, powinno być 1932-1939]</w:t>
      </w:r>
      <w:r w:rsidR="00B61FF8">
        <w:rPr>
          <w:sz w:val="24"/>
          <w:szCs w:val="24"/>
        </w:rPr>
        <w:t>.</w:t>
      </w:r>
      <w:r w:rsidR="00B61FF8" w:rsidRPr="00B61FF8">
        <w:rPr>
          <w:i/>
          <w:sz w:val="24"/>
          <w:szCs w:val="24"/>
        </w:rPr>
        <w:t>N</w:t>
      </w:r>
      <w:r w:rsidRPr="003C0842">
        <w:rPr>
          <w:i/>
          <w:sz w:val="24"/>
          <w:szCs w:val="24"/>
        </w:rPr>
        <w:t>a podstawie tekstów min. Józefa Becka</w:t>
      </w:r>
      <w:r w:rsidRPr="00FA3D85">
        <w:rPr>
          <w:sz w:val="24"/>
          <w:szCs w:val="24"/>
        </w:rPr>
        <w:t xml:space="preserve">, </w:t>
      </w:r>
      <w:r>
        <w:rPr>
          <w:sz w:val="24"/>
          <w:szCs w:val="24"/>
        </w:rPr>
        <w:t xml:space="preserve">oprac. A.M. </w:t>
      </w:r>
      <w:r w:rsidRPr="003C0842">
        <w:rPr>
          <w:sz w:val="24"/>
          <w:szCs w:val="24"/>
        </w:rPr>
        <w:t>Cienciała, Paryż 1990</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Posner S., </w:t>
      </w:r>
      <w:r w:rsidRPr="003C0842">
        <w:rPr>
          <w:i/>
          <w:sz w:val="24"/>
          <w:szCs w:val="24"/>
        </w:rPr>
        <w:t>Zagadnienia społeczne w Lidze Narodów</w:t>
      </w:r>
      <w:r w:rsidRPr="00B61FF8">
        <w:rPr>
          <w:sz w:val="24"/>
          <w:szCs w:val="24"/>
        </w:rPr>
        <w:t xml:space="preserve">, </w:t>
      </w:r>
      <w:r w:rsidRPr="003C0842">
        <w:rPr>
          <w:sz w:val="24"/>
          <w:szCs w:val="24"/>
        </w:rPr>
        <w:t>Kraków 1925</w:t>
      </w:r>
    </w:p>
    <w:p w:rsidR="00912375" w:rsidRPr="003C0842" w:rsidRDefault="00912375" w:rsidP="007106A1">
      <w:pPr>
        <w:pStyle w:val="Tekstprzypisudolnego"/>
        <w:spacing w:line="360" w:lineRule="auto"/>
        <w:ind w:left="709" w:hanging="709"/>
        <w:contextualSpacing/>
        <w:rPr>
          <w:sz w:val="24"/>
          <w:szCs w:val="24"/>
          <w:lang w:val="de-DE"/>
        </w:rPr>
      </w:pPr>
      <w:r w:rsidRPr="003C0842">
        <w:rPr>
          <w:sz w:val="24"/>
          <w:szCs w:val="24"/>
          <w:lang w:val="de-DE"/>
        </w:rPr>
        <w:t>Ramon</w:t>
      </w:r>
      <w:r w:rsidR="00AF3D43" w:rsidRPr="003C0842">
        <w:rPr>
          <w:sz w:val="24"/>
          <w:szCs w:val="24"/>
          <w:lang w:val="de-DE"/>
        </w:rPr>
        <w:t>a</w:t>
      </w:r>
      <w:r w:rsidRPr="003C0842">
        <w:rPr>
          <w:sz w:val="24"/>
          <w:szCs w:val="24"/>
          <w:lang w:val="de-DE"/>
        </w:rPr>
        <w:t>t W.,</w:t>
      </w:r>
      <w:r w:rsidRPr="003C0842">
        <w:rPr>
          <w:i/>
          <w:sz w:val="24"/>
          <w:szCs w:val="24"/>
          <w:lang w:val="de-DE"/>
        </w:rPr>
        <w:t xml:space="preserve"> Der Völkerbund und die Freie Stadt Danzig 1920</w:t>
      </w:r>
      <w:r w:rsidR="00B64D08">
        <w:rPr>
          <w:i/>
          <w:sz w:val="24"/>
          <w:szCs w:val="24"/>
          <w:lang w:val="de-DE"/>
        </w:rPr>
        <w:t>-</w:t>
      </w:r>
      <w:r w:rsidRPr="003C0842">
        <w:rPr>
          <w:i/>
          <w:sz w:val="24"/>
          <w:szCs w:val="24"/>
          <w:lang w:val="de-DE"/>
        </w:rPr>
        <w:t>1934</w:t>
      </w:r>
      <w:r w:rsidRPr="003C0842">
        <w:rPr>
          <w:sz w:val="24"/>
          <w:szCs w:val="24"/>
          <w:lang w:val="de-DE"/>
        </w:rPr>
        <w:t>, Osnabrück 1979</w:t>
      </w:r>
    </w:p>
    <w:p w:rsidR="00912375" w:rsidRPr="003C0842" w:rsidRDefault="00912375" w:rsidP="007106A1">
      <w:pPr>
        <w:pStyle w:val="Tekstprzypisudolnego"/>
        <w:spacing w:line="360" w:lineRule="auto"/>
        <w:ind w:left="709" w:hanging="709"/>
        <w:contextualSpacing/>
        <w:rPr>
          <w:sz w:val="24"/>
          <w:szCs w:val="24"/>
          <w:lang w:val="en-US"/>
        </w:rPr>
      </w:pPr>
      <w:r w:rsidRPr="003C0842">
        <w:rPr>
          <w:sz w:val="24"/>
          <w:szCs w:val="24"/>
          <w:lang w:val="en-US"/>
        </w:rPr>
        <w:t xml:space="preserve">Ranshofen-Wertheimer E.F., </w:t>
      </w:r>
      <w:r w:rsidRPr="003C0842">
        <w:rPr>
          <w:i/>
          <w:sz w:val="24"/>
          <w:szCs w:val="24"/>
          <w:lang w:val="en-US"/>
        </w:rPr>
        <w:t>The International Secretariat</w:t>
      </w:r>
      <w:r w:rsidRPr="00B61FF8">
        <w:rPr>
          <w:sz w:val="24"/>
          <w:szCs w:val="24"/>
          <w:lang w:val="en-US"/>
        </w:rPr>
        <w:t xml:space="preserve">, </w:t>
      </w:r>
      <w:r w:rsidRPr="003C0842">
        <w:rPr>
          <w:sz w:val="24"/>
          <w:szCs w:val="24"/>
          <w:lang w:val="en-US"/>
        </w:rPr>
        <w:t>Washington 1945</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Rojek W., </w:t>
      </w:r>
      <w:r w:rsidRPr="003C0842">
        <w:rPr>
          <w:i/>
          <w:sz w:val="24"/>
          <w:szCs w:val="24"/>
        </w:rPr>
        <w:t>Historia nowoczesnych stosunków międzynarodowych</w:t>
      </w:r>
      <w:r w:rsidR="00555529" w:rsidRPr="00B61FF8">
        <w:rPr>
          <w:sz w:val="24"/>
          <w:szCs w:val="24"/>
        </w:rPr>
        <w:t>,</w:t>
      </w:r>
      <w:r w:rsidRPr="003C0842">
        <w:rPr>
          <w:sz w:val="24"/>
          <w:szCs w:val="24"/>
        </w:rPr>
        <w:t>Warszawa 2010</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Rojek W., </w:t>
      </w:r>
      <w:r w:rsidRPr="003C0842">
        <w:rPr>
          <w:i/>
          <w:sz w:val="24"/>
          <w:szCs w:val="24"/>
        </w:rPr>
        <w:t>Separatystyczny traktat pokojowy pomiędzy USA a Niemcami 1919</w:t>
      </w:r>
      <w:r w:rsidR="00B64D08">
        <w:rPr>
          <w:i/>
          <w:sz w:val="24"/>
          <w:szCs w:val="24"/>
        </w:rPr>
        <w:t>-</w:t>
      </w:r>
      <w:r w:rsidRPr="003C0842">
        <w:rPr>
          <w:i/>
          <w:sz w:val="24"/>
          <w:szCs w:val="24"/>
        </w:rPr>
        <w:t>1921</w:t>
      </w:r>
      <w:r w:rsidRPr="003C0842">
        <w:rPr>
          <w:sz w:val="24"/>
          <w:szCs w:val="24"/>
        </w:rPr>
        <w:t xml:space="preserve">, </w:t>
      </w:r>
      <w:r w:rsidR="004D2F75" w:rsidRPr="003C0842">
        <w:rPr>
          <w:sz w:val="24"/>
          <w:szCs w:val="24"/>
        </w:rPr>
        <w:t>[w:]</w:t>
      </w:r>
      <w:r w:rsidRPr="003C0842">
        <w:rPr>
          <w:i/>
          <w:sz w:val="24"/>
          <w:szCs w:val="24"/>
        </w:rPr>
        <w:t>Niemcy w pol</w:t>
      </w:r>
      <w:r w:rsidR="00B61FF8">
        <w:rPr>
          <w:i/>
          <w:sz w:val="24"/>
          <w:szCs w:val="24"/>
        </w:rPr>
        <w:t>ityce międzynarodowej 1919</w:t>
      </w:r>
      <w:r w:rsidR="00B64D08">
        <w:rPr>
          <w:i/>
          <w:sz w:val="24"/>
          <w:szCs w:val="24"/>
        </w:rPr>
        <w:t>-</w:t>
      </w:r>
      <w:r w:rsidR="00B61FF8">
        <w:rPr>
          <w:i/>
          <w:sz w:val="24"/>
          <w:szCs w:val="24"/>
        </w:rPr>
        <w:t>1939</w:t>
      </w:r>
      <w:r w:rsidR="00B61FF8" w:rsidRPr="00B61FF8">
        <w:rPr>
          <w:sz w:val="24"/>
          <w:szCs w:val="24"/>
        </w:rPr>
        <w:t>, t. I:</w:t>
      </w:r>
      <w:r w:rsidRPr="003C0842">
        <w:rPr>
          <w:i/>
          <w:sz w:val="24"/>
          <w:szCs w:val="24"/>
        </w:rPr>
        <w:t>Era Stresemanna</w:t>
      </w:r>
      <w:r w:rsidRPr="003C0842">
        <w:rPr>
          <w:sz w:val="24"/>
          <w:szCs w:val="24"/>
        </w:rPr>
        <w:t>, red. S. Sierpowski, Poznań 1990</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Rojek W., </w:t>
      </w:r>
      <w:r w:rsidRPr="003C0842">
        <w:rPr>
          <w:i/>
          <w:sz w:val="24"/>
          <w:szCs w:val="24"/>
        </w:rPr>
        <w:t>Spory o władanie morzem. Międzynarodowe aspekty zbrojeń morskich w okresie międzywojennym</w:t>
      </w:r>
      <w:r w:rsidRPr="003C0842">
        <w:rPr>
          <w:sz w:val="24"/>
          <w:szCs w:val="24"/>
        </w:rPr>
        <w:t>, Kraków 1994</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Ruchniewicz K., </w:t>
      </w:r>
      <w:r w:rsidRPr="003C0842">
        <w:rPr>
          <w:i/>
          <w:sz w:val="24"/>
          <w:szCs w:val="24"/>
        </w:rPr>
        <w:t>Paneuropa hr. Richarda Coucenhove-Kalergiego a Polska</w:t>
      </w:r>
      <w:r w:rsidRPr="00B61FF8">
        <w:rPr>
          <w:sz w:val="24"/>
          <w:szCs w:val="24"/>
        </w:rPr>
        <w:t xml:space="preserve">, </w:t>
      </w:r>
      <w:r w:rsidR="004D2F75" w:rsidRPr="003C0842">
        <w:rPr>
          <w:sz w:val="24"/>
          <w:szCs w:val="24"/>
        </w:rPr>
        <w:t>[w:]</w:t>
      </w:r>
      <w:r w:rsidRPr="00B61FF8">
        <w:rPr>
          <w:i/>
          <w:sz w:val="24"/>
          <w:szCs w:val="24"/>
        </w:rPr>
        <w:t>Polska wobec idei integracji europejskiej w latach 1918-1945</w:t>
      </w:r>
      <w:r w:rsidRPr="003C0842">
        <w:rPr>
          <w:sz w:val="24"/>
          <w:szCs w:val="24"/>
        </w:rPr>
        <w:t>, red. M. Wojciechowski, Toruń 2000</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Ruecker E., </w:t>
      </w:r>
      <w:r w:rsidRPr="003C0842">
        <w:rPr>
          <w:i/>
          <w:sz w:val="24"/>
          <w:szCs w:val="24"/>
        </w:rPr>
        <w:t>Niemcy, Prusy a Polaka: kilka aktualnych faktów i uwag</w:t>
      </w:r>
      <w:r w:rsidRPr="00B61FF8">
        <w:rPr>
          <w:sz w:val="24"/>
          <w:szCs w:val="24"/>
        </w:rPr>
        <w:t xml:space="preserve">, </w:t>
      </w:r>
      <w:r w:rsidRPr="003C0842">
        <w:rPr>
          <w:sz w:val="24"/>
          <w:szCs w:val="24"/>
        </w:rPr>
        <w:t>Kraków 1928</w:t>
      </w:r>
    </w:p>
    <w:p w:rsidR="00912375" w:rsidRPr="003C0842" w:rsidRDefault="00912375" w:rsidP="007106A1">
      <w:pPr>
        <w:pStyle w:val="Tekstprzypisudolnego"/>
        <w:spacing w:line="360" w:lineRule="auto"/>
        <w:ind w:left="709" w:hanging="709"/>
        <w:contextualSpacing/>
        <w:rPr>
          <w:sz w:val="24"/>
          <w:szCs w:val="24"/>
          <w:lang w:val="en-US"/>
        </w:rPr>
      </w:pPr>
      <w:r w:rsidRPr="003C0842">
        <w:rPr>
          <w:sz w:val="24"/>
          <w:szCs w:val="24"/>
          <w:lang w:val="en-US"/>
        </w:rPr>
        <w:t xml:space="preserve">Seabury P., </w:t>
      </w:r>
      <w:r w:rsidRPr="003C0842">
        <w:rPr>
          <w:i/>
          <w:sz w:val="24"/>
          <w:szCs w:val="24"/>
          <w:lang w:val="en-US"/>
        </w:rPr>
        <w:t>The Wilhelmstrasse</w:t>
      </w:r>
      <w:r w:rsidRPr="00B61FF8">
        <w:rPr>
          <w:sz w:val="24"/>
          <w:szCs w:val="24"/>
          <w:lang w:val="en-US"/>
        </w:rPr>
        <w:t xml:space="preserve">, </w:t>
      </w:r>
      <w:r w:rsidRPr="003C0842">
        <w:rPr>
          <w:sz w:val="24"/>
          <w:szCs w:val="24"/>
          <w:lang w:val="en-US"/>
        </w:rPr>
        <w:t>Berkeley 1954</w:t>
      </w:r>
    </w:p>
    <w:p w:rsidR="00912375" w:rsidRPr="003C0842" w:rsidRDefault="00912375" w:rsidP="007106A1">
      <w:pPr>
        <w:pStyle w:val="Tekstprzypisudolnego"/>
        <w:spacing w:line="360" w:lineRule="auto"/>
        <w:ind w:left="709" w:hanging="709"/>
        <w:contextualSpacing/>
        <w:rPr>
          <w:sz w:val="24"/>
          <w:szCs w:val="24"/>
          <w:lang w:val="en-US"/>
        </w:rPr>
      </w:pPr>
      <w:r w:rsidRPr="003C0842">
        <w:rPr>
          <w:sz w:val="24"/>
          <w:szCs w:val="24"/>
          <w:lang w:val="en-US"/>
        </w:rPr>
        <w:lastRenderedPageBreak/>
        <w:t>Shekarloo P.,</w:t>
      </w:r>
      <w:r w:rsidRPr="003C0842">
        <w:rPr>
          <w:i/>
          <w:sz w:val="24"/>
          <w:szCs w:val="24"/>
          <w:lang w:val="en-US"/>
        </w:rPr>
        <w:t xml:space="preserve">Maltzan </w:t>
      </w:r>
      <w:r w:rsidR="00164234" w:rsidRPr="003C0842">
        <w:rPr>
          <w:i/>
          <w:sz w:val="24"/>
          <w:szCs w:val="24"/>
          <w:lang w:val="en-US"/>
        </w:rPr>
        <w:t>–</w:t>
      </w:r>
      <w:r w:rsidRPr="003C0842">
        <w:rPr>
          <w:i/>
          <w:sz w:val="24"/>
          <w:szCs w:val="24"/>
          <w:lang w:val="en-US"/>
        </w:rPr>
        <w:t xml:space="preserve"> the Architect of Rapallo: Weimar Foreign Policy, German-Soviet Relations and the Treaty of Rapallo</w:t>
      </w:r>
      <w:r w:rsidR="004777C9" w:rsidRPr="003C0842">
        <w:rPr>
          <w:i/>
          <w:sz w:val="24"/>
          <w:szCs w:val="24"/>
          <w:lang w:val="en-US"/>
        </w:rPr>
        <w:t>, 1920-1922</w:t>
      </w:r>
      <w:r w:rsidR="00B61FF8">
        <w:rPr>
          <w:sz w:val="24"/>
          <w:szCs w:val="24"/>
          <w:lang w:val="en-US"/>
        </w:rPr>
        <w:t>,</w:t>
      </w:r>
      <w:r w:rsidRPr="003C0842">
        <w:rPr>
          <w:sz w:val="24"/>
          <w:szCs w:val="24"/>
          <w:lang w:val="en-US"/>
        </w:rPr>
        <w:t xml:space="preserve"> Research Paper, GRIN Verlag 2010</w:t>
      </w:r>
    </w:p>
    <w:p w:rsidR="00912375" w:rsidRPr="003C0842" w:rsidRDefault="000A05AB" w:rsidP="007106A1">
      <w:pPr>
        <w:pStyle w:val="Tekstprzypisudolnego"/>
        <w:spacing w:line="360" w:lineRule="auto"/>
        <w:ind w:left="709" w:hanging="709"/>
        <w:contextualSpacing/>
        <w:rPr>
          <w:sz w:val="24"/>
          <w:szCs w:val="24"/>
          <w:lang w:val="en-US"/>
        </w:rPr>
      </w:pPr>
      <w:hyperlink r:id="rId10" w:tooltip="search for all books by Richard J. Shuster" w:history="1">
        <w:r w:rsidR="00912375" w:rsidRPr="003C0842">
          <w:rPr>
            <w:rStyle w:val="Hipercze"/>
            <w:bCs/>
            <w:color w:val="auto"/>
            <w:sz w:val="24"/>
            <w:szCs w:val="24"/>
            <w:u w:val="none"/>
            <w:lang w:val="en-US"/>
          </w:rPr>
          <w:t>Shuster</w:t>
        </w:r>
      </w:hyperlink>
      <w:r w:rsidR="00912375" w:rsidRPr="003C0842">
        <w:rPr>
          <w:sz w:val="24"/>
          <w:szCs w:val="24"/>
          <w:lang w:val="en-US"/>
        </w:rPr>
        <w:t xml:space="preserve"> R. J., </w:t>
      </w:r>
      <w:r w:rsidR="00912375" w:rsidRPr="003C0842">
        <w:rPr>
          <w:bCs/>
          <w:i/>
          <w:sz w:val="24"/>
          <w:szCs w:val="24"/>
          <w:lang w:val="en-US"/>
        </w:rPr>
        <w:t>German Disarmament After World War I. The Diplomacy of International Arms Inspection 1920-1931</w:t>
      </w:r>
      <w:r w:rsidR="00912375" w:rsidRPr="003C0842">
        <w:rPr>
          <w:bCs/>
          <w:sz w:val="24"/>
          <w:szCs w:val="24"/>
          <w:lang w:val="en-US"/>
        </w:rPr>
        <w:t>,</w:t>
      </w:r>
      <w:r w:rsidR="00912375" w:rsidRPr="003C0842">
        <w:rPr>
          <w:sz w:val="24"/>
          <w:szCs w:val="24"/>
          <w:lang w:val="en-US"/>
        </w:rPr>
        <w:t xml:space="preserve"> Routledge 2006</w:t>
      </w:r>
    </w:p>
    <w:p w:rsidR="00513E17" w:rsidRPr="002D09EB" w:rsidRDefault="00513E17" w:rsidP="007106A1">
      <w:pPr>
        <w:pStyle w:val="Tekstprzypisudolnego"/>
        <w:spacing w:line="360" w:lineRule="auto"/>
        <w:ind w:left="709" w:hanging="709"/>
        <w:contextualSpacing/>
        <w:rPr>
          <w:sz w:val="24"/>
          <w:szCs w:val="24"/>
        </w:rPr>
      </w:pPr>
      <w:r w:rsidRPr="003C0842">
        <w:rPr>
          <w:sz w:val="24"/>
          <w:szCs w:val="24"/>
          <w:lang w:val="de-AT"/>
        </w:rPr>
        <w:t>Sierpowski S., Czubiński</w:t>
      </w:r>
      <w:r w:rsidR="00B61FF8">
        <w:rPr>
          <w:sz w:val="24"/>
          <w:szCs w:val="24"/>
          <w:lang w:val="de-AT"/>
        </w:rPr>
        <w:t xml:space="preserve"> A.</w:t>
      </w:r>
      <w:r w:rsidRPr="003C0842">
        <w:rPr>
          <w:sz w:val="24"/>
          <w:szCs w:val="24"/>
          <w:lang w:val="de-AT"/>
        </w:rPr>
        <w:t xml:space="preserve">, </w:t>
      </w:r>
      <w:r w:rsidRPr="003C0842">
        <w:rPr>
          <w:i/>
          <w:sz w:val="24"/>
          <w:szCs w:val="24"/>
          <w:lang w:val="de-AT"/>
        </w:rPr>
        <w:t>Der Völkerbund und das Locarno</w:t>
      </w:r>
      <w:r w:rsidRPr="003C0842">
        <w:rPr>
          <w:i/>
          <w:sz w:val="24"/>
          <w:szCs w:val="24"/>
          <w:lang w:val="de-AT"/>
        </w:rPr>
        <w:noBreakHyphen/>
        <w:t>System</w:t>
      </w:r>
      <w:r w:rsidRPr="00B61FF8">
        <w:rPr>
          <w:sz w:val="24"/>
          <w:szCs w:val="24"/>
          <w:lang w:val="de-AT"/>
        </w:rPr>
        <w:t xml:space="preserve">, </w:t>
      </w:r>
      <w:r w:rsidR="004D2F75" w:rsidRPr="003C0842">
        <w:rPr>
          <w:sz w:val="24"/>
          <w:szCs w:val="24"/>
          <w:lang w:val="de-AT"/>
        </w:rPr>
        <w:t>[w:]</w:t>
      </w:r>
      <w:r w:rsidR="00B61FF8">
        <w:rPr>
          <w:sz w:val="24"/>
          <w:szCs w:val="24"/>
          <w:lang w:val="de-AT"/>
        </w:rPr>
        <w:t xml:space="preserve"> Locarno und Osteuropa,r</w:t>
      </w:r>
      <w:r w:rsidRPr="00387453">
        <w:rPr>
          <w:sz w:val="24"/>
          <w:szCs w:val="24"/>
          <w:lang w:val="de-AT"/>
        </w:rPr>
        <w:t xml:space="preserve">ed. </w:t>
      </w:r>
      <w:r w:rsidRPr="002D09EB">
        <w:rPr>
          <w:sz w:val="24"/>
          <w:szCs w:val="24"/>
        </w:rPr>
        <w:t>R. Schattkowsky, Marburg 1994</w:t>
      </w:r>
    </w:p>
    <w:p w:rsidR="0017400A" w:rsidRPr="003C0842" w:rsidRDefault="0017400A" w:rsidP="007106A1">
      <w:pPr>
        <w:pStyle w:val="Tekstprzypisudolnego"/>
        <w:spacing w:line="360" w:lineRule="auto"/>
        <w:ind w:left="709" w:hanging="709"/>
        <w:contextualSpacing/>
        <w:rPr>
          <w:sz w:val="24"/>
          <w:szCs w:val="24"/>
        </w:rPr>
      </w:pPr>
      <w:r w:rsidRPr="003C0842">
        <w:rPr>
          <w:sz w:val="24"/>
          <w:szCs w:val="24"/>
        </w:rPr>
        <w:t xml:space="preserve">Sierpowski S., </w:t>
      </w:r>
      <w:r w:rsidRPr="003C0842">
        <w:rPr>
          <w:i/>
          <w:sz w:val="24"/>
          <w:szCs w:val="24"/>
        </w:rPr>
        <w:t>Dylematy mniejszościowe Ligi Narodów</w:t>
      </w:r>
      <w:r w:rsidRPr="003C0842">
        <w:rPr>
          <w:sz w:val="24"/>
          <w:szCs w:val="24"/>
        </w:rPr>
        <w:t>, cz. 1 i 2, Przegląd Zachodni 1984, nry 3 i 5/6</w:t>
      </w:r>
      <w:r w:rsidR="00931238">
        <w:rPr>
          <w:sz w:val="24"/>
          <w:szCs w:val="24"/>
        </w:rPr>
        <w:t>; (dostęp</w:t>
      </w:r>
      <w:r w:rsidR="006535DE" w:rsidRPr="003C0842">
        <w:rPr>
          <w:sz w:val="24"/>
          <w:szCs w:val="24"/>
        </w:rPr>
        <w:t xml:space="preserve">ępna w </w:t>
      </w:r>
      <w:r w:rsidR="005D3D7A">
        <w:rPr>
          <w:sz w:val="24"/>
          <w:szCs w:val="24"/>
        </w:rPr>
        <w:t>wbc</w:t>
      </w:r>
      <w:r w:rsidR="006535DE" w:rsidRPr="003C0842">
        <w:rPr>
          <w:sz w:val="24"/>
          <w:szCs w:val="24"/>
        </w:rPr>
        <w:t>.</w:t>
      </w:r>
      <w:r w:rsidR="00642A15" w:rsidRPr="003C0842">
        <w:rPr>
          <w:sz w:val="24"/>
          <w:szCs w:val="24"/>
        </w:rPr>
        <w:t>poznan</w:t>
      </w:r>
      <w:r w:rsidR="006535DE" w:rsidRPr="003C0842">
        <w:rPr>
          <w:sz w:val="24"/>
          <w:szCs w:val="24"/>
        </w:rPr>
        <w:t>.pl)</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Sierpowski S., </w:t>
      </w:r>
      <w:r w:rsidRPr="003C0842">
        <w:rPr>
          <w:i/>
          <w:sz w:val="24"/>
          <w:szCs w:val="24"/>
        </w:rPr>
        <w:t>Liga Narodów w latach 1919</w:t>
      </w:r>
      <w:r w:rsidR="00B64D08">
        <w:rPr>
          <w:i/>
          <w:sz w:val="24"/>
          <w:szCs w:val="24"/>
        </w:rPr>
        <w:t>-</w:t>
      </w:r>
      <w:r w:rsidRPr="003C0842">
        <w:rPr>
          <w:i/>
          <w:sz w:val="24"/>
          <w:szCs w:val="24"/>
        </w:rPr>
        <w:t>1926,</w:t>
      </w:r>
      <w:r w:rsidRPr="003C0842">
        <w:rPr>
          <w:sz w:val="24"/>
          <w:szCs w:val="24"/>
        </w:rPr>
        <w:t xml:space="preserve"> Wrocław 2005</w:t>
      </w:r>
      <w:r w:rsidR="00931238">
        <w:rPr>
          <w:sz w:val="24"/>
          <w:szCs w:val="24"/>
        </w:rPr>
        <w:t>; (dostęp</w:t>
      </w:r>
      <w:r w:rsidR="006535DE" w:rsidRPr="003C0842">
        <w:rPr>
          <w:sz w:val="24"/>
          <w:szCs w:val="24"/>
        </w:rPr>
        <w:t xml:space="preserve">ępna w </w:t>
      </w:r>
      <w:r w:rsidR="005D3D7A">
        <w:rPr>
          <w:sz w:val="24"/>
          <w:szCs w:val="24"/>
        </w:rPr>
        <w:t>wbc</w:t>
      </w:r>
      <w:r w:rsidR="006535DE" w:rsidRPr="003C0842">
        <w:rPr>
          <w:sz w:val="24"/>
          <w:szCs w:val="24"/>
        </w:rPr>
        <w:t>.</w:t>
      </w:r>
      <w:r w:rsidR="00642A15" w:rsidRPr="003C0842">
        <w:rPr>
          <w:sz w:val="24"/>
          <w:szCs w:val="24"/>
        </w:rPr>
        <w:t>poznan</w:t>
      </w:r>
      <w:r w:rsidR="006535DE" w:rsidRPr="003C0842">
        <w:rPr>
          <w:sz w:val="24"/>
          <w:szCs w:val="24"/>
        </w:rPr>
        <w:t>.pl)</w:t>
      </w:r>
    </w:p>
    <w:p w:rsidR="00912375" w:rsidRPr="003C0842" w:rsidRDefault="00912375" w:rsidP="007106A1">
      <w:pPr>
        <w:pStyle w:val="Tekstprzypisudolnego"/>
        <w:spacing w:line="360" w:lineRule="auto"/>
        <w:ind w:left="709" w:hanging="709"/>
        <w:contextualSpacing/>
        <w:rPr>
          <w:spacing w:val="-3"/>
          <w:sz w:val="24"/>
          <w:szCs w:val="24"/>
        </w:rPr>
      </w:pPr>
      <w:r w:rsidRPr="003C0842">
        <w:rPr>
          <w:iCs/>
          <w:spacing w:val="-3"/>
          <w:sz w:val="24"/>
          <w:szCs w:val="24"/>
        </w:rPr>
        <w:t xml:space="preserve">Sierpowski S., </w:t>
      </w:r>
      <w:r w:rsidRPr="003C0842">
        <w:rPr>
          <w:i/>
          <w:iCs/>
          <w:spacing w:val="-3"/>
          <w:sz w:val="24"/>
          <w:szCs w:val="24"/>
        </w:rPr>
        <w:t>Litewskie próby utrącenia polskiej kandydatury do Rady Ligi Narodów w 1926 roku</w:t>
      </w:r>
      <w:r w:rsidRPr="002D09EB">
        <w:rPr>
          <w:iCs/>
          <w:spacing w:val="-3"/>
          <w:sz w:val="24"/>
          <w:szCs w:val="24"/>
        </w:rPr>
        <w:t>,</w:t>
      </w:r>
      <w:r w:rsidR="004D2F75" w:rsidRPr="003C0842">
        <w:rPr>
          <w:spacing w:val="-3"/>
          <w:sz w:val="24"/>
          <w:szCs w:val="24"/>
        </w:rPr>
        <w:t>[w:]</w:t>
      </w:r>
      <w:r w:rsidRPr="002D09EB">
        <w:rPr>
          <w:i/>
          <w:iCs/>
          <w:spacing w:val="-3"/>
          <w:sz w:val="24"/>
          <w:szCs w:val="24"/>
        </w:rPr>
        <w:t>Problemy narodowościowe Europy Środkowo-Wschodniej w XIX i XX wieku</w:t>
      </w:r>
      <w:r w:rsidRPr="003C0842">
        <w:rPr>
          <w:iCs/>
          <w:spacing w:val="-3"/>
          <w:sz w:val="24"/>
          <w:szCs w:val="24"/>
        </w:rPr>
        <w:t>, red.</w:t>
      </w:r>
      <w:r w:rsidRPr="003C0842">
        <w:rPr>
          <w:spacing w:val="-3"/>
          <w:sz w:val="24"/>
          <w:szCs w:val="24"/>
        </w:rPr>
        <w:t xml:space="preserve"> A. Czubiński i in., Poznań 2002</w:t>
      </w:r>
    </w:p>
    <w:p w:rsidR="00912375" w:rsidRPr="003C0842" w:rsidRDefault="00912375" w:rsidP="007106A1">
      <w:pPr>
        <w:pStyle w:val="Tekstprzypisudolnego"/>
        <w:spacing w:line="360" w:lineRule="auto"/>
        <w:ind w:left="709" w:hanging="709"/>
        <w:contextualSpacing/>
        <w:rPr>
          <w:sz w:val="24"/>
          <w:szCs w:val="24"/>
        </w:rPr>
      </w:pPr>
      <w:r w:rsidRPr="003C0842">
        <w:rPr>
          <w:iCs/>
          <w:spacing w:val="-3"/>
          <w:sz w:val="24"/>
          <w:szCs w:val="24"/>
        </w:rPr>
        <w:t xml:space="preserve">Sierpowski S., </w:t>
      </w:r>
      <w:r w:rsidRPr="003C0842">
        <w:rPr>
          <w:i/>
          <w:iCs/>
          <w:spacing w:val="-3"/>
          <w:sz w:val="24"/>
          <w:szCs w:val="24"/>
        </w:rPr>
        <w:t>Litewsko-polski „stan wojny” w świetle Paktu Ligi Narodów</w:t>
      </w:r>
      <w:r w:rsidRPr="003C0842">
        <w:rPr>
          <w:iCs/>
          <w:spacing w:val="-3"/>
          <w:sz w:val="24"/>
          <w:szCs w:val="24"/>
        </w:rPr>
        <w:t>,</w:t>
      </w:r>
      <w:r w:rsidR="004D2F75" w:rsidRPr="003C0842">
        <w:rPr>
          <w:spacing w:val="-3"/>
          <w:sz w:val="24"/>
          <w:szCs w:val="24"/>
        </w:rPr>
        <w:t>[w:]</w:t>
      </w:r>
      <w:r w:rsidRPr="002D09EB">
        <w:rPr>
          <w:i/>
          <w:iCs/>
          <w:spacing w:val="-3"/>
          <w:sz w:val="24"/>
          <w:szCs w:val="24"/>
        </w:rPr>
        <w:t>Społeczeństwo, państwo, modernizacja</w:t>
      </w:r>
      <w:r w:rsidRPr="003C0842">
        <w:rPr>
          <w:iCs/>
          <w:spacing w:val="-3"/>
          <w:sz w:val="24"/>
          <w:szCs w:val="24"/>
        </w:rPr>
        <w:t>, red.</w:t>
      </w:r>
      <w:r w:rsidRPr="003C0842">
        <w:rPr>
          <w:spacing w:val="-3"/>
          <w:sz w:val="24"/>
          <w:szCs w:val="24"/>
        </w:rPr>
        <w:t xml:space="preserve"> W. Mędrzecki, Warszawa 2002</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Sierpowski S., </w:t>
      </w:r>
      <w:r w:rsidRPr="003C0842">
        <w:rPr>
          <w:i/>
          <w:sz w:val="24"/>
          <w:szCs w:val="24"/>
        </w:rPr>
        <w:t>Litewsko-radziecki pakt o nieagresji w świetle Paktu Ligi Narodów</w:t>
      </w:r>
      <w:r w:rsidRPr="003C0842">
        <w:rPr>
          <w:sz w:val="24"/>
          <w:szCs w:val="24"/>
        </w:rPr>
        <w:t xml:space="preserve">, </w:t>
      </w:r>
      <w:r w:rsidR="004D2F75" w:rsidRPr="003C0842">
        <w:rPr>
          <w:sz w:val="24"/>
          <w:szCs w:val="24"/>
        </w:rPr>
        <w:t>[w:]</w:t>
      </w:r>
      <w:r w:rsidRPr="002D09EB">
        <w:rPr>
          <w:i/>
          <w:sz w:val="24"/>
          <w:szCs w:val="24"/>
        </w:rPr>
        <w:t>Studia historyczne nad polityką, gospodarką i kulturą</w:t>
      </w:r>
      <w:r w:rsidRPr="003C0842">
        <w:rPr>
          <w:sz w:val="24"/>
          <w:szCs w:val="24"/>
        </w:rPr>
        <w:t>, red. B. Halczak, Zielona Góra 2002</w:t>
      </w:r>
    </w:p>
    <w:p w:rsidR="00912375" w:rsidRPr="003C0842" w:rsidRDefault="002D09EB" w:rsidP="002D09EB">
      <w:pPr>
        <w:tabs>
          <w:tab w:val="left" w:pos="4598"/>
        </w:tabs>
        <w:spacing w:line="360" w:lineRule="auto"/>
        <w:ind w:left="709" w:hanging="709"/>
        <w:contextualSpacing/>
        <w:rPr>
          <w:spacing w:val="-3"/>
        </w:rPr>
      </w:pPr>
      <w:r w:rsidRPr="003C0842">
        <w:t xml:space="preserve">Sierpowski S., </w:t>
      </w:r>
      <w:r w:rsidRPr="003C0842">
        <w:rPr>
          <w:i/>
        </w:rPr>
        <w:t>Międzynarodowe znaczenie konfliktu grecko</w:t>
      </w:r>
      <w:r w:rsidRPr="003C0842">
        <w:rPr>
          <w:i/>
        </w:rPr>
        <w:noBreakHyphen/>
        <w:t>bułgarskiego w 1925 r.</w:t>
      </w:r>
      <w:r w:rsidRPr="003C0842">
        <w:t xml:space="preserve"> [w:] </w:t>
      </w:r>
      <w:r w:rsidRPr="002D09EB">
        <w:rPr>
          <w:i/>
        </w:rPr>
        <w:t>1300-lecie państwa bułgarskiego 681-1981. Materiały z sesji naukowej</w:t>
      </w:r>
      <w:r>
        <w:t xml:space="preserve">, red. T. Zdancewicz.a, </w:t>
      </w:r>
      <w:r w:rsidR="00912375" w:rsidRPr="003C0842">
        <w:t>Poznań 1983</w:t>
      </w:r>
      <w:r w:rsidR="00931238">
        <w:t>; (dostęp</w:t>
      </w:r>
      <w:r w:rsidR="006535DE" w:rsidRPr="003C0842">
        <w:t xml:space="preserve">ępna w </w:t>
      </w:r>
      <w:r w:rsidR="005D3D7A">
        <w:t>wbc</w:t>
      </w:r>
      <w:r w:rsidR="006535DE" w:rsidRPr="003C0842">
        <w:t>.</w:t>
      </w:r>
      <w:r w:rsidR="00642A15" w:rsidRPr="003C0842">
        <w:t>poznan</w:t>
      </w:r>
      <w:r w:rsidR="006535DE" w:rsidRPr="003C0842">
        <w:t>.pl)</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Sierpowski S., </w:t>
      </w:r>
      <w:r w:rsidRPr="003C0842">
        <w:rPr>
          <w:i/>
          <w:sz w:val="24"/>
          <w:szCs w:val="24"/>
        </w:rPr>
        <w:t>Między wojnami 1919</w:t>
      </w:r>
      <w:r w:rsidR="00B64D08">
        <w:rPr>
          <w:i/>
          <w:sz w:val="24"/>
          <w:szCs w:val="24"/>
        </w:rPr>
        <w:t>-</w:t>
      </w:r>
      <w:r w:rsidRPr="003C0842">
        <w:rPr>
          <w:i/>
          <w:sz w:val="24"/>
          <w:szCs w:val="24"/>
        </w:rPr>
        <w:t>1939</w:t>
      </w:r>
      <w:r w:rsidRPr="003C0842">
        <w:rPr>
          <w:sz w:val="24"/>
          <w:szCs w:val="24"/>
        </w:rPr>
        <w:t>, cz. I</w:t>
      </w:r>
      <w:r w:rsidR="00804551" w:rsidRPr="003C0842">
        <w:rPr>
          <w:sz w:val="24"/>
          <w:szCs w:val="24"/>
        </w:rPr>
        <w:t xml:space="preserve">: </w:t>
      </w:r>
      <w:r w:rsidR="00804551" w:rsidRPr="002D09EB">
        <w:rPr>
          <w:i/>
          <w:sz w:val="24"/>
          <w:szCs w:val="24"/>
        </w:rPr>
        <w:t>lata 1919-1929</w:t>
      </w:r>
      <w:r w:rsidRPr="003C0842">
        <w:rPr>
          <w:sz w:val="24"/>
          <w:szCs w:val="24"/>
        </w:rPr>
        <w:t>, Poznań 1998</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Sierpowski S., </w:t>
      </w:r>
      <w:r w:rsidRPr="003C0842">
        <w:rPr>
          <w:i/>
          <w:sz w:val="24"/>
          <w:szCs w:val="24"/>
        </w:rPr>
        <w:t>Mniejszość niemiecka na tle aktywności mniejszościowej Ligi Narodów</w:t>
      </w:r>
      <w:r w:rsidRPr="002D09EB">
        <w:rPr>
          <w:sz w:val="24"/>
          <w:szCs w:val="24"/>
        </w:rPr>
        <w:t xml:space="preserve">, </w:t>
      </w:r>
      <w:r w:rsidR="004D2F75" w:rsidRPr="003C0842">
        <w:rPr>
          <w:sz w:val="24"/>
          <w:szCs w:val="24"/>
        </w:rPr>
        <w:t>[w:]</w:t>
      </w:r>
      <w:r w:rsidRPr="002D09EB">
        <w:rPr>
          <w:i/>
          <w:sz w:val="24"/>
          <w:szCs w:val="24"/>
        </w:rPr>
        <w:t>Polska – Polacy – mniejszości narodowe</w:t>
      </w:r>
      <w:r w:rsidRPr="003C0842">
        <w:rPr>
          <w:sz w:val="24"/>
          <w:szCs w:val="24"/>
        </w:rPr>
        <w:t>, red. W. Wrzesiński, Wrocław 1992</w:t>
      </w:r>
      <w:r w:rsidR="00931238">
        <w:rPr>
          <w:sz w:val="24"/>
          <w:szCs w:val="24"/>
        </w:rPr>
        <w:t>; (dostęp</w:t>
      </w:r>
      <w:r w:rsidR="006535DE" w:rsidRPr="003C0842">
        <w:rPr>
          <w:sz w:val="24"/>
          <w:szCs w:val="24"/>
        </w:rPr>
        <w:t xml:space="preserve">ępna w </w:t>
      </w:r>
      <w:r w:rsidR="005D3D7A">
        <w:rPr>
          <w:sz w:val="24"/>
          <w:szCs w:val="24"/>
        </w:rPr>
        <w:t>wbc</w:t>
      </w:r>
      <w:r w:rsidR="006535DE" w:rsidRPr="003C0842">
        <w:rPr>
          <w:sz w:val="24"/>
          <w:szCs w:val="24"/>
        </w:rPr>
        <w:t>.</w:t>
      </w:r>
      <w:r w:rsidR="00642A15" w:rsidRPr="003C0842">
        <w:rPr>
          <w:sz w:val="24"/>
          <w:szCs w:val="24"/>
        </w:rPr>
        <w:t>poznan</w:t>
      </w:r>
      <w:r w:rsidR="006535DE" w:rsidRPr="003C0842">
        <w:rPr>
          <w:sz w:val="24"/>
          <w:szCs w:val="24"/>
        </w:rPr>
        <w:t>.pl)</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Sierpowski S., </w:t>
      </w:r>
      <w:r w:rsidRPr="003C0842">
        <w:rPr>
          <w:i/>
          <w:sz w:val="24"/>
          <w:szCs w:val="24"/>
        </w:rPr>
        <w:t>Mniejszości narodowe jako instrument polityki międzynarodowej 1919</w:t>
      </w:r>
      <w:r w:rsidR="00B64D08">
        <w:rPr>
          <w:i/>
          <w:sz w:val="24"/>
          <w:szCs w:val="24"/>
        </w:rPr>
        <w:t>-</w:t>
      </w:r>
      <w:r w:rsidRPr="003C0842">
        <w:rPr>
          <w:i/>
          <w:sz w:val="24"/>
          <w:szCs w:val="24"/>
        </w:rPr>
        <w:t>1939</w:t>
      </w:r>
      <w:r w:rsidRPr="003C0842">
        <w:rPr>
          <w:sz w:val="24"/>
          <w:szCs w:val="24"/>
        </w:rPr>
        <w:t>, Poznań 1986</w:t>
      </w:r>
      <w:r w:rsidR="00931238">
        <w:rPr>
          <w:sz w:val="24"/>
          <w:szCs w:val="24"/>
        </w:rPr>
        <w:t>; (dostęp</w:t>
      </w:r>
      <w:r w:rsidR="006535DE" w:rsidRPr="003C0842">
        <w:rPr>
          <w:sz w:val="24"/>
          <w:szCs w:val="24"/>
        </w:rPr>
        <w:t xml:space="preserve">ępna w </w:t>
      </w:r>
      <w:r w:rsidR="005D3D7A">
        <w:rPr>
          <w:sz w:val="24"/>
          <w:szCs w:val="24"/>
        </w:rPr>
        <w:t>wbc</w:t>
      </w:r>
      <w:r w:rsidR="006535DE" w:rsidRPr="003C0842">
        <w:rPr>
          <w:sz w:val="24"/>
          <w:szCs w:val="24"/>
        </w:rPr>
        <w:t>.</w:t>
      </w:r>
      <w:r w:rsidR="00642A15" w:rsidRPr="003C0842">
        <w:rPr>
          <w:sz w:val="24"/>
          <w:szCs w:val="24"/>
        </w:rPr>
        <w:t>poznan</w:t>
      </w:r>
      <w:r w:rsidR="006535DE" w:rsidRPr="003C0842">
        <w:rPr>
          <w:sz w:val="24"/>
          <w:szCs w:val="24"/>
        </w:rPr>
        <w:t>.pl)</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Sierpowski S., </w:t>
      </w:r>
      <w:r w:rsidRPr="003C0842">
        <w:rPr>
          <w:i/>
          <w:sz w:val="24"/>
          <w:szCs w:val="24"/>
        </w:rPr>
        <w:t>Narodziny Ligi Narodów</w:t>
      </w:r>
      <w:r w:rsidR="00555529" w:rsidRPr="003C0842">
        <w:rPr>
          <w:i/>
          <w:sz w:val="24"/>
          <w:szCs w:val="24"/>
        </w:rPr>
        <w:t>. Powstanie</w:t>
      </w:r>
      <w:r w:rsidRPr="003C0842">
        <w:rPr>
          <w:i/>
          <w:sz w:val="24"/>
          <w:szCs w:val="24"/>
        </w:rPr>
        <w:t>,</w:t>
      </w:r>
      <w:r w:rsidR="00555529" w:rsidRPr="003C0842">
        <w:rPr>
          <w:i/>
          <w:sz w:val="24"/>
          <w:szCs w:val="24"/>
        </w:rPr>
        <w:t xml:space="preserve"> organizacja, zasady działania,</w:t>
      </w:r>
      <w:r w:rsidRPr="003C0842">
        <w:rPr>
          <w:sz w:val="24"/>
          <w:szCs w:val="24"/>
        </w:rPr>
        <w:t>Poznań 1984</w:t>
      </w:r>
      <w:r w:rsidR="006535DE" w:rsidRPr="003C0842">
        <w:rPr>
          <w:sz w:val="24"/>
          <w:szCs w:val="24"/>
        </w:rPr>
        <w:t xml:space="preserve">; (dostępna w </w:t>
      </w:r>
      <w:r w:rsidR="005D3D7A">
        <w:rPr>
          <w:sz w:val="24"/>
          <w:szCs w:val="24"/>
        </w:rPr>
        <w:t>wbc</w:t>
      </w:r>
      <w:r w:rsidR="006535DE" w:rsidRPr="003C0842">
        <w:rPr>
          <w:sz w:val="24"/>
          <w:szCs w:val="24"/>
        </w:rPr>
        <w:t>.</w:t>
      </w:r>
      <w:r w:rsidR="00642A15" w:rsidRPr="003C0842">
        <w:rPr>
          <w:sz w:val="24"/>
          <w:szCs w:val="24"/>
        </w:rPr>
        <w:t>poznan</w:t>
      </w:r>
      <w:r w:rsidR="006535DE" w:rsidRPr="003C0842">
        <w:rPr>
          <w:sz w:val="24"/>
          <w:szCs w:val="24"/>
        </w:rPr>
        <w:t>.pl)</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Sierpowski S., </w:t>
      </w:r>
      <w:r w:rsidRPr="003C0842">
        <w:rPr>
          <w:i/>
          <w:sz w:val="24"/>
          <w:szCs w:val="24"/>
        </w:rPr>
        <w:t>Pakt londyński i jego realizacja na Konferencji Pokojowej w Paryżu w 1919 r</w:t>
      </w:r>
      <w:r w:rsidR="00804551" w:rsidRPr="003C0842">
        <w:rPr>
          <w:sz w:val="24"/>
          <w:szCs w:val="24"/>
        </w:rPr>
        <w:t xml:space="preserve">., </w:t>
      </w:r>
      <w:r w:rsidR="004D2F75" w:rsidRPr="003C0842">
        <w:rPr>
          <w:sz w:val="24"/>
          <w:szCs w:val="24"/>
        </w:rPr>
        <w:t>[w:]</w:t>
      </w:r>
      <w:r w:rsidR="00804551" w:rsidRPr="003C0842">
        <w:rPr>
          <w:sz w:val="24"/>
          <w:szCs w:val="24"/>
        </w:rPr>
        <w:t xml:space="preserve"> tegoż, </w:t>
      </w:r>
      <w:r w:rsidRPr="002D09EB">
        <w:rPr>
          <w:i/>
          <w:sz w:val="24"/>
          <w:szCs w:val="24"/>
        </w:rPr>
        <w:t>Studia z historii Włoch XX wieku</w:t>
      </w:r>
      <w:r w:rsidRPr="003C0842">
        <w:rPr>
          <w:sz w:val="24"/>
          <w:szCs w:val="24"/>
        </w:rPr>
        <w:t>, Poznań 2012</w:t>
      </w:r>
      <w:r w:rsidR="006535DE" w:rsidRPr="003C0842">
        <w:rPr>
          <w:sz w:val="24"/>
          <w:szCs w:val="24"/>
        </w:rPr>
        <w:t xml:space="preserve">; (dostępna w </w:t>
      </w:r>
      <w:r w:rsidR="005D3D7A">
        <w:rPr>
          <w:sz w:val="24"/>
          <w:szCs w:val="24"/>
        </w:rPr>
        <w:t>wbc</w:t>
      </w:r>
      <w:r w:rsidR="006535DE" w:rsidRPr="003C0842">
        <w:rPr>
          <w:sz w:val="24"/>
          <w:szCs w:val="24"/>
        </w:rPr>
        <w:t>.</w:t>
      </w:r>
      <w:r w:rsidR="00642A15" w:rsidRPr="003C0842">
        <w:rPr>
          <w:sz w:val="24"/>
          <w:szCs w:val="24"/>
        </w:rPr>
        <w:t>poznan</w:t>
      </w:r>
      <w:r w:rsidR="006535DE" w:rsidRPr="003C0842">
        <w:rPr>
          <w:sz w:val="24"/>
          <w:szCs w:val="24"/>
        </w:rPr>
        <w:t>.pl)</w:t>
      </w:r>
    </w:p>
    <w:p w:rsidR="00687EA5" w:rsidRPr="003C0842" w:rsidRDefault="00687EA5" w:rsidP="007106A1">
      <w:pPr>
        <w:pStyle w:val="Tekstprzypisudolnego"/>
        <w:spacing w:line="360" w:lineRule="auto"/>
        <w:ind w:left="709" w:hanging="709"/>
        <w:contextualSpacing/>
        <w:rPr>
          <w:sz w:val="24"/>
          <w:szCs w:val="24"/>
        </w:rPr>
      </w:pPr>
      <w:r w:rsidRPr="003C0842">
        <w:rPr>
          <w:sz w:val="24"/>
          <w:szCs w:val="24"/>
        </w:rPr>
        <w:t xml:space="preserve">Sierpowski S., </w:t>
      </w:r>
      <w:r w:rsidRPr="003C0842">
        <w:rPr>
          <w:i/>
          <w:sz w:val="24"/>
          <w:szCs w:val="24"/>
        </w:rPr>
        <w:t>Piłsudski w Genewie. Dyplomatyczne spory o Wilno w roku 1927</w:t>
      </w:r>
      <w:r w:rsidRPr="003C0842">
        <w:rPr>
          <w:sz w:val="24"/>
          <w:szCs w:val="24"/>
        </w:rPr>
        <w:t>, Poznań 1990</w:t>
      </w:r>
      <w:r w:rsidR="006535DE" w:rsidRPr="003C0842">
        <w:rPr>
          <w:sz w:val="24"/>
          <w:szCs w:val="24"/>
        </w:rPr>
        <w:t xml:space="preserve">; (dostępna w </w:t>
      </w:r>
      <w:r w:rsidR="005D3D7A">
        <w:rPr>
          <w:sz w:val="24"/>
          <w:szCs w:val="24"/>
        </w:rPr>
        <w:t>wbc</w:t>
      </w:r>
      <w:r w:rsidR="006535DE" w:rsidRPr="003C0842">
        <w:rPr>
          <w:sz w:val="24"/>
          <w:szCs w:val="24"/>
        </w:rPr>
        <w:t>.</w:t>
      </w:r>
      <w:r w:rsidR="00642A15" w:rsidRPr="003C0842">
        <w:rPr>
          <w:sz w:val="24"/>
          <w:szCs w:val="24"/>
        </w:rPr>
        <w:t>poznan</w:t>
      </w:r>
      <w:r w:rsidR="006535DE" w:rsidRPr="003C0842">
        <w:rPr>
          <w:sz w:val="24"/>
          <w:szCs w:val="24"/>
        </w:rPr>
        <w:t>.pl)</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lastRenderedPageBreak/>
        <w:t xml:space="preserve">Sierpowski S., </w:t>
      </w:r>
      <w:r w:rsidRPr="003C0842">
        <w:rPr>
          <w:i/>
          <w:sz w:val="24"/>
          <w:szCs w:val="24"/>
        </w:rPr>
        <w:t>Polskie plany moralnego rozbrojenia w okresie międzywojennym,</w:t>
      </w:r>
      <w:r w:rsidR="004D2F75" w:rsidRPr="003C0842">
        <w:rPr>
          <w:sz w:val="24"/>
          <w:szCs w:val="24"/>
        </w:rPr>
        <w:t>[w:]</w:t>
      </w:r>
      <w:r w:rsidRPr="003C0842">
        <w:rPr>
          <w:sz w:val="24"/>
          <w:szCs w:val="24"/>
        </w:rPr>
        <w:t xml:space="preserve"> Studia z dziejów najnowszych. Acta Universitatis Vratislaviensis. Nauki Polityczne, nr 1023, Wrocław 1989</w:t>
      </w:r>
      <w:r w:rsidR="006535DE" w:rsidRPr="003C0842">
        <w:rPr>
          <w:sz w:val="24"/>
          <w:szCs w:val="24"/>
        </w:rPr>
        <w:t xml:space="preserve">; (dostępna w </w:t>
      </w:r>
      <w:r w:rsidR="005D3D7A">
        <w:rPr>
          <w:sz w:val="24"/>
          <w:szCs w:val="24"/>
        </w:rPr>
        <w:t>wbc</w:t>
      </w:r>
      <w:r w:rsidR="006535DE" w:rsidRPr="003C0842">
        <w:rPr>
          <w:sz w:val="24"/>
          <w:szCs w:val="24"/>
        </w:rPr>
        <w:t>.</w:t>
      </w:r>
      <w:r w:rsidR="00642A15" w:rsidRPr="003C0842">
        <w:rPr>
          <w:sz w:val="24"/>
          <w:szCs w:val="24"/>
        </w:rPr>
        <w:t>poznan</w:t>
      </w:r>
      <w:r w:rsidR="006535DE" w:rsidRPr="003C0842">
        <w:rPr>
          <w:sz w:val="24"/>
          <w:szCs w:val="24"/>
        </w:rPr>
        <w:t>.pl)</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Sierpowski S., </w:t>
      </w:r>
      <w:r w:rsidRPr="003C0842">
        <w:rPr>
          <w:i/>
          <w:sz w:val="24"/>
          <w:szCs w:val="24"/>
        </w:rPr>
        <w:t xml:space="preserve">Polsko-niemieckie spory na forum kongresów mniejszościowych </w:t>
      </w:r>
      <w:r w:rsidR="00F0463B" w:rsidRPr="003C0842">
        <w:rPr>
          <w:sz w:val="24"/>
          <w:szCs w:val="24"/>
        </w:rPr>
        <w:t>(</w:t>
      </w:r>
      <w:r w:rsidRPr="003C0842">
        <w:rPr>
          <w:i/>
          <w:sz w:val="24"/>
          <w:szCs w:val="24"/>
        </w:rPr>
        <w:t>1925</w:t>
      </w:r>
      <w:r w:rsidR="00B64D08">
        <w:rPr>
          <w:i/>
          <w:sz w:val="24"/>
          <w:szCs w:val="24"/>
        </w:rPr>
        <w:t>-</w:t>
      </w:r>
      <w:r w:rsidRPr="003C0842">
        <w:rPr>
          <w:i/>
          <w:sz w:val="24"/>
          <w:szCs w:val="24"/>
        </w:rPr>
        <w:t>1927</w:t>
      </w:r>
      <w:r w:rsidR="00F0463B" w:rsidRPr="003C0842">
        <w:rPr>
          <w:sz w:val="24"/>
          <w:szCs w:val="24"/>
        </w:rPr>
        <w:t>)</w:t>
      </w:r>
      <w:r w:rsidRPr="003C0842">
        <w:rPr>
          <w:sz w:val="24"/>
          <w:szCs w:val="24"/>
        </w:rPr>
        <w:t xml:space="preserve">, </w:t>
      </w:r>
      <w:r w:rsidR="004D2F75" w:rsidRPr="003C0842">
        <w:rPr>
          <w:sz w:val="24"/>
          <w:szCs w:val="24"/>
        </w:rPr>
        <w:t>[w:]</w:t>
      </w:r>
      <w:r w:rsidRPr="002D09EB">
        <w:rPr>
          <w:i/>
          <w:sz w:val="24"/>
          <w:szCs w:val="24"/>
        </w:rPr>
        <w:t>Polacy i Niemcy. Dziesięć wieków sąsiedztwa</w:t>
      </w:r>
      <w:r w:rsidRPr="003C0842">
        <w:rPr>
          <w:sz w:val="24"/>
          <w:szCs w:val="24"/>
        </w:rPr>
        <w:t>, red. A. Czubiński, Warszawa 1987</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Sierpowski S., </w:t>
      </w:r>
      <w:r w:rsidRPr="003C0842">
        <w:rPr>
          <w:i/>
          <w:sz w:val="24"/>
          <w:szCs w:val="24"/>
        </w:rPr>
        <w:t>Problem kolonialny w marszu Niemiec do Ligi Narodów</w:t>
      </w:r>
      <w:r w:rsidRPr="003C0842">
        <w:rPr>
          <w:sz w:val="24"/>
          <w:szCs w:val="24"/>
        </w:rPr>
        <w:t xml:space="preserve">, </w:t>
      </w:r>
      <w:r w:rsidR="004D2F75" w:rsidRPr="003C0842">
        <w:rPr>
          <w:sz w:val="24"/>
          <w:szCs w:val="24"/>
        </w:rPr>
        <w:t>[w:]</w:t>
      </w:r>
      <w:r w:rsidRPr="003C0842">
        <w:rPr>
          <w:sz w:val="24"/>
          <w:szCs w:val="24"/>
        </w:rPr>
        <w:t xml:space="preserve"> W kręgu idei, polityki i wojska, red. T. Sikorski, H. Walczak</w:t>
      </w:r>
      <w:r w:rsidR="002D09EB">
        <w:rPr>
          <w:sz w:val="24"/>
          <w:szCs w:val="24"/>
        </w:rPr>
        <w:t>,</w:t>
      </w:r>
      <w:r w:rsidRPr="003C0842">
        <w:rPr>
          <w:sz w:val="24"/>
          <w:szCs w:val="24"/>
        </w:rPr>
        <w:t xml:space="preserve"> A. Wątor, Szczecin 2009</w:t>
      </w:r>
    </w:p>
    <w:p w:rsidR="00CD0E11" w:rsidRPr="003C0842" w:rsidRDefault="00CD0E11" w:rsidP="007106A1">
      <w:pPr>
        <w:pStyle w:val="Tekstprzypisudolnego"/>
        <w:spacing w:line="360" w:lineRule="auto"/>
        <w:ind w:left="709" w:hanging="709"/>
        <w:contextualSpacing/>
        <w:rPr>
          <w:sz w:val="24"/>
          <w:szCs w:val="24"/>
        </w:rPr>
      </w:pPr>
      <w:r w:rsidRPr="003C0842">
        <w:rPr>
          <w:sz w:val="24"/>
          <w:szCs w:val="24"/>
        </w:rPr>
        <w:t xml:space="preserve">Sierpowski S., </w:t>
      </w:r>
      <w:r w:rsidRPr="003C0842">
        <w:rPr>
          <w:i/>
          <w:sz w:val="24"/>
          <w:szCs w:val="24"/>
        </w:rPr>
        <w:t>Próby wyzyskania procedury mniejszościowej Ligi Narodów w realizacji polityki Rzeszy Niemieckiej na Bałkanach</w:t>
      </w:r>
      <w:r w:rsidRPr="003C0842">
        <w:rPr>
          <w:sz w:val="24"/>
          <w:szCs w:val="24"/>
        </w:rPr>
        <w:t>,</w:t>
      </w:r>
      <w:r w:rsidR="004D2F75" w:rsidRPr="003C0842">
        <w:rPr>
          <w:sz w:val="24"/>
          <w:szCs w:val="24"/>
        </w:rPr>
        <w:t>[w:]</w:t>
      </w:r>
      <w:r w:rsidRPr="002D09EB">
        <w:rPr>
          <w:i/>
          <w:sz w:val="24"/>
          <w:szCs w:val="24"/>
        </w:rPr>
        <w:t>Państwa bałkańskie w polityce imperializmu niemieckiego w latach 1871</w:t>
      </w:r>
      <w:r w:rsidRPr="002D09EB">
        <w:rPr>
          <w:i/>
          <w:sz w:val="24"/>
          <w:szCs w:val="24"/>
        </w:rPr>
        <w:noBreakHyphen/>
        <w:t>1945</w:t>
      </w:r>
      <w:r w:rsidRPr="003C0842">
        <w:rPr>
          <w:sz w:val="24"/>
          <w:szCs w:val="24"/>
        </w:rPr>
        <w:t>, red. A. Czubiński, Poznań 1982</w:t>
      </w:r>
      <w:r w:rsidR="006535DE" w:rsidRPr="003C0842">
        <w:rPr>
          <w:sz w:val="24"/>
          <w:szCs w:val="24"/>
        </w:rPr>
        <w:t xml:space="preserve">; (dostępna w </w:t>
      </w:r>
      <w:r w:rsidR="005D3D7A">
        <w:rPr>
          <w:sz w:val="24"/>
          <w:szCs w:val="24"/>
        </w:rPr>
        <w:t>wbc</w:t>
      </w:r>
      <w:r w:rsidR="006535DE" w:rsidRPr="003C0842">
        <w:rPr>
          <w:sz w:val="24"/>
          <w:szCs w:val="24"/>
        </w:rPr>
        <w:t>.</w:t>
      </w:r>
      <w:r w:rsidR="00642A15" w:rsidRPr="003C0842">
        <w:rPr>
          <w:sz w:val="24"/>
          <w:szCs w:val="24"/>
        </w:rPr>
        <w:t>poznan</w:t>
      </w:r>
      <w:r w:rsidR="006535DE" w:rsidRPr="003C0842">
        <w:rPr>
          <w:sz w:val="24"/>
          <w:szCs w:val="24"/>
        </w:rPr>
        <w:t>.pl)</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Sierpowski S., </w:t>
      </w:r>
      <w:r w:rsidRPr="003C0842">
        <w:rPr>
          <w:i/>
          <w:sz w:val="24"/>
          <w:szCs w:val="24"/>
        </w:rPr>
        <w:t>Przystąpienie ZSRR do prac rozbrojeniowych Ligi Narodów 1925</w:t>
      </w:r>
      <w:r w:rsidR="00B64D08">
        <w:rPr>
          <w:i/>
          <w:sz w:val="24"/>
          <w:szCs w:val="24"/>
        </w:rPr>
        <w:t>-</w:t>
      </w:r>
      <w:r w:rsidRPr="003C0842">
        <w:rPr>
          <w:i/>
          <w:sz w:val="24"/>
          <w:szCs w:val="24"/>
        </w:rPr>
        <w:t>1927</w:t>
      </w:r>
      <w:r w:rsidRPr="003C0842">
        <w:rPr>
          <w:sz w:val="24"/>
          <w:szCs w:val="24"/>
        </w:rPr>
        <w:t xml:space="preserve">, </w:t>
      </w:r>
      <w:r w:rsidR="004D2F75" w:rsidRPr="003C0842">
        <w:rPr>
          <w:sz w:val="24"/>
          <w:szCs w:val="24"/>
        </w:rPr>
        <w:t>[w:]</w:t>
      </w:r>
      <w:r w:rsidRPr="002D09EB">
        <w:rPr>
          <w:i/>
          <w:sz w:val="24"/>
          <w:szCs w:val="24"/>
        </w:rPr>
        <w:t>Dawna a nowa Rosja</w:t>
      </w:r>
      <w:r w:rsidRPr="003C0842">
        <w:rPr>
          <w:sz w:val="24"/>
          <w:szCs w:val="24"/>
        </w:rPr>
        <w:t>, red. R. Jurkowski, N. Kasperek, Warszawa 2002</w:t>
      </w:r>
    </w:p>
    <w:p w:rsidR="002E3E08" w:rsidRPr="003C0842" w:rsidRDefault="002E3E08" w:rsidP="00031821">
      <w:pPr>
        <w:spacing w:line="360" w:lineRule="auto"/>
        <w:ind w:left="708" w:hanging="708"/>
        <w:rPr>
          <w:i/>
        </w:rPr>
      </w:pPr>
      <w:r w:rsidRPr="003C0842">
        <w:t xml:space="preserve">Sierpowski S., </w:t>
      </w:r>
      <w:r w:rsidRPr="003C0842">
        <w:rPr>
          <w:i/>
        </w:rPr>
        <w:t>Tajne spotkania członków Rady Ligi Narodów w świetle dokumentacjiArchivès de la Société des Nations w Genewie</w:t>
      </w:r>
      <w:r w:rsidR="00031821" w:rsidRPr="003C0842">
        <w:t>, Repozytorium Uniwersytetu im. Adama Mickiewicza</w:t>
      </w:r>
      <w:r w:rsidR="002D09EB">
        <w:t xml:space="preserve"> w Poznaniu</w:t>
      </w:r>
      <w:r w:rsidR="00031821" w:rsidRPr="003C0842">
        <w:t xml:space="preserve"> (AMUR)</w:t>
      </w:r>
    </w:p>
    <w:p w:rsidR="00912375" w:rsidRPr="003C0842" w:rsidRDefault="00912375" w:rsidP="00031821">
      <w:pPr>
        <w:pStyle w:val="Tekstprzypisudolnego"/>
        <w:spacing w:line="360" w:lineRule="auto"/>
        <w:ind w:left="708" w:hanging="708"/>
        <w:contextualSpacing/>
        <w:rPr>
          <w:sz w:val="24"/>
          <w:szCs w:val="24"/>
        </w:rPr>
      </w:pPr>
      <w:r w:rsidRPr="003C0842">
        <w:rPr>
          <w:sz w:val="24"/>
          <w:szCs w:val="24"/>
        </w:rPr>
        <w:t xml:space="preserve">Sierpowski S., </w:t>
      </w:r>
      <w:r w:rsidRPr="003C0842">
        <w:rPr>
          <w:i/>
          <w:sz w:val="24"/>
          <w:szCs w:val="24"/>
        </w:rPr>
        <w:t>Wejście Niemiec do Ligi Narodów</w:t>
      </w:r>
      <w:r w:rsidR="00031821" w:rsidRPr="003C0842">
        <w:rPr>
          <w:sz w:val="24"/>
          <w:szCs w:val="24"/>
        </w:rPr>
        <w:t xml:space="preserve">, </w:t>
      </w:r>
      <w:r w:rsidR="004D2F75" w:rsidRPr="003C0842">
        <w:rPr>
          <w:sz w:val="24"/>
          <w:szCs w:val="24"/>
        </w:rPr>
        <w:t>[w:]</w:t>
      </w:r>
      <w:r w:rsidR="00031821" w:rsidRPr="002D09EB">
        <w:rPr>
          <w:i/>
          <w:sz w:val="24"/>
          <w:szCs w:val="24"/>
        </w:rPr>
        <w:t xml:space="preserve">Studia z najnowszej </w:t>
      </w:r>
      <w:r w:rsidRPr="002D09EB">
        <w:rPr>
          <w:i/>
          <w:sz w:val="24"/>
          <w:szCs w:val="24"/>
        </w:rPr>
        <w:t>historii Niemiec i stosunków polsko</w:t>
      </w:r>
      <w:r w:rsidRPr="002D09EB">
        <w:rPr>
          <w:i/>
          <w:sz w:val="24"/>
          <w:szCs w:val="24"/>
        </w:rPr>
        <w:noBreakHyphen/>
        <w:t>niemieckich</w:t>
      </w:r>
      <w:r w:rsidRPr="003C0842">
        <w:rPr>
          <w:sz w:val="24"/>
          <w:szCs w:val="24"/>
        </w:rPr>
        <w:t>, red. S. Sierpowski, Poznań 1986</w:t>
      </w:r>
      <w:r w:rsidR="006535DE" w:rsidRPr="003C0842">
        <w:rPr>
          <w:sz w:val="24"/>
          <w:szCs w:val="24"/>
        </w:rPr>
        <w:t xml:space="preserve">; (dostępna w </w:t>
      </w:r>
      <w:r w:rsidR="005D3D7A">
        <w:rPr>
          <w:sz w:val="24"/>
          <w:szCs w:val="24"/>
        </w:rPr>
        <w:t>wbc</w:t>
      </w:r>
      <w:r w:rsidR="006535DE" w:rsidRPr="003C0842">
        <w:rPr>
          <w:sz w:val="24"/>
          <w:szCs w:val="24"/>
        </w:rPr>
        <w:t>.</w:t>
      </w:r>
      <w:r w:rsidR="00642A15" w:rsidRPr="003C0842">
        <w:rPr>
          <w:sz w:val="24"/>
          <w:szCs w:val="24"/>
        </w:rPr>
        <w:t>poznan</w:t>
      </w:r>
      <w:r w:rsidR="006535DE" w:rsidRPr="003C0842">
        <w:rPr>
          <w:sz w:val="24"/>
          <w:szCs w:val="24"/>
        </w:rPr>
        <w:t>.pl)</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Sierpowski S., </w:t>
      </w:r>
      <w:r w:rsidRPr="003C0842">
        <w:rPr>
          <w:i/>
          <w:sz w:val="24"/>
          <w:szCs w:val="24"/>
        </w:rPr>
        <w:t xml:space="preserve">Założone i realizowane zadania Sekretariatu Ligi Narodów </w:t>
      </w:r>
      <w:r w:rsidRPr="003C0842">
        <w:rPr>
          <w:i/>
          <w:spacing w:val="-3"/>
          <w:sz w:val="24"/>
          <w:szCs w:val="24"/>
        </w:rPr>
        <w:t>w latach 1919-1933</w:t>
      </w:r>
      <w:r w:rsidRPr="002D09EB">
        <w:rPr>
          <w:spacing w:val="-3"/>
          <w:sz w:val="24"/>
          <w:szCs w:val="24"/>
        </w:rPr>
        <w:t>,</w:t>
      </w:r>
      <w:r w:rsidR="004D2F75" w:rsidRPr="003C0842">
        <w:rPr>
          <w:spacing w:val="-3"/>
          <w:sz w:val="24"/>
          <w:szCs w:val="24"/>
        </w:rPr>
        <w:t>[w:]</w:t>
      </w:r>
      <w:r w:rsidRPr="002D09EB">
        <w:rPr>
          <w:i/>
          <w:spacing w:val="-3"/>
          <w:sz w:val="24"/>
          <w:szCs w:val="24"/>
        </w:rPr>
        <w:t>W kręgu polityki, dyplomacji i historii XX wieku</w:t>
      </w:r>
      <w:r w:rsidRPr="003C0842">
        <w:rPr>
          <w:spacing w:val="-3"/>
          <w:sz w:val="24"/>
          <w:szCs w:val="24"/>
        </w:rPr>
        <w:t>, red. B. Rakowski i A. Skrzypek, Łódź 2000</w:t>
      </w:r>
      <w:r w:rsidR="006535DE" w:rsidRPr="003C0842">
        <w:rPr>
          <w:sz w:val="24"/>
          <w:szCs w:val="24"/>
        </w:rPr>
        <w:t xml:space="preserve">; (dostępna w </w:t>
      </w:r>
      <w:r w:rsidR="005D3D7A">
        <w:rPr>
          <w:sz w:val="24"/>
          <w:szCs w:val="24"/>
        </w:rPr>
        <w:t>wbc</w:t>
      </w:r>
      <w:r w:rsidR="006535DE" w:rsidRPr="003C0842">
        <w:rPr>
          <w:sz w:val="24"/>
          <w:szCs w:val="24"/>
        </w:rPr>
        <w:t>.</w:t>
      </w:r>
      <w:r w:rsidR="00642A15" w:rsidRPr="003C0842">
        <w:rPr>
          <w:sz w:val="24"/>
          <w:szCs w:val="24"/>
        </w:rPr>
        <w:t>poznan</w:t>
      </w:r>
      <w:r w:rsidR="006535DE" w:rsidRPr="003C0842">
        <w:rPr>
          <w:sz w:val="24"/>
          <w:szCs w:val="24"/>
        </w:rPr>
        <w:t>.pl)</w:t>
      </w:r>
    </w:p>
    <w:p w:rsidR="00912375" w:rsidRPr="003C0842" w:rsidRDefault="00912375" w:rsidP="007106A1">
      <w:pPr>
        <w:pStyle w:val="Tekstprzypisudolnego"/>
        <w:spacing w:line="360" w:lineRule="auto"/>
        <w:ind w:left="709" w:hanging="709"/>
        <w:contextualSpacing/>
        <w:rPr>
          <w:sz w:val="24"/>
          <w:szCs w:val="24"/>
          <w:lang w:val="fr-FR"/>
        </w:rPr>
      </w:pPr>
      <w:r w:rsidRPr="003C0842">
        <w:rPr>
          <w:sz w:val="24"/>
          <w:szCs w:val="24"/>
          <w:lang w:val="fr-FR"/>
        </w:rPr>
        <w:t xml:space="preserve">Siotis J., </w:t>
      </w:r>
      <w:r w:rsidRPr="003C0842">
        <w:rPr>
          <w:i/>
          <w:sz w:val="24"/>
          <w:szCs w:val="24"/>
          <w:lang w:val="fr-FR"/>
        </w:rPr>
        <w:t>Essei sur le secrétariat international</w:t>
      </w:r>
      <w:r w:rsidRPr="003C0842">
        <w:rPr>
          <w:sz w:val="24"/>
          <w:szCs w:val="24"/>
          <w:lang w:val="fr-FR"/>
        </w:rPr>
        <w:t>, Genève 1963</w:t>
      </w:r>
    </w:p>
    <w:p w:rsidR="00912375" w:rsidRPr="003C0842" w:rsidRDefault="00912375" w:rsidP="007106A1">
      <w:pPr>
        <w:pStyle w:val="Tekstprzypisudolnego"/>
        <w:spacing w:line="360" w:lineRule="auto"/>
        <w:ind w:left="709" w:hanging="709"/>
        <w:contextualSpacing/>
        <w:rPr>
          <w:sz w:val="24"/>
          <w:szCs w:val="24"/>
          <w:lang w:val="fr-FR"/>
        </w:rPr>
      </w:pPr>
      <w:r w:rsidRPr="003C0842">
        <w:rPr>
          <w:sz w:val="24"/>
          <w:szCs w:val="24"/>
          <w:lang w:val="fr-FR"/>
        </w:rPr>
        <w:t xml:space="preserve">Sivori J.B., </w:t>
      </w:r>
      <w:r w:rsidRPr="003C0842">
        <w:rPr>
          <w:i/>
          <w:sz w:val="24"/>
          <w:szCs w:val="24"/>
          <w:lang w:val="fr-FR"/>
        </w:rPr>
        <w:t>La Liga de las Naciones su origin y la obra realisada en la Republica Argentina</w:t>
      </w:r>
      <w:r w:rsidRPr="003C0842">
        <w:rPr>
          <w:sz w:val="24"/>
          <w:szCs w:val="24"/>
          <w:lang w:val="fr-FR"/>
        </w:rPr>
        <w:t>, Buenos Aires 1928</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Skrzypek A., </w:t>
      </w:r>
      <w:r w:rsidRPr="003C0842">
        <w:rPr>
          <w:i/>
          <w:sz w:val="24"/>
          <w:szCs w:val="24"/>
        </w:rPr>
        <w:t>Niemcy w polityce ZSRR</w:t>
      </w:r>
      <w:r w:rsidRPr="003C0842">
        <w:rPr>
          <w:sz w:val="24"/>
          <w:szCs w:val="24"/>
        </w:rPr>
        <w:t xml:space="preserve">, </w:t>
      </w:r>
      <w:r w:rsidR="004D2F75" w:rsidRPr="003C0842">
        <w:rPr>
          <w:sz w:val="24"/>
          <w:szCs w:val="24"/>
        </w:rPr>
        <w:t>[w:]</w:t>
      </w:r>
      <w:r w:rsidRPr="002D09EB">
        <w:rPr>
          <w:i/>
          <w:sz w:val="24"/>
          <w:szCs w:val="24"/>
        </w:rPr>
        <w:t>Niemcy w polityce międzynarodowej</w:t>
      </w:r>
      <w:r w:rsidR="002D09EB">
        <w:rPr>
          <w:sz w:val="24"/>
          <w:szCs w:val="24"/>
        </w:rPr>
        <w:t>,t</w:t>
      </w:r>
      <w:r w:rsidRPr="003C0842">
        <w:rPr>
          <w:sz w:val="24"/>
          <w:szCs w:val="24"/>
        </w:rPr>
        <w:t>.I</w:t>
      </w:r>
      <w:r w:rsidR="002D09EB">
        <w:rPr>
          <w:sz w:val="24"/>
          <w:szCs w:val="24"/>
        </w:rPr>
        <w:t>:</w:t>
      </w:r>
      <w:r w:rsidRPr="002D09EB">
        <w:rPr>
          <w:i/>
          <w:sz w:val="24"/>
          <w:szCs w:val="24"/>
        </w:rPr>
        <w:t>Era Stresemanna</w:t>
      </w:r>
      <w:r w:rsidRPr="003C0842">
        <w:rPr>
          <w:sz w:val="24"/>
          <w:szCs w:val="24"/>
        </w:rPr>
        <w:t>, red. S. Sierpowski, Poznań 1990</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Skrzypek A., </w:t>
      </w:r>
      <w:r w:rsidRPr="003C0842">
        <w:rPr>
          <w:i/>
          <w:sz w:val="24"/>
          <w:szCs w:val="24"/>
        </w:rPr>
        <w:t>Nie spełniony sojusz? Stosunki sowiecko-niemieckie 1917</w:t>
      </w:r>
      <w:r w:rsidR="00B64D08">
        <w:rPr>
          <w:i/>
          <w:sz w:val="24"/>
          <w:szCs w:val="24"/>
        </w:rPr>
        <w:t>-</w:t>
      </w:r>
      <w:r w:rsidRPr="003C0842">
        <w:rPr>
          <w:i/>
          <w:sz w:val="24"/>
          <w:szCs w:val="24"/>
        </w:rPr>
        <w:t>1941</w:t>
      </w:r>
      <w:r w:rsidRPr="003C0842">
        <w:rPr>
          <w:sz w:val="24"/>
          <w:szCs w:val="24"/>
        </w:rPr>
        <w:t>, Warszawa 1992</w:t>
      </w:r>
    </w:p>
    <w:p w:rsidR="00912375" w:rsidRPr="003C0842" w:rsidRDefault="00912375" w:rsidP="007106A1">
      <w:pPr>
        <w:pStyle w:val="Tekstprzypisudolnego"/>
        <w:spacing w:line="360" w:lineRule="auto"/>
        <w:ind w:left="709" w:hanging="709"/>
        <w:contextualSpacing/>
        <w:rPr>
          <w:sz w:val="24"/>
          <w:szCs w:val="24"/>
          <w:lang w:val="de-DE"/>
        </w:rPr>
      </w:pPr>
      <w:r w:rsidRPr="003C0842">
        <w:rPr>
          <w:sz w:val="24"/>
          <w:szCs w:val="24"/>
          <w:lang w:val="de-DE"/>
        </w:rPr>
        <w:t xml:space="preserve">Spenz J., </w:t>
      </w:r>
      <w:r w:rsidRPr="003C0842">
        <w:rPr>
          <w:i/>
          <w:sz w:val="24"/>
          <w:szCs w:val="24"/>
          <w:lang w:val="de-DE"/>
        </w:rPr>
        <w:t>Die DiplomatischeVorgeschichte des Beitritts Deutschlands zum Völkerbund 1924-1926</w:t>
      </w:r>
      <w:r w:rsidRPr="003C0842">
        <w:rPr>
          <w:sz w:val="24"/>
          <w:szCs w:val="24"/>
          <w:lang w:val="de-DE"/>
        </w:rPr>
        <w:t>, Göttingen 1966</w:t>
      </w:r>
    </w:p>
    <w:p w:rsidR="00912375" w:rsidRPr="003C0842" w:rsidRDefault="00912375" w:rsidP="007106A1">
      <w:pPr>
        <w:pStyle w:val="Tekstprzypisudolnego"/>
        <w:spacing w:line="360" w:lineRule="auto"/>
        <w:ind w:left="709" w:hanging="709"/>
        <w:contextualSpacing/>
        <w:rPr>
          <w:sz w:val="24"/>
          <w:szCs w:val="24"/>
          <w:lang w:val="en-US"/>
        </w:rPr>
      </w:pPr>
      <w:r w:rsidRPr="003C0842">
        <w:rPr>
          <w:sz w:val="24"/>
          <w:szCs w:val="24"/>
          <w:lang w:val="en-US"/>
        </w:rPr>
        <w:t xml:space="preserve">Steiner Z., </w:t>
      </w:r>
      <w:r w:rsidRPr="003C0842">
        <w:rPr>
          <w:i/>
          <w:sz w:val="24"/>
          <w:szCs w:val="24"/>
          <w:lang w:val="en-US"/>
        </w:rPr>
        <w:t>The Lights That Failed. European International History 1919</w:t>
      </w:r>
      <w:r w:rsidR="00B64D08">
        <w:rPr>
          <w:i/>
          <w:sz w:val="24"/>
          <w:szCs w:val="24"/>
          <w:lang w:val="en-US"/>
        </w:rPr>
        <w:t>-</w:t>
      </w:r>
      <w:r w:rsidRPr="003C0842">
        <w:rPr>
          <w:i/>
          <w:sz w:val="24"/>
          <w:szCs w:val="24"/>
          <w:lang w:val="en-US"/>
        </w:rPr>
        <w:t>1933</w:t>
      </w:r>
      <w:r w:rsidR="00555529" w:rsidRPr="003C0842">
        <w:rPr>
          <w:sz w:val="24"/>
          <w:szCs w:val="24"/>
          <w:lang w:val="en-US"/>
        </w:rPr>
        <w:t>,</w:t>
      </w:r>
      <w:r w:rsidRPr="003C0842">
        <w:rPr>
          <w:sz w:val="24"/>
          <w:szCs w:val="24"/>
          <w:lang w:val="en-US"/>
        </w:rPr>
        <w:t xml:space="preserve"> Oxford University Press 2006</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lastRenderedPageBreak/>
        <w:t xml:space="preserve">Stemplowski R., </w:t>
      </w:r>
      <w:r w:rsidRPr="003C0842">
        <w:rPr>
          <w:i/>
          <w:sz w:val="24"/>
          <w:szCs w:val="24"/>
        </w:rPr>
        <w:t>Zależność i wyzwanie. Argentyna wobec rywalizacji mocarstw anglosaskich i III Rzeszy</w:t>
      </w:r>
      <w:r w:rsidRPr="000A24E0">
        <w:rPr>
          <w:sz w:val="24"/>
          <w:szCs w:val="24"/>
        </w:rPr>
        <w:t xml:space="preserve">, </w:t>
      </w:r>
      <w:r w:rsidRPr="003C0842">
        <w:rPr>
          <w:sz w:val="24"/>
          <w:szCs w:val="24"/>
        </w:rPr>
        <w:t>Warszawa 1975</w:t>
      </w:r>
    </w:p>
    <w:p w:rsidR="00912375" w:rsidRPr="003C0842" w:rsidRDefault="00912375" w:rsidP="007106A1">
      <w:pPr>
        <w:pStyle w:val="Tekstprzypisudolnego"/>
        <w:spacing w:line="360" w:lineRule="auto"/>
        <w:ind w:left="709" w:hanging="709"/>
        <w:contextualSpacing/>
        <w:rPr>
          <w:sz w:val="24"/>
          <w:szCs w:val="24"/>
          <w:lang w:val="it-IT"/>
        </w:rPr>
      </w:pPr>
      <w:r w:rsidRPr="003C0842">
        <w:rPr>
          <w:sz w:val="24"/>
          <w:szCs w:val="24"/>
        </w:rPr>
        <w:t xml:space="preserve">Śladkowski W., </w:t>
      </w:r>
      <w:r w:rsidRPr="003C0842">
        <w:rPr>
          <w:i/>
          <w:sz w:val="24"/>
          <w:szCs w:val="24"/>
        </w:rPr>
        <w:t>Marszałka Focha koncepcja pokoju z Niemcami</w:t>
      </w:r>
      <w:r w:rsidRPr="000A24E0">
        <w:rPr>
          <w:sz w:val="24"/>
          <w:szCs w:val="24"/>
        </w:rPr>
        <w:t>,</w:t>
      </w:r>
      <w:r w:rsidR="004D2F75" w:rsidRPr="003C0842">
        <w:rPr>
          <w:sz w:val="24"/>
          <w:szCs w:val="24"/>
        </w:rPr>
        <w:t>[w:]</w:t>
      </w:r>
      <w:r w:rsidRPr="000A24E0">
        <w:rPr>
          <w:i/>
          <w:sz w:val="24"/>
          <w:szCs w:val="24"/>
        </w:rPr>
        <w:t>W kręgu polityki, dyplomacji i historii XX wieku</w:t>
      </w:r>
      <w:r w:rsidRPr="003C0842">
        <w:rPr>
          <w:sz w:val="24"/>
          <w:szCs w:val="24"/>
        </w:rPr>
        <w:t xml:space="preserve">, red. </w:t>
      </w:r>
      <w:r w:rsidRPr="003C0842">
        <w:rPr>
          <w:sz w:val="24"/>
          <w:szCs w:val="24"/>
          <w:lang w:val="it-IT"/>
        </w:rPr>
        <w:t>B. Rakowski</w:t>
      </w:r>
      <w:r w:rsidR="000A24E0">
        <w:rPr>
          <w:sz w:val="24"/>
          <w:szCs w:val="24"/>
          <w:lang w:val="it-IT"/>
        </w:rPr>
        <w:t>,</w:t>
      </w:r>
      <w:r w:rsidRPr="003C0842">
        <w:rPr>
          <w:sz w:val="24"/>
          <w:szCs w:val="24"/>
          <w:lang w:val="it-IT"/>
        </w:rPr>
        <w:t xml:space="preserve"> A. Skrzypek, Łódź 2000</w:t>
      </w:r>
    </w:p>
    <w:p w:rsidR="00912375" w:rsidRPr="003C0842" w:rsidRDefault="00912375" w:rsidP="007106A1">
      <w:pPr>
        <w:pStyle w:val="Tekstprzypisudolnego"/>
        <w:spacing w:line="360" w:lineRule="auto"/>
        <w:ind w:left="709" w:hanging="709"/>
        <w:contextualSpacing/>
        <w:rPr>
          <w:sz w:val="24"/>
          <w:szCs w:val="24"/>
          <w:lang w:val="it-IT"/>
        </w:rPr>
      </w:pPr>
      <w:r w:rsidRPr="003C0842">
        <w:rPr>
          <w:sz w:val="24"/>
          <w:szCs w:val="24"/>
          <w:lang w:val="it-IT"/>
        </w:rPr>
        <w:t xml:space="preserve">Tassani G., </w:t>
      </w:r>
      <w:r w:rsidRPr="003C0842">
        <w:rPr>
          <w:i/>
          <w:sz w:val="24"/>
          <w:szCs w:val="24"/>
          <w:lang w:val="it-IT"/>
        </w:rPr>
        <w:t>Diplomatico tra le due guerre. Vita di Giacomo Paulucci di Colboli Barone</w:t>
      </w:r>
      <w:r w:rsidRPr="003C0842">
        <w:rPr>
          <w:sz w:val="24"/>
          <w:szCs w:val="24"/>
          <w:lang w:val="it-IT"/>
        </w:rPr>
        <w:t>, Firenze 2012</w:t>
      </w:r>
    </w:p>
    <w:p w:rsidR="00912375" w:rsidRPr="003C0842" w:rsidRDefault="00912375" w:rsidP="007106A1">
      <w:pPr>
        <w:spacing w:line="360" w:lineRule="auto"/>
        <w:ind w:left="709" w:hanging="709"/>
        <w:contextualSpacing/>
        <w:rPr>
          <w:lang w:val="en-US"/>
        </w:rPr>
      </w:pPr>
      <w:r w:rsidRPr="003C0842">
        <w:rPr>
          <w:lang w:val="en-US"/>
        </w:rPr>
        <w:t xml:space="preserve">Towle P., </w:t>
      </w:r>
      <w:r w:rsidRPr="003C0842">
        <w:rPr>
          <w:i/>
          <w:lang w:val="en-US"/>
        </w:rPr>
        <w:t>Forced Disarmament in the 1920s and After</w:t>
      </w:r>
      <w:r w:rsidRPr="003C0842">
        <w:rPr>
          <w:lang w:val="en-US"/>
        </w:rPr>
        <w:t xml:space="preserve">, </w:t>
      </w:r>
      <w:r w:rsidRPr="003C0842">
        <w:rPr>
          <w:iCs/>
          <w:lang w:val="en-US"/>
        </w:rPr>
        <w:t xml:space="preserve">Journal of Strategic Studies </w:t>
      </w:r>
      <w:r w:rsidR="000A24E0">
        <w:rPr>
          <w:lang w:val="en-US"/>
        </w:rPr>
        <w:t>29 (2006), 2</w:t>
      </w:r>
    </w:p>
    <w:p w:rsidR="00912375" w:rsidRPr="003C0842" w:rsidRDefault="00912375" w:rsidP="007106A1">
      <w:pPr>
        <w:pStyle w:val="Tekstprzypisudolnego"/>
        <w:spacing w:line="360" w:lineRule="auto"/>
        <w:ind w:left="709" w:hanging="709"/>
        <w:contextualSpacing/>
        <w:rPr>
          <w:sz w:val="24"/>
          <w:szCs w:val="24"/>
          <w:lang w:val="en-US"/>
        </w:rPr>
      </w:pPr>
      <w:r w:rsidRPr="003C0842">
        <w:rPr>
          <w:sz w:val="24"/>
          <w:szCs w:val="24"/>
          <w:lang w:val="en-US"/>
        </w:rPr>
        <w:t xml:space="preserve">Tracy N., </w:t>
      </w:r>
      <w:r w:rsidRPr="003C0842">
        <w:rPr>
          <w:i/>
          <w:sz w:val="24"/>
          <w:szCs w:val="24"/>
          <w:lang w:val="en-US"/>
        </w:rPr>
        <w:t>Rastafari: a way of live</w:t>
      </w:r>
      <w:r w:rsidRPr="003C0842">
        <w:rPr>
          <w:sz w:val="24"/>
          <w:szCs w:val="24"/>
          <w:lang w:val="en-US"/>
        </w:rPr>
        <w:t>, Chicago 1996</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Trynk M., </w:t>
      </w:r>
      <w:r w:rsidRPr="003C0842">
        <w:rPr>
          <w:i/>
          <w:sz w:val="24"/>
          <w:szCs w:val="24"/>
        </w:rPr>
        <w:t>Przekład ustny konferencyjny</w:t>
      </w:r>
      <w:r w:rsidRPr="000A24E0">
        <w:rPr>
          <w:sz w:val="24"/>
          <w:szCs w:val="24"/>
        </w:rPr>
        <w:t xml:space="preserve">, </w:t>
      </w:r>
      <w:r w:rsidRPr="003C0842">
        <w:rPr>
          <w:sz w:val="24"/>
          <w:szCs w:val="24"/>
        </w:rPr>
        <w:t>Warszawa 2007</w:t>
      </w:r>
    </w:p>
    <w:p w:rsidR="00912375" w:rsidRPr="003C0842" w:rsidRDefault="00912375" w:rsidP="007106A1">
      <w:pPr>
        <w:pStyle w:val="Tekstprzypisudolnego"/>
        <w:spacing w:line="360" w:lineRule="auto"/>
        <w:ind w:left="709" w:hanging="709"/>
        <w:contextualSpacing/>
        <w:rPr>
          <w:sz w:val="24"/>
          <w:szCs w:val="24"/>
          <w:lang w:val="fr-FR"/>
        </w:rPr>
      </w:pPr>
      <w:r w:rsidRPr="003C0842">
        <w:rPr>
          <w:sz w:val="24"/>
          <w:szCs w:val="24"/>
          <w:lang w:val="fr-FR"/>
        </w:rPr>
        <w:t xml:space="preserve">Ulrich-Pier R., </w:t>
      </w:r>
      <w:r w:rsidRPr="003C0842">
        <w:rPr>
          <w:i/>
          <w:sz w:val="24"/>
          <w:szCs w:val="24"/>
          <w:lang w:val="fr-FR"/>
        </w:rPr>
        <w:t>Le Service français de la Société des Nations et les questions européennes dans l’entre-deux-guerres</w:t>
      </w:r>
      <w:r w:rsidRPr="003C0842">
        <w:rPr>
          <w:sz w:val="24"/>
          <w:szCs w:val="24"/>
          <w:lang w:val="fr-FR"/>
        </w:rPr>
        <w:t xml:space="preserve">, </w:t>
      </w:r>
      <w:r w:rsidR="004D2F75" w:rsidRPr="003C0842">
        <w:rPr>
          <w:sz w:val="24"/>
          <w:szCs w:val="24"/>
          <w:lang w:val="fr-FR"/>
        </w:rPr>
        <w:t>[w:]</w:t>
      </w:r>
      <w:r w:rsidRPr="000A24E0">
        <w:rPr>
          <w:i/>
          <w:sz w:val="24"/>
          <w:szCs w:val="24"/>
          <w:lang w:val="fr-FR"/>
        </w:rPr>
        <w:t>Les administrations nationales et la construction européenne: une approche historique</w:t>
      </w:r>
      <w:r w:rsidRPr="003C0842">
        <w:rPr>
          <w:sz w:val="24"/>
          <w:szCs w:val="24"/>
          <w:lang w:val="fr-FR"/>
        </w:rPr>
        <w:t xml:space="preserve"> (</w:t>
      </w:r>
      <w:r w:rsidRPr="000A24E0">
        <w:rPr>
          <w:i/>
          <w:sz w:val="24"/>
          <w:szCs w:val="24"/>
          <w:lang w:val="fr-FR"/>
        </w:rPr>
        <w:t>1919</w:t>
      </w:r>
      <w:r w:rsidR="00B64D08">
        <w:rPr>
          <w:i/>
          <w:sz w:val="24"/>
          <w:szCs w:val="24"/>
          <w:lang w:val="fr-FR"/>
        </w:rPr>
        <w:t>-</w:t>
      </w:r>
      <w:r w:rsidRPr="000A24E0">
        <w:rPr>
          <w:i/>
          <w:sz w:val="24"/>
          <w:szCs w:val="24"/>
          <w:lang w:val="fr-FR"/>
        </w:rPr>
        <w:t>1975</w:t>
      </w:r>
      <w:r w:rsidRPr="003C0842">
        <w:rPr>
          <w:sz w:val="24"/>
          <w:szCs w:val="24"/>
          <w:lang w:val="fr-FR"/>
        </w:rPr>
        <w:t>), Bruxelles 2005</w:t>
      </w:r>
    </w:p>
    <w:p w:rsidR="00912375" w:rsidRPr="003C0842" w:rsidRDefault="00912375" w:rsidP="007106A1">
      <w:pPr>
        <w:pStyle w:val="Tekstprzypisudolnego"/>
        <w:spacing w:line="360" w:lineRule="auto"/>
        <w:ind w:left="709" w:hanging="709"/>
        <w:contextualSpacing/>
        <w:rPr>
          <w:sz w:val="24"/>
          <w:szCs w:val="24"/>
          <w:lang w:val="en-US"/>
        </w:rPr>
      </w:pPr>
      <w:r w:rsidRPr="003C0842">
        <w:rPr>
          <w:sz w:val="24"/>
          <w:szCs w:val="24"/>
          <w:lang w:val="fr-FR"/>
        </w:rPr>
        <w:t xml:space="preserve">Vaïse M., </w:t>
      </w:r>
      <w:r w:rsidRPr="003C0842">
        <w:rPr>
          <w:i/>
          <w:sz w:val="24"/>
          <w:szCs w:val="24"/>
          <w:lang w:val="fr-FR"/>
        </w:rPr>
        <w:t>Oubliè Briand?</w:t>
      </w:r>
      <w:r w:rsidR="004D2F75" w:rsidRPr="003C0842">
        <w:rPr>
          <w:sz w:val="24"/>
          <w:szCs w:val="24"/>
          <w:lang w:val="fr-FR"/>
        </w:rPr>
        <w:t>[w:]</w:t>
      </w:r>
      <w:r w:rsidRPr="000A24E0">
        <w:rPr>
          <w:i/>
          <w:sz w:val="24"/>
          <w:szCs w:val="24"/>
          <w:lang w:val="fr-FR"/>
        </w:rPr>
        <w:t>Aristide Briand</w:t>
      </w:r>
      <w:r w:rsidR="00273B13">
        <w:rPr>
          <w:i/>
          <w:sz w:val="24"/>
          <w:szCs w:val="24"/>
          <w:lang w:val="fr-FR"/>
        </w:rPr>
        <w:t>,l</w:t>
      </w:r>
      <w:r w:rsidRPr="000A24E0">
        <w:rPr>
          <w:i/>
          <w:sz w:val="24"/>
          <w:szCs w:val="24"/>
          <w:lang w:val="fr-FR"/>
        </w:rPr>
        <w:t>a Société de Nations et l’Europe 1919-1932</w:t>
      </w:r>
      <w:r w:rsidRPr="003C0842">
        <w:rPr>
          <w:sz w:val="24"/>
          <w:szCs w:val="24"/>
          <w:lang w:val="fr-FR"/>
        </w:rPr>
        <w:t xml:space="preserve">, red. </w:t>
      </w:r>
      <w:r w:rsidRPr="003C0842">
        <w:rPr>
          <w:sz w:val="24"/>
          <w:szCs w:val="24"/>
          <w:lang w:val="en-US"/>
        </w:rPr>
        <w:t>J. Bariéty, Strasbourg 2007</w:t>
      </w:r>
    </w:p>
    <w:p w:rsidR="00912375" w:rsidRPr="003C0842" w:rsidRDefault="00912375" w:rsidP="007106A1">
      <w:pPr>
        <w:pStyle w:val="Tekstprzypisudolnego"/>
        <w:spacing w:line="360" w:lineRule="auto"/>
        <w:ind w:left="709" w:hanging="709"/>
        <w:contextualSpacing/>
        <w:rPr>
          <w:sz w:val="24"/>
          <w:szCs w:val="24"/>
          <w:lang w:val="en-US"/>
        </w:rPr>
      </w:pPr>
      <w:r w:rsidRPr="003C0842">
        <w:rPr>
          <w:sz w:val="24"/>
          <w:szCs w:val="24"/>
          <w:lang w:val="en-US"/>
        </w:rPr>
        <w:t xml:space="preserve">Walker W. O., </w:t>
      </w:r>
      <w:r w:rsidRPr="003C0842">
        <w:rPr>
          <w:i/>
          <w:iCs/>
          <w:sz w:val="24"/>
          <w:szCs w:val="24"/>
          <w:lang w:val="en-US"/>
        </w:rPr>
        <w:t>Opium and Foreign Policy: The Anglo-American Search for Order in Asia, 1912</w:t>
      </w:r>
      <w:r w:rsidR="00B64D08">
        <w:rPr>
          <w:i/>
          <w:iCs/>
          <w:sz w:val="24"/>
          <w:szCs w:val="24"/>
          <w:lang w:val="en-US"/>
        </w:rPr>
        <w:t>-</w:t>
      </w:r>
      <w:r w:rsidRPr="003C0842">
        <w:rPr>
          <w:i/>
          <w:iCs/>
          <w:sz w:val="24"/>
          <w:szCs w:val="24"/>
          <w:lang w:val="en-US"/>
        </w:rPr>
        <w:t>1954</w:t>
      </w:r>
      <w:r w:rsidRPr="003C0842">
        <w:rPr>
          <w:sz w:val="24"/>
          <w:szCs w:val="24"/>
          <w:lang w:val="en-US"/>
        </w:rPr>
        <w:t>, Chapel Hill NC 1991</w:t>
      </w:r>
    </w:p>
    <w:p w:rsidR="00912375" w:rsidRPr="003C0842" w:rsidRDefault="00912375" w:rsidP="007106A1">
      <w:pPr>
        <w:pStyle w:val="Tekstprzypisudolnego"/>
        <w:spacing w:line="360" w:lineRule="auto"/>
        <w:ind w:left="709" w:hanging="709"/>
        <w:contextualSpacing/>
        <w:rPr>
          <w:sz w:val="24"/>
          <w:szCs w:val="24"/>
          <w:lang w:val="en-US"/>
        </w:rPr>
      </w:pPr>
      <w:r w:rsidRPr="003C0842">
        <w:rPr>
          <w:sz w:val="24"/>
          <w:szCs w:val="24"/>
          <w:lang w:val="en-US"/>
        </w:rPr>
        <w:t xml:space="preserve">Walters F., </w:t>
      </w:r>
      <w:r w:rsidRPr="003C0842">
        <w:rPr>
          <w:i/>
          <w:sz w:val="24"/>
          <w:szCs w:val="24"/>
          <w:lang w:val="en-US"/>
        </w:rPr>
        <w:t>A History of the League of Nations</w:t>
      </w:r>
      <w:r w:rsidRPr="003C0842">
        <w:rPr>
          <w:sz w:val="24"/>
          <w:szCs w:val="24"/>
          <w:lang w:val="en-US"/>
        </w:rPr>
        <w:t>, Oxford 1965</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Wandycz P., </w:t>
      </w:r>
      <w:r w:rsidRPr="003C0842">
        <w:rPr>
          <w:i/>
          <w:sz w:val="24"/>
          <w:szCs w:val="24"/>
        </w:rPr>
        <w:t>Aleksander Skrzyński, minister spraw zagranicznych II RP</w:t>
      </w:r>
      <w:r w:rsidRPr="003C0842">
        <w:rPr>
          <w:sz w:val="24"/>
          <w:szCs w:val="24"/>
        </w:rPr>
        <w:t>, Warszawa 2006.</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Wandycz P., </w:t>
      </w:r>
      <w:r w:rsidRPr="003C0842">
        <w:rPr>
          <w:i/>
          <w:sz w:val="24"/>
          <w:szCs w:val="24"/>
        </w:rPr>
        <w:t>Z Piłsudskim i Sikorskim. August Zaleski minister spraw zagranicznychw latach 1926-1932 i 1939-1941</w:t>
      </w:r>
      <w:r w:rsidRPr="003C0842">
        <w:rPr>
          <w:sz w:val="24"/>
          <w:szCs w:val="24"/>
        </w:rPr>
        <w:t>, Warszawa 1999</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Wasilewski T., </w:t>
      </w:r>
      <w:r w:rsidRPr="003C0842">
        <w:rPr>
          <w:i/>
          <w:sz w:val="24"/>
          <w:szCs w:val="24"/>
        </w:rPr>
        <w:t>Kontrola rozbrojenia w okresie działalności Ligi Narodów</w:t>
      </w:r>
      <w:r w:rsidR="000A24E0">
        <w:rPr>
          <w:sz w:val="24"/>
          <w:szCs w:val="24"/>
        </w:rPr>
        <w:t>, Wojskowy Przegląd Prawniczy</w:t>
      </w:r>
      <w:r w:rsidRPr="003C0842">
        <w:rPr>
          <w:sz w:val="24"/>
          <w:szCs w:val="24"/>
        </w:rPr>
        <w:t xml:space="preserve"> 1986</w:t>
      </w:r>
    </w:p>
    <w:p w:rsidR="00912375" w:rsidRPr="003C0842" w:rsidRDefault="00912375" w:rsidP="007106A1">
      <w:pPr>
        <w:pStyle w:val="Tekstprzypisudolnego"/>
        <w:spacing w:line="360" w:lineRule="auto"/>
        <w:ind w:left="709" w:hanging="709"/>
        <w:contextualSpacing/>
        <w:rPr>
          <w:sz w:val="24"/>
          <w:szCs w:val="24"/>
          <w:lang w:val="en-US"/>
        </w:rPr>
      </w:pPr>
      <w:r w:rsidRPr="003C0842">
        <w:rPr>
          <w:sz w:val="24"/>
          <w:szCs w:val="24"/>
          <w:lang w:val="en-US"/>
        </w:rPr>
        <w:t xml:space="preserve">Weinberger S., </w:t>
      </w:r>
      <w:r w:rsidRPr="003C0842">
        <w:rPr>
          <w:i/>
          <w:sz w:val="24"/>
          <w:szCs w:val="24"/>
          <w:lang w:val="en-US"/>
        </w:rPr>
        <w:t>The Wimbledon paradox and the World Court</w:t>
      </w:r>
      <w:r w:rsidR="00B21A46">
        <w:rPr>
          <w:sz w:val="24"/>
          <w:szCs w:val="24"/>
          <w:lang w:val="en-US"/>
        </w:rPr>
        <w:t>…</w:t>
      </w:r>
      <w:r w:rsidRPr="003C0842">
        <w:rPr>
          <w:sz w:val="24"/>
          <w:szCs w:val="24"/>
          <w:lang w:val="en-US"/>
        </w:rPr>
        <w:t xml:space="preserve">, </w:t>
      </w:r>
      <w:r w:rsidR="000A24E0">
        <w:rPr>
          <w:sz w:val="24"/>
          <w:szCs w:val="24"/>
          <w:lang w:val="en-US"/>
        </w:rPr>
        <w:t>Emory International Law Review 397 (</w:t>
      </w:r>
      <w:r w:rsidRPr="003C0842">
        <w:rPr>
          <w:sz w:val="24"/>
          <w:szCs w:val="24"/>
          <w:lang w:val="en-US"/>
        </w:rPr>
        <w:t>1996</w:t>
      </w:r>
      <w:r w:rsidR="000A24E0">
        <w:rPr>
          <w:sz w:val="24"/>
          <w:szCs w:val="24"/>
          <w:lang w:val="en-US"/>
        </w:rPr>
        <w:t>)</w:t>
      </w:r>
    </w:p>
    <w:p w:rsidR="00912375" w:rsidRPr="003C0842" w:rsidRDefault="00912375" w:rsidP="007106A1">
      <w:pPr>
        <w:spacing w:line="360" w:lineRule="auto"/>
        <w:ind w:left="709" w:hanging="709"/>
        <w:contextualSpacing/>
        <w:rPr>
          <w:lang w:val="fr-FR"/>
        </w:rPr>
      </w:pPr>
      <w:r w:rsidRPr="003C0842">
        <w:rPr>
          <w:lang w:val="fr-FR"/>
        </w:rPr>
        <w:t xml:space="preserve">Wilhelm F., </w:t>
      </w:r>
      <w:r w:rsidR="000A24E0">
        <w:rPr>
          <w:i/>
          <w:lang w:val="fr-FR"/>
        </w:rPr>
        <w:t>Victor Hugo et l’Idée des États-Unis d’</w:t>
      </w:r>
      <w:r w:rsidRPr="003C0842">
        <w:rPr>
          <w:i/>
          <w:lang w:val="fr-FR"/>
        </w:rPr>
        <w:t>Europe</w:t>
      </w:r>
      <w:r w:rsidRPr="003C0842">
        <w:rPr>
          <w:lang w:val="fr-FR"/>
        </w:rPr>
        <w:t>, Luxembourg 2000</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Winiarski B, </w:t>
      </w:r>
      <w:r w:rsidRPr="003C0842">
        <w:rPr>
          <w:i/>
          <w:sz w:val="24"/>
          <w:szCs w:val="24"/>
        </w:rPr>
        <w:t>Bezpieczeństwo, arbitraż, rozbrojenie</w:t>
      </w:r>
      <w:r w:rsidRPr="003C0842">
        <w:rPr>
          <w:sz w:val="24"/>
          <w:szCs w:val="24"/>
        </w:rPr>
        <w:t>, Poznań 1928</w:t>
      </w:r>
    </w:p>
    <w:p w:rsidR="00912375" w:rsidRPr="003C0842" w:rsidRDefault="00912375" w:rsidP="007106A1">
      <w:pPr>
        <w:pStyle w:val="Tekstprzypisudolnego"/>
        <w:tabs>
          <w:tab w:val="left" w:pos="3780"/>
        </w:tabs>
        <w:spacing w:line="360" w:lineRule="auto"/>
        <w:ind w:left="709" w:hanging="709"/>
        <w:contextualSpacing/>
        <w:rPr>
          <w:sz w:val="24"/>
          <w:szCs w:val="24"/>
        </w:rPr>
      </w:pPr>
      <w:r w:rsidRPr="003C0842">
        <w:rPr>
          <w:sz w:val="24"/>
          <w:szCs w:val="24"/>
        </w:rPr>
        <w:t>Winid B,</w:t>
      </w:r>
      <w:r w:rsidRPr="003C0842">
        <w:rPr>
          <w:i/>
          <w:sz w:val="24"/>
          <w:szCs w:val="24"/>
        </w:rPr>
        <w:t>Kryzys wilsonizmu</w:t>
      </w:r>
      <w:r w:rsidRPr="003C0842">
        <w:rPr>
          <w:sz w:val="24"/>
          <w:szCs w:val="24"/>
        </w:rPr>
        <w:t xml:space="preserve">, </w:t>
      </w:r>
      <w:r w:rsidR="004D2F75" w:rsidRPr="003C0842">
        <w:rPr>
          <w:sz w:val="24"/>
          <w:szCs w:val="24"/>
        </w:rPr>
        <w:t>[w:]</w:t>
      </w:r>
      <w:r w:rsidRPr="000A24E0">
        <w:rPr>
          <w:i/>
          <w:sz w:val="24"/>
          <w:szCs w:val="24"/>
        </w:rPr>
        <w:t>Pochwała historii powszechnej</w:t>
      </w:r>
      <w:r w:rsidRPr="003C0842">
        <w:rPr>
          <w:sz w:val="24"/>
          <w:szCs w:val="24"/>
        </w:rPr>
        <w:t>, Warszawa 1996</w:t>
      </w:r>
    </w:p>
    <w:p w:rsidR="00912375" w:rsidRPr="003C0842" w:rsidRDefault="00912375" w:rsidP="007106A1">
      <w:pPr>
        <w:spacing w:line="360" w:lineRule="auto"/>
        <w:ind w:left="709" w:hanging="709"/>
        <w:contextualSpacing/>
        <w:rPr>
          <w:lang w:val="de-DE"/>
        </w:rPr>
      </w:pPr>
      <w:r w:rsidRPr="003C0842">
        <w:rPr>
          <w:lang w:val="de-DE"/>
        </w:rPr>
        <w:t xml:space="preserve">Wintzer J., </w:t>
      </w:r>
      <w:r w:rsidRPr="003C0842">
        <w:rPr>
          <w:i/>
          <w:iCs/>
          <w:lang w:val="de-DE"/>
        </w:rPr>
        <w:t>Deutschland und der Völkerbund 1918-1926</w:t>
      </w:r>
      <w:r w:rsidRPr="003C0842">
        <w:rPr>
          <w:lang w:val="de-DE"/>
        </w:rPr>
        <w:t>, Paderborn</w:t>
      </w:r>
      <w:r w:rsidR="000A24E0">
        <w:rPr>
          <w:lang w:val="de-DE"/>
        </w:rPr>
        <w:t xml:space="preserve"> i in.</w:t>
      </w:r>
      <w:r w:rsidRPr="003C0842">
        <w:rPr>
          <w:lang w:val="de-DE"/>
        </w:rPr>
        <w:t xml:space="preserve"> 2006</w:t>
      </w:r>
    </w:p>
    <w:p w:rsidR="00912375" w:rsidRPr="003C0842" w:rsidRDefault="00912375" w:rsidP="007106A1">
      <w:pPr>
        <w:spacing w:line="360" w:lineRule="auto"/>
        <w:ind w:left="709" w:hanging="709"/>
        <w:contextualSpacing/>
        <w:rPr>
          <w:lang w:val="en-US"/>
        </w:rPr>
      </w:pPr>
      <w:r w:rsidRPr="003C0842">
        <w:rPr>
          <w:lang w:val="en-US"/>
        </w:rPr>
        <w:t xml:space="preserve">Wright J., </w:t>
      </w:r>
      <w:r w:rsidRPr="003C0842">
        <w:rPr>
          <w:i/>
          <w:lang w:val="en-US"/>
        </w:rPr>
        <w:t>Gustav Stresemann: Weimar</w:t>
      </w:r>
      <w:r w:rsidR="000A24E0">
        <w:rPr>
          <w:i/>
          <w:lang w:val="en-US"/>
        </w:rPr>
        <w:t>’</w:t>
      </w:r>
      <w:r w:rsidRPr="003C0842">
        <w:rPr>
          <w:i/>
          <w:lang w:val="en-US"/>
        </w:rPr>
        <w:t>s Greatest Statesman</w:t>
      </w:r>
      <w:r w:rsidRPr="003C0842">
        <w:rPr>
          <w:lang w:val="en-US"/>
        </w:rPr>
        <w:t>, Oxford University Press 2002</w:t>
      </w:r>
    </w:p>
    <w:p w:rsidR="00912375" w:rsidRPr="003C0842" w:rsidRDefault="00912375" w:rsidP="007106A1">
      <w:pPr>
        <w:spacing w:line="360" w:lineRule="auto"/>
        <w:ind w:left="709" w:hanging="709"/>
        <w:contextualSpacing/>
      </w:pPr>
      <w:r w:rsidRPr="003C0842">
        <w:t xml:space="preserve">Wrzesiński W., </w:t>
      </w:r>
      <w:r w:rsidRPr="003C0842">
        <w:rPr>
          <w:i/>
        </w:rPr>
        <w:t>Polski ruch narodowy w Niemczech 1922-1939</w:t>
      </w:r>
      <w:r w:rsidRPr="003C0842">
        <w:t>, Poznań 1970</w:t>
      </w:r>
    </w:p>
    <w:p w:rsidR="00912375" w:rsidRPr="003C0842" w:rsidRDefault="00912375" w:rsidP="007106A1">
      <w:pPr>
        <w:pStyle w:val="Tekstprzypisudolnego"/>
        <w:spacing w:line="360" w:lineRule="auto"/>
        <w:ind w:left="709" w:hanging="709"/>
        <w:contextualSpacing/>
        <w:rPr>
          <w:sz w:val="24"/>
          <w:szCs w:val="24"/>
          <w:lang w:val="en-US"/>
        </w:rPr>
      </w:pPr>
      <w:r w:rsidRPr="003C0842">
        <w:rPr>
          <w:sz w:val="24"/>
          <w:szCs w:val="24"/>
          <w:lang w:val="en-US"/>
        </w:rPr>
        <w:t xml:space="preserve">Zemite L., </w:t>
      </w:r>
      <w:r w:rsidRPr="003C0842">
        <w:rPr>
          <w:i/>
          <w:sz w:val="24"/>
          <w:szCs w:val="24"/>
          <w:lang w:val="en-US"/>
        </w:rPr>
        <w:t>Latvia in the League of Nations</w:t>
      </w:r>
      <w:r w:rsidRPr="003C0842">
        <w:rPr>
          <w:sz w:val="24"/>
          <w:szCs w:val="24"/>
          <w:lang w:val="en-US"/>
        </w:rPr>
        <w:t>, Riga 2002</w:t>
      </w:r>
    </w:p>
    <w:p w:rsidR="00BD56B3" w:rsidRDefault="00912375" w:rsidP="007106A1">
      <w:pPr>
        <w:pStyle w:val="Tekstprzypisudolnego"/>
        <w:spacing w:line="360" w:lineRule="auto"/>
        <w:ind w:left="709" w:hanging="709"/>
        <w:contextualSpacing/>
        <w:rPr>
          <w:sz w:val="24"/>
          <w:szCs w:val="24"/>
          <w:lang w:val="en-US"/>
        </w:rPr>
      </w:pPr>
      <w:r w:rsidRPr="003C0842">
        <w:rPr>
          <w:sz w:val="24"/>
          <w:szCs w:val="24"/>
          <w:lang w:val="fr-FR"/>
        </w:rPr>
        <w:lastRenderedPageBreak/>
        <w:t xml:space="preserve">Zeyer M.-A., </w:t>
      </w:r>
      <w:r w:rsidRPr="003C0842">
        <w:rPr>
          <w:i/>
          <w:iCs/>
          <w:sz w:val="24"/>
          <w:szCs w:val="24"/>
          <w:lang w:val="fr-FR"/>
        </w:rPr>
        <w:t xml:space="preserve">Léon Bourgeois, père spirituel de la Société des Nations. Solidarité internationale et service de la France </w:t>
      </w:r>
      <w:r w:rsidR="00F0463B" w:rsidRPr="003C0842">
        <w:rPr>
          <w:iCs/>
          <w:sz w:val="24"/>
          <w:szCs w:val="24"/>
          <w:lang w:val="fr-FR"/>
        </w:rPr>
        <w:t>(</w:t>
      </w:r>
      <w:r w:rsidRPr="003C0842">
        <w:rPr>
          <w:i/>
          <w:iCs/>
          <w:sz w:val="24"/>
          <w:szCs w:val="24"/>
          <w:lang w:val="fr-FR"/>
        </w:rPr>
        <w:t>1899-1919</w:t>
      </w:r>
      <w:r w:rsidR="00F0463B" w:rsidRPr="003C0842">
        <w:rPr>
          <w:iCs/>
          <w:sz w:val="24"/>
          <w:szCs w:val="24"/>
          <w:lang w:val="fr-FR"/>
        </w:rPr>
        <w:t>)</w:t>
      </w:r>
      <w:r w:rsidRPr="003C0842">
        <w:rPr>
          <w:sz w:val="24"/>
          <w:szCs w:val="24"/>
          <w:lang w:val="fr-FR"/>
        </w:rPr>
        <w:t xml:space="preserve">, http//theses.enc.sorbonne. fr/documnt995. </w:t>
      </w:r>
      <w:r w:rsidR="00B67DF4" w:rsidRPr="003C0842">
        <w:rPr>
          <w:sz w:val="24"/>
          <w:szCs w:val="24"/>
          <w:lang w:val="en-US"/>
        </w:rPr>
        <w:t>H</w:t>
      </w:r>
      <w:r w:rsidRPr="003C0842">
        <w:rPr>
          <w:sz w:val="24"/>
          <w:szCs w:val="24"/>
          <w:lang w:val="en-US"/>
        </w:rPr>
        <w:t>tml</w:t>
      </w:r>
      <w:r w:rsidR="000A24E0">
        <w:rPr>
          <w:sz w:val="24"/>
          <w:szCs w:val="24"/>
          <w:lang w:val="en-US"/>
        </w:rPr>
        <w:t xml:space="preserve"> [dostęp: data dzienna???]</w:t>
      </w:r>
    </w:p>
    <w:p w:rsidR="00B67DF4" w:rsidRPr="003C0842" w:rsidRDefault="00B67DF4" w:rsidP="007106A1">
      <w:pPr>
        <w:pStyle w:val="Tekstprzypisudolnego"/>
        <w:spacing w:line="360" w:lineRule="auto"/>
        <w:ind w:left="709" w:hanging="709"/>
        <w:contextualSpacing/>
        <w:rPr>
          <w:sz w:val="24"/>
          <w:szCs w:val="24"/>
          <w:lang w:val="en-US"/>
        </w:rPr>
      </w:pPr>
      <w:r w:rsidRPr="003C0842">
        <w:rPr>
          <w:sz w:val="24"/>
          <w:szCs w:val="24"/>
          <w:lang w:val="en-US"/>
        </w:rPr>
        <w:t xml:space="preserve">Zimmern A., </w:t>
      </w:r>
      <w:r w:rsidRPr="003C0842">
        <w:rPr>
          <w:i/>
          <w:sz w:val="24"/>
          <w:szCs w:val="24"/>
          <w:lang w:val="en-US"/>
        </w:rPr>
        <w:t>The League of Nations and the Rule of Law 1918-1935</w:t>
      </w:r>
      <w:r w:rsidRPr="003C0842">
        <w:rPr>
          <w:sz w:val="24"/>
          <w:szCs w:val="24"/>
          <w:lang w:val="en-US"/>
        </w:rPr>
        <w:t>, London 1939</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Zybaczewski W., </w:t>
      </w:r>
      <w:r w:rsidRPr="003C0842">
        <w:rPr>
          <w:i/>
          <w:sz w:val="24"/>
          <w:szCs w:val="24"/>
        </w:rPr>
        <w:t xml:space="preserve">Polsko-sowietskaja wojna </w:t>
      </w:r>
      <w:smartTag w:uri="urn:schemas-microsoft-com:office:smarttags" w:element="metricconverter">
        <w:smartTagPr>
          <w:attr w:name="ProductID" w:val="1920 g"/>
        </w:smartTagPr>
        <w:r w:rsidRPr="003C0842">
          <w:rPr>
            <w:i/>
            <w:sz w:val="24"/>
            <w:szCs w:val="24"/>
          </w:rPr>
          <w:t>1920 g</w:t>
        </w:r>
      </w:smartTag>
      <w:r w:rsidRPr="003C0842">
        <w:rPr>
          <w:i/>
          <w:sz w:val="24"/>
          <w:szCs w:val="24"/>
        </w:rPr>
        <w:t>.: geopolityczny aspekt</w:t>
      </w:r>
      <w:r w:rsidRPr="003C0842">
        <w:rPr>
          <w:sz w:val="24"/>
          <w:szCs w:val="24"/>
        </w:rPr>
        <w:t xml:space="preserve">, </w:t>
      </w:r>
      <w:r w:rsidR="004D2F75" w:rsidRPr="003C0842">
        <w:rPr>
          <w:sz w:val="24"/>
          <w:szCs w:val="24"/>
        </w:rPr>
        <w:t>[w:]</w:t>
      </w:r>
      <w:r w:rsidRPr="000A24E0">
        <w:rPr>
          <w:i/>
          <w:sz w:val="24"/>
          <w:szCs w:val="24"/>
        </w:rPr>
        <w:t>Od armii komputowej do narodowej</w:t>
      </w:r>
      <w:r w:rsidR="000A24E0">
        <w:rPr>
          <w:sz w:val="24"/>
          <w:szCs w:val="24"/>
        </w:rPr>
        <w:t>,</w:t>
      </w:r>
      <w:r w:rsidRPr="003C0842">
        <w:rPr>
          <w:sz w:val="24"/>
          <w:szCs w:val="24"/>
        </w:rPr>
        <w:t xml:space="preserve"> t. IV, red. W. Rezmer, Toruń 2012</w:t>
      </w:r>
    </w:p>
    <w:p w:rsidR="006C3762" w:rsidRPr="003C0842" w:rsidRDefault="006C3762" w:rsidP="007106A1">
      <w:pPr>
        <w:pStyle w:val="Tekstprzypisudolnego"/>
        <w:spacing w:line="360" w:lineRule="auto"/>
        <w:ind w:left="709" w:hanging="709"/>
        <w:contextualSpacing/>
        <w:rPr>
          <w:sz w:val="24"/>
          <w:szCs w:val="24"/>
        </w:rPr>
      </w:pPr>
      <w:r w:rsidRPr="003C0842">
        <w:rPr>
          <w:sz w:val="24"/>
          <w:szCs w:val="24"/>
        </w:rPr>
        <w:t>Żerko S…………………………</w:t>
      </w:r>
    </w:p>
    <w:p w:rsidR="00912375" w:rsidRPr="003C0842" w:rsidRDefault="00912375" w:rsidP="007106A1">
      <w:pPr>
        <w:pStyle w:val="Tekstprzypisudolnego"/>
        <w:spacing w:line="360" w:lineRule="auto"/>
        <w:ind w:left="709" w:hanging="709"/>
        <w:contextualSpacing/>
        <w:rPr>
          <w:sz w:val="24"/>
          <w:szCs w:val="24"/>
        </w:rPr>
      </w:pPr>
      <w:r w:rsidRPr="003C0842">
        <w:rPr>
          <w:sz w:val="24"/>
          <w:szCs w:val="24"/>
        </w:rPr>
        <w:t xml:space="preserve">Żurawski vel Grajewski P., </w:t>
      </w:r>
      <w:r w:rsidRPr="003C0842">
        <w:rPr>
          <w:i/>
          <w:sz w:val="24"/>
          <w:szCs w:val="24"/>
        </w:rPr>
        <w:t>Stany Zjednoczone wobec problemu kontroli zbrojeń w dobie Komisji Przygotowawczej do Konferencji Rozbrojeniowej 1925-1930</w:t>
      </w:r>
      <w:r w:rsidRPr="000A24E0">
        <w:rPr>
          <w:sz w:val="24"/>
          <w:szCs w:val="24"/>
        </w:rPr>
        <w:t xml:space="preserve">, </w:t>
      </w:r>
      <w:r w:rsidRPr="003C0842">
        <w:rPr>
          <w:sz w:val="24"/>
          <w:szCs w:val="24"/>
        </w:rPr>
        <w:t>Warszawa 2000.</w:t>
      </w:r>
    </w:p>
    <w:p w:rsidR="002F765A" w:rsidRPr="003C0842" w:rsidRDefault="002F765A" w:rsidP="00111348">
      <w:pPr>
        <w:spacing w:line="360" w:lineRule="auto"/>
        <w:ind w:firstLine="0"/>
      </w:pPr>
    </w:p>
    <w:p w:rsidR="002F765A" w:rsidRPr="003C0842" w:rsidRDefault="002F765A" w:rsidP="00111348">
      <w:pPr>
        <w:spacing w:line="360" w:lineRule="auto"/>
        <w:ind w:firstLine="0"/>
      </w:pPr>
    </w:p>
    <w:p w:rsidR="002F765A" w:rsidRDefault="002F765A" w:rsidP="002F765A">
      <w:pPr>
        <w:spacing w:line="240" w:lineRule="auto"/>
        <w:rPr>
          <w:b/>
        </w:rPr>
      </w:pPr>
      <w:r w:rsidRPr="003C0842">
        <w:rPr>
          <w:b/>
        </w:rPr>
        <w:t>Wykaz ważniejszych skrótów</w:t>
      </w:r>
    </w:p>
    <w:p w:rsidR="000A24E0" w:rsidRPr="003C0842" w:rsidRDefault="000A24E0" w:rsidP="002F765A">
      <w:pPr>
        <w:spacing w:line="240" w:lineRule="auto"/>
        <w:rPr>
          <w:b/>
        </w:rPr>
      </w:pPr>
    </w:p>
    <w:p w:rsidR="002F765A" w:rsidRPr="003C0842" w:rsidRDefault="002F765A" w:rsidP="00EC2A64">
      <w:pPr>
        <w:spacing w:line="240" w:lineRule="auto"/>
        <w:ind w:firstLine="426"/>
      </w:pPr>
      <w:r w:rsidRPr="003C0842">
        <w:t xml:space="preserve">AA </w:t>
      </w:r>
      <w:r w:rsidR="00164234" w:rsidRPr="003C0842">
        <w:t>–</w:t>
      </w:r>
      <w:r w:rsidRPr="003C0842">
        <w:rPr>
          <w:color w:val="000000"/>
        </w:rPr>
        <w:t xml:space="preserve"> Auswärtiges Amt</w:t>
      </w:r>
    </w:p>
    <w:p w:rsidR="002F765A" w:rsidRPr="003C0842" w:rsidRDefault="002F765A" w:rsidP="00EC2A64">
      <w:pPr>
        <w:spacing w:line="240" w:lineRule="auto"/>
        <w:ind w:firstLine="426"/>
      </w:pPr>
      <w:r w:rsidRPr="003C0842">
        <w:t>AAN – Archiwum Akt Nowych</w:t>
      </w:r>
    </w:p>
    <w:p w:rsidR="00DC36AE" w:rsidRPr="003C0842" w:rsidRDefault="00DC36AE" w:rsidP="00EC2A64">
      <w:pPr>
        <w:pStyle w:val="Tekstprzypisudolnego"/>
        <w:spacing w:line="240" w:lineRule="auto"/>
        <w:ind w:firstLine="426"/>
        <w:jc w:val="left"/>
        <w:rPr>
          <w:sz w:val="24"/>
          <w:szCs w:val="24"/>
        </w:rPr>
      </w:pPr>
      <w:r w:rsidRPr="003C0842">
        <w:rPr>
          <w:sz w:val="24"/>
          <w:szCs w:val="24"/>
        </w:rPr>
        <w:t xml:space="preserve">AL </w:t>
      </w:r>
      <w:r w:rsidR="00164234" w:rsidRPr="003C0842">
        <w:rPr>
          <w:sz w:val="24"/>
          <w:szCs w:val="24"/>
        </w:rPr>
        <w:t>–</w:t>
      </w:r>
      <w:r w:rsidRPr="003C0842">
        <w:rPr>
          <w:sz w:val="24"/>
          <w:szCs w:val="24"/>
        </w:rPr>
        <w:t xml:space="preserve"> Ambasada Londyn </w:t>
      </w:r>
    </w:p>
    <w:p w:rsidR="00DC36AE" w:rsidRPr="003C0842" w:rsidRDefault="00DC36AE" w:rsidP="00EC2A64">
      <w:pPr>
        <w:pStyle w:val="Tekstprzypisudolnego"/>
        <w:spacing w:line="240" w:lineRule="auto"/>
        <w:ind w:firstLine="426"/>
        <w:jc w:val="left"/>
        <w:rPr>
          <w:sz w:val="24"/>
          <w:szCs w:val="24"/>
          <w:lang w:val="fr-FR"/>
        </w:rPr>
      </w:pPr>
      <w:r w:rsidRPr="003C0842">
        <w:rPr>
          <w:sz w:val="24"/>
          <w:szCs w:val="24"/>
          <w:lang w:val="fr-FR"/>
        </w:rPr>
        <w:t>AB</w:t>
      </w:r>
      <w:r w:rsidR="00164234" w:rsidRPr="003C0842">
        <w:rPr>
          <w:sz w:val="24"/>
          <w:szCs w:val="24"/>
          <w:lang w:val="fr-FR"/>
        </w:rPr>
        <w:t xml:space="preserve"> –</w:t>
      </w:r>
      <w:r w:rsidRPr="003C0842">
        <w:rPr>
          <w:sz w:val="24"/>
          <w:szCs w:val="24"/>
          <w:lang w:val="fr-FR"/>
        </w:rPr>
        <w:t xml:space="preserve"> Ambasada Berlin</w:t>
      </w:r>
    </w:p>
    <w:p w:rsidR="00DC36AE" w:rsidRPr="003C0842" w:rsidRDefault="00DC36AE" w:rsidP="00EC2A64">
      <w:pPr>
        <w:pStyle w:val="Tekstprzypisudolnego"/>
        <w:spacing w:line="240" w:lineRule="auto"/>
        <w:ind w:firstLine="426"/>
        <w:jc w:val="left"/>
        <w:rPr>
          <w:sz w:val="24"/>
          <w:szCs w:val="24"/>
          <w:lang w:val="fr-FR"/>
        </w:rPr>
      </w:pPr>
      <w:r w:rsidRPr="003C0842">
        <w:rPr>
          <w:sz w:val="24"/>
          <w:szCs w:val="24"/>
          <w:lang w:val="fr-FR"/>
        </w:rPr>
        <w:t>AP</w:t>
      </w:r>
      <w:r w:rsidR="00164234" w:rsidRPr="003C0842">
        <w:rPr>
          <w:sz w:val="24"/>
          <w:szCs w:val="24"/>
          <w:lang w:val="fr-FR"/>
        </w:rPr>
        <w:t>–</w:t>
      </w:r>
      <w:r w:rsidRPr="003C0842">
        <w:rPr>
          <w:sz w:val="24"/>
          <w:szCs w:val="24"/>
          <w:lang w:val="fr-FR"/>
        </w:rPr>
        <w:t xml:space="preserve"> Ambasada Paryż</w:t>
      </w:r>
    </w:p>
    <w:p w:rsidR="002F765A" w:rsidRPr="003C0842" w:rsidRDefault="002F765A" w:rsidP="00EC2A64">
      <w:pPr>
        <w:spacing w:line="240" w:lineRule="auto"/>
        <w:ind w:firstLine="426"/>
        <w:rPr>
          <w:lang w:val="fr-FR"/>
        </w:rPr>
      </w:pPr>
      <w:r w:rsidRPr="003C0842">
        <w:rPr>
          <w:lang w:val="fr-FR"/>
        </w:rPr>
        <w:t xml:space="preserve">ASDN </w:t>
      </w:r>
      <w:r w:rsidR="00164234" w:rsidRPr="003C0842">
        <w:rPr>
          <w:lang w:val="fr-FR"/>
        </w:rPr>
        <w:t>–</w:t>
      </w:r>
      <w:r w:rsidRPr="003C0842">
        <w:rPr>
          <w:lang w:val="fr-FR"/>
        </w:rPr>
        <w:t xml:space="preserve"> Archives de la Société des Nations</w:t>
      </w:r>
    </w:p>
    <w:p w:rsidR="002F765A" w:rsidRPr="003C0842" w:rsidRDefault="002F765A" w:rsidP="00EC2A64">
      <w:pPr>
        <w:spacing w:line="240" w:lineRule="auto"/>
        <w:ind w:firstLine="426"/>
        <w:rPr>
          <w:lang w:val="fr-FR"/>
        </w:rPr>
      </w:pPr>
      <w:r w:rsidRPr="003C0842">
        <w:rPr>
          <w:rStyle w:val="hps"/>
          <w:color w:val="333333"/>
          <w:lang w:val="fr-FR"/>
        </w:rPr>
        <w:t>ASHA</w:t>
      </w:r>
      <w:r w:rsidR="00164234" w:rsidRPr="003C0842">
        <w:rPr>
          <w:rStyle w:val="hps"/>
          <w:color w:val="333333"/>
          <w:lang w:val="fr-FR"/>
        </w:rPr>
        <w:t>–</w:t>
      </w:r>
      <w:r w:rsidRPr="003C0842">
        <w:rPr>
          <w:lang w:val="fr-FR"/>
        </w:rPr>
        <w:t>American Social Hygiene Association</w:t>
      </w:r>
    </w:p>
    <w:p w:rsidR="002F765A" w:rsidRPr="003C0842" w:rsidRDefault="002F765A" w:rsidP="00EC2A64">
      <w:pPr>
        <w:spacing w:line="240" w:lineRule="auto"/>
        <w:ind w:firstLine="426"/>
        <w:rPr>
          <w:lang w:val="fr-FR"/>
        </w:rPr>
      </w:pPr>
      <w:r w:rsidRPr="003C0842">
        <w:rPr>
          <w:lang w:val="fr-FR"/>
        </w:rPr>
        <w:t xml:space="preserve">CICI </w:t>
      </w:r>
      <w:r w:rsidR="00164234" w:rsidRPr="003C0842">
        <w:rPr>
          <w:lang w:val="fr-FR"/>
        </w:rPr>
        <w:t>–</w:t>
      </w:r>
      <w:r w:rsidRPr="003C0842">
        <w:rPr>
          <w:lang w:val="fr-FR"/>
        </w:rPr>
        <w:t xml:space="preserve"> Commission Internationale de la Coopération Intelectuelle </w:t>
      </w:r>
    </w:p>
    <w:p w:rsidR="002F765A" w:rsidRPr="003C0842" w:rsidRDefault="002F765A" w:rsidP="00EC2A64">
      <w:pPr>
        <w:spacing w:line="240" w:lineRule="auto"/>
        <w:ind w:firstLine="426"/>
        <w:rPr>
          <w:lang w:val="fr-FR"/>
        </w:rPr>
      </w:pPr>
      <w:r w:rsidRPr="003C0842">
        <w:rPr>
          <w:lang w:val="fr-FR"/>
        </w:rPr>
        <w:t xml:space="preserve">CPC </w:t>
      </w:r>
      <w:r w:rsidR="00164234" w:rsidRPr="003C0842">
        <w:rPr>
          <w:lang w:val="fr-FR"/>
        </w:rPr>
        <w:t>–</w:t>
      </w:r>
      <w:r w:rsidRPr="003C0842">
        <w:rPr>
          <w:lang w:val="fr-FR"/>
        </w:rPr>
        <w:t xml:space="preserve"> Commission Permanente Consultative pour les Affaires Militaire, Navales et Aériennes</w:t>
      </w:r>
    </w:p>
    <w:p w:rsidR="002F765A" w:rsidRPr="003C0842" w:rsidRDefault="002F765A" w:rsidP="00EC2A64">
      <w:pPr>
        <w:spacing w:line="240" w:lineRule="auto"/>
        <w:ind w:firstLine="426"/>
        <w:rPr>
          <w:lang w:val="fr-FR"/>
        </w:rPr>
      </w:pPr>
      <w:r w:rsidRPr="003C0842">
        <w:rPr>
          <w:lang w:val="fr-FR"/>
        </w:rPr>
        <w:t>CPCD</w:t>
      </w:r>
      <w:r w:rsidR="00164234" w:rsidRPr="003C0842">
        <w:rPr>
          <w:lang w:val="fr-FR"/>
        </w:rPr>
        <w:t>–</w:t>
      </w:r>
      <w:r w:rsidRPr="003C0842">
        <w:rPr>
          <w:lang w:val="fr-FR"/>
        </w:rPr>
        <w:t xml:space="preserve"> Commission Préparatoirede la Conférence du Désarmement</w:t>
      </w:r>
    </w:p>
    <w:p w:rsidR="002F765A" w:rsidRPr="003C0842" w:rsidRDefault="002F765A" w:rsidP="00EC2A64">
      <w:pPr>
        <w:spacing w:line="240" w:lineRule="auto"/>
        <w:ind w:firstLine="426"/>
        <w:rPr>
          <w:lang w:val="en-US"/>
        </w:rPr>
      </w:pPr>
      <w:r w:rsidRPr="003C0842">
        <w:rPr>
          <w:lang w:val="en-US"/>
        </w:rPr>
        <w:t>CRW</w:t>
      </w:r>
      <w:r w:rsidR="00164234" w:rsidRPr="003C0842">
        <w:rPr>
          <w:lang w:val="en-US"/>
        </w:rPr>
        <w:t>–</w:t>
      </w:r>
      <w:r w:rsidRPr="003C0842">
        <w:rPr>
          <w:lang w:val="en-US"/>
        </w:rPr>
        <w:t xml:space="preserve"> The Council for the Representation of Women in the League of Nations </w:t>
      </w:r>
    </w:p>
    <w:p w:rsidR="002F765A" w:rsidRPr="003C0842" w:rsidRDefault="00DC36AE" w:rsidP="00EC2A64">
      <w:pPr>
        <w:spacing w:line="240" w:lineRule="auto"/>
        <w:ind w:firstLine="426"/>
      </w:pPr>
      <w:r w:rsidRPr="003C0842">
        <w:t xml:space="preserve">CTM </w:t>
      </w:r>
      <w:r w:rsidR="00164234" w:rsidRPr="003C0842">
        <w:t>–</w:t>
      </w:r>
      <w:r w:rsidRPr="003C0842">
        <w:t xml:space="preserve"> Commission Temporarie Mixte </w:t>
      </w:r>
      <w:r w:rsidR="002F765A" w:rsidRPr="003C0842">
        <w:t>(Tymczasowa Komisja Mieszana)</w:t>
      </w:r>
    </w:p>
    <w:p w:rsidR="002F765A" w:rsidRPr="003C0842" w:rsidRDefault="002F765A" w:rsidP="00EC2A64">
      <w:pPr>
        <w:spacing w:line="240" w:lineRule="auto"/>
        <w:ind w:firstLine="426"/>
      </w:pPr>
      <w:r w:rsidRPr="003C0842">
        <w:t>DDI – Documenti Diplomatici Italiani</w:t>
      </w:r>
    </w:p>
    <w:p w:rsidR="004E68B5" w:rsidRPr="003C0842" w:rsidRDefault="004E68B5" w:rsidP="002F765A">
      <w:pPr>
        <w:spacing w:line="240" w:lineRule="auto"/>
      </w:pPr>
      <w:r w:rsidRPr="003C0842">
        <w:t>Del. RP przy LN</w:t>
      </w:r>
      <w:r w:rsidR="00164234" w:rsidRPr="003C0842">
        <w:t>–</w:t>
      </w:r>
      <w:r w:rsidRPr="003C0842">
        <w:t xml:space="preserve"> Delegacja Rzeczypospolitej Polskiej przy Lidze Narodów</w:t>
      </w:r>
    </w:p>
    <w:p w:rsidR="002F765A" w:rsidRPr="003C0842" w:rsidRDefault="002F765A" w:rsidP="002F765A">
      <w:pPr>
        <w:spacing w:line="240" w:lineRule="auto"/>
        <w:rPr>
          <w:lang w:val="de-AT"/>
        </w:rPr>
      </w:pPr>
      <w:r w:rsidRPr="003C0842">
        <w:rPr>
          <w:lang w:val="de-AT"/>
        </w:rPr>
        <w:t xml:space="preserve">DLfV </w:t>
      </w:r>
      <w:r w:rsidR="00164234" w:rsidRPr="003C0842">
        <w:rPr>
          <w:lang w:val="de-AT"/>
        </w:rPr>
        <w:t>–</w:t>
      </w:r>
      <w:r w:rsidRPr="003C0842">
        <w:rPr>
          <w:lang w:val="de-AT"/>
        </w:rPr>
        <w:t xml:space="preserve"> Deutsche Liga für Völkerbund</w:t>
      </w:r>
    </w:p>
    <w:p w:rsidR="002F765A" w:rsidRPr="003C0842" w:rsidRDefault="00164234" w:rsidP="002F765A">
      <w:pPr>
        <w:spacing w:line="240" w:lineRule="auto"/>
        <w:rPr>
          <w:lang w:val="de-AT"/>
        </w:rPr>
      </w:pPr>
      <w:r w:rsidRPr="003C0842">
        <w:rPr>
          <w:lang w:val="de-AT"/>
        </w:rPr>
        <w:t>Dz.</w:t>
      </w:r>
      <w:r w:rsidR="002F765A" w:rsidRPr="003C0842">
        <w:rPr>
          <w:lang w:val="de-AT"/>
        </w:rPr>
        <w:t>U.</w:t>
      </w:r>
      <w:r w:rsidRPr="003C0842">
        <w:rPr>
          <w:lang w:val="de-AT"/>
        </w:rPr>
        <w:t xml:space="preserve"> –</w:t>
      </w:r>
      <w:r w:rsidR="002F765A" w:rsidRPr="003C0842">
        <w:rPr>
          <w:lang w:val="de-AT"/>
        </w:rPr>
        <w:t xml:space="preserve"> Dziennik Ustaw</w:t>
      </w:r>
    </w:p>
    <w:p w:rsidR="002F765A" w:rsidRPr="003C0842" w:rsidRDefault="002F765A" w:rsidP="002F765A">
      <w:pPr>
        <w:spacing w:line="240" w:lineRule="auto"/>
        <w:rPr>
          <w:lang w:val="en-US"/>
        </w:rPr>
      </w:pPr>
      <w:r w:rsidRPr="003C0842">
        <w:rPr>
          <w:lang w:val="en-US"/>
        </w:rPr>
        <w:t>J</w:t>
      </w:r>
      <w:r w:rsidR="00DC36AE" w:rsidRPr="003C0842">
        <w:rPr>
          <w:lang w:val="en-US"/>
        </w:rPr>
        <w:t>.</w:t>
      </w:r>
      <w:r w:rsidRPr="003C0842">
        <w:rPr>
          <w:lang w:val="en-US"/>
        </w:rPr>
        <w:t>O</w:t>
      </w:r>
      <w:r w:rsidR="00DC36AE" w:rsidRPr="003C0842">
        <w:rPr>
          <w:lang w:val="en-US"/>
        </w:rPr>
        <w:t>.</w:t>
      </w:r>
      <w:r w:rsidR="00164234" w:rsidRPr="003C0842">
        <w:rPr>
          <w:lang w:val="en-US"/>
        </w:rPr>
        <w:t>–</w:t>
      </w:r>
      <w:r w:rsidRPr="003C0842">
        <w:rPr>
          <w:lang w:val="en-US"/>
        </w:rPr>
        <w:t xml:space="preserve"> Journal Officiel</w:t>
      </w:r>
    </w:p>
    <w:p w:rsidR="002F765A" w:rsidRPr="003C0842" w:rsidRDefault="002F765A" w:rsidP="002F765A">
      <w:pPr>
        <w:spacing w:line="240" w:lineRule="auto"/>
        <w:rPr>
          <w:lang w:val="en-US"/>
        </w:rPr>
      </w:pPr>
      <w:r w:rsidRPr="003C0842">
        <w:rPr>
          <w:lang w:val="en-US"/>
        </w:rPr>
        <w:t>LN – Liga Narodów, League of Nations</w:t>
      </w:r>
    </w:p>
    <w:p w:rsidR="002F765A" w:rsidRPr="003C0842" w:rsidRDefault="002F765A" w:rsidP="002F765A">
      <w:pPr>
        <w:spacing w:line="240" w:lineRule="auto"/>
      </w:pPr>
      <w:r w:rsidRPr="003C0842">
        <w:t xml:space="preserve">MBP </w:t>
      </w:r>
      <w:r w:rsidR="00164234" w:rsidRPr="003C0842">
        <w:t>–</w:t>
      </w:r>
      <w:r w:rsidRPr="003C0842">
        <w:t xml:space="preserve"> Międzynarodowe Biuro Pracy</w:t>
      </w:r>
    </w:p>
    <w:p w:rsidR="002F765A" w:rsidRPr="003C0842" w:rsidRDefault="002F765A" w:rsidP="002F765A">
      <w:pPr>
        <w:spacing w:line="240" w:lineRule="auto"/>
      </w:pPr>
      <w:r w:rsidRPr="003C0842">
        <w:t>MKK</w:t>
      </w:r>
      <w:r w:rsidR="00164234" w:rsidRPr="003C0842">
        <w:t>–</w:t>
      </w:r>
      <w:r w:rsidRPr="003C0842">
        <w:t xml:space="preserve"> Międzysojusznicza Komisja Kontrolna </w:t>
      </w:r>
    </w:p>
    <w:p w:rsidR="002F765A" w:rsidRPr="003C0842" w:rsidRDefault="002F765A" w:rsidP="002F765A">
      <w:pPr>
        <w:spacing w:line="240" w:lineRule="auto"/>
      </w:pPr>
      <w:r w:rsidRPr="003C0842">
        <w:t xml:space="preserve">MOP </w:t>
      </w:r>
      <w:r w:rsidR="00164234" w:rsidRPr="003C0842">
        <w:t>–</w:t>
      </w:r>
      <w:r w:rsidRPr="003C0842">
        <w:t xml:space="preserve"> Międzynarodowa Organizacja Pracy</w:t>
      </w:r>
    </w:p>
    <w:p w:rsidR="004E68B5" w:rsidRPr="003C0842" w:rsidRDefault="004E68B5" w:rsidP="002F765A">
      <w:pPr>
        <w:spacing w:line="240" w:lineRule="auto"/>
      </w:pPr>
      <w:r w:rsidRPr="003C0842">
        <w:t xml:space="preserve">MSZ </w:t>
      </w:r>
      <w:r w:rsidR="00164234" w:rsidRPr="003C0842">
        <w:t>–</w:t>
      </w:r>
      <w:r w:rsidRPr="003C0842">
        <w:t xml:space="preserve">Ministerstwo Spraw Zagranicznych </w:t>
      </w:r>
    </w:p>
    <w:p w:rsidR="002F765A" w:rsidRPr="003C0842" w:rsidRDefault="002F765A" w:rsidP="004E68B5">
      <w:pPr>
        <w:spacing w:line="240" w:lineRule="auto"/>
        <w:rPr>
          <w:lang w:val="fr-FR"/>
        </w:rPr>
      </w:pPr>
      <w:r w:rsidRPr="003C0842">
        <w:rPr>
          <w:lang w:val="fr-FR"/>
        </w:rPr>
        <w:t xml:space="preserve">P.V.C. </w:t>
      </w:r>
      <w:r w:rsidR="00164234" w:rsidRPr="003C0842">
        <w:rPr>
          <w:lang w:val="fr-FR"/>
        </w:rPr>
        <w:t>–</w:t>
      </w:r>
      <w:r w:rsidRPr="003C0842">
        <w:rPr>
          <w:lang w:val="fr-FR"/>
        </w:rPr>
        <w:t xml:space="preserve"> Procès</w:t>
      </w:r>
      <w:r w:rsidR="00164234" w:rsidRPr="003C0842">
        <w:rPr>
          <w:lang w:val="fr-FR"/>
        </w:rPr>
        <w:t>-</w:t>
      </w:r>
      <w:r w:rsidRPr="003C0842">
        <w:rPr>
          <w:lang w:val="fr-FR"/>
        </w:rPr>
        <w:t>verbaux du Conseil</w:t>
      </w:r>
    </w:p>
    <w:p w:rsidR="002F765A" w:rsidRPr="003C0842" w:rsidRDefault="002F765A" w:rsidP="002F765A">
      <w:pPr>
        <w:spacing w:line="240" w:lineRule="auto"/>
        <w:rPr>
          <w:lang w:val="fr-FR"/>
        </w:rPr>
      </w:pPr>
      <w:r w:rsidRPr="003C0842">
        <w:rPr>
          <w:lang w:val="fr-FR"/>
        </w:rPr>
        <w:t xml:space="preserve">Resumé </w:t>
      </w:r>
      <w:r w:rsidR="004E68B5" w:rsidRPr="003C0842">
        <w:rPr>
          <w:lang w:val="fr-FR"/>
        </w:rPr>
        <w:t>Mensuel</w:t>
      </w:r>
      <w:r w:rsidR="00164234" w:rsidRPr="003C0842">
        <w:rPr>
          <w:lang w:val="fr-FR"/>
        </w:rPr>
        <w:t>–</w:t>
      </w:r>
      <w:r w:rsidRPr="003C0842">
        <w:rPr>
          <w:lang w:val="fr-FR"/>
        </w:rPr>
        <w:t xml:space="preserve"> Resumé Mensuel des Travoux de la Société des Nations</w:t>
      </w:r>
    </w:p>
    <w:p w:rsidR="002F765A" w:rsidRPr="003C0842" w:rsidRDefault="000A24E0" w:rsidP="002F765A">
      <w:pPr>
        <w:spacing w:line="240" w:lineRule="auto"/>
        <w:rPr>
          <w:lang w:val="fr-FR"/>
        </w:rPr>
      </w:pPr>
      <w:r>
        <w:rPr>
          <w:lang w:val="fr-FR"/>
        </w:rPr>
        <w:t>RP – Rzecz</w:t>
      </w:r>
      <w:r w:rsidR="002F765A" w:rsidRPr="003C0842">
        <w:rPr>
          <w:lang w:val="fr-FR"/>
        </w:rPr>
        <w:t>pospolita Polska</w:t>
      </w:r>
    </w:p>
    <w:p w:rsidR="00B33C57" w:rsidRPr="003C0842" w:rsidRDefault="00B33C57" w:rsidP="002F765A">
      <w:pPr>
        <w:spacing w:line="240" w:lineRule="auto"/>
        <w:rPr>
          <w:lang w:val="fr-FR"/>
        </w:rPr>
      </w:pPr>
      <w:r w:rsidRPr="003C0842">
        <w:rPr>
          <w:lang w:val="fr-FR"/>
        </w:rPr>
        <w:t xml:space="preserve">SDN </w:t>
      </w:r>
      <w:r w:rsidR="00164234" w:rsidRPr="003C0842">
        <w:rPr>
          <w:lang w:val="fr-FR"/>
        </w:rPr>
        <w:t>–</w:t>
      </w:r>
      <w:r w:rsidRPr="003C0842">
        <w:rPr>
          <w:lang w:val="fr-FR"/>
        </w:rPr>
        <w:t xml:space="preserve"> Société des Nations</w:t>
      </w:r>
    </w:p>
    <w:p w:rsidR="00642A7D" w:rsidRPr="003C0842" w:rsidRDefault="00642A7D" w:rsidP="002F765A">
      <w:pPr>
        <w:spacing w:line="240" w:lineRule="auto"/>
      </w:pPr>
      <w:r w:rsidRPr="003C0842">
        <w:t xml:space="preserve">SIA </w:t>
      </w:r>
      <w:r w:rsidR="00164234" w:rsidRPr="003C0842">
        <w:t>–</w:t>
      </w:r>
      <w:r w:rsidRPr="003C0842">
        <w:t xml:space="preserve"> Survey of International Affaires </w:t>
      </w:r>
    </w:p>
    <w:p w:rsidR="002F765A" w:rsidRPr="003C0842" w:rsidRDefault="002F765A" w:rsidP="002F765A">
      <w:pPr>
        <w:spacing w:line="240" w:lineRule="auto"/>
      </w:pPr>
      <w:r w:rsidRPr="003C0842">
        <w:t xml:space="preserve">STSM </w:t>
      </w:r>
      <w:r w:rsidR="00164234" w:rsidRPr="003C0842">
        <w:t>–</w:t>
      </w:r>
      <w:r w:rsidRPr="003C0842">
        <w:rPr>
          <w:color w:val="000000"/>
        </w:rPr>
        <w:t xml:space="preserve"> Stały Trybunał Sprawiedliwości Międzynarodowej</w:t>
      </w:r>
    </w:p>
    <w:p w:rsidR="002F765A" w:rsidRPr="003C0842" w:rsidRDefault="002F765A" w:rsidP="002F765A">
      <w:pPr>
        <w:spacing w:line="240" w:lineRule="auto"/>
        <w:rPr>
          <w:color w:val="000000"/>
          <w:lang w:val="fr-FR"/>
        </w:rPr>
      </w:pPr>
      <w:r w:rsidRPr="003C0842">
        <w:rPr>
          <w:color w:val="000000"/>
          <w:lang w:val="fr-FR"/>
        </w:rPr>
        <w:t xml:space="preserve">UIA </w:t>
      </w:r>
      <w:r w:rsidR="00164234" w:rsidRPr="003C0842">
        <w:rPr>
          <w:color w:val="000000"/>
          <w:lang w:val="fr-FR"/>
        </w:rPr>
        <w:t>–</w:t>
      </w:r>
      <w:r w:rsidRPr="003C0842">
        <w:rPr>
          <w:lang w:val="fr-FR"/>
        </w:rPr>
        <w:t>Union Internationale des Associations pour la Société des Nations</w:t>
      </w:r>
    </w:p>
    <w:p w:rsidR="002F765A" w:rsidRPr="00387453" w:rsidRDefault="002F765A" w:rsidP="002F765A">
      <w:pPr>
        <w:spacing w:line="240" w:lineRule="auto"/>
      </w:pPr>
      <w:r w:rsidRPr="00387453">
        <w:lastRenderedPageBreak/>
        <w:t xml:space="preserve">UNIA </w:t>
      </w:r>
      <w:r w:rsidR="00164234" w:rsidRPr="00387453">
        <w:t>–</w:t>
      </w:r>
      <w:r w:rsidRPr="00387453">
        <w:t xml:space="preserve"> Universal Negro Improvement Association</w:t>
      </w:r>
    </w:p>
    <w:p w:rsidR="002F765A" w:rsidRPr="00387453" w:rsidRDefault="002F765A" w:rsidP="002F765A">
      <w:pPr>
        <w:spacing w:line="240" w:lineRule="auto"/>
      </w:pPr>
      <w:r w:rsidRPr="00387453">
        <w:t>WBC – Wielkopolska Biblioteka Cyfrowa</w:t>
      </w:r>
    </w:p>
    <w:p w:rsidR="002F765A" w:rsidRPr="003C0842" w:rsidRDefault="002F765A" w:rsidP="002F765A">
      <w:pPr>
        <w:spacing w:line="240" w:lineRule="auto"/>
      </w:pPr>
      <w:r w:rsidRPr="003C0842">
        <w:t xml:space="preserve">ZSRR </w:t>
      </w:r>
      <w:r w:rsidR="00164234" w:rsidRPr="003C0842">
        <w:t>–</w:t>
      </w:r>
      <w:r w:rsidRPr="003C0842">
        <w:t xml:space="preserve"> Związek Socjalistycznych Republik Radzieckich</w:t>
      </w:r>
    </w:p>
    <w:p w:rsidR="002F765A" w:rsidRPr="003C0842" w:rsidRDefault="002F765A" w:rsidP="00111348">
      <w:pPr>
        <w:spacing w:line="360" w:lineRule="auto"/>
        <w:ind w:firstLine="0"/>
      </w:pPr>
    </w:p>
    <w:p w:rsidR="00B60331" w:rsidRDefault="00B60331" w:rsidP="00210831">
      <w:pPr>
        <w:spacing w:line="240" w:lineRule="auto"/>
        <w:jc w:val="center"/>
        <w:rPr>
          <w:b/>
        </w:rPr>
      </w:pPr>
    </w:p>
    <w:p w:rsidR="00210831" w:rsidRPr="003C0842" w:rsidRDefault="00210831" w:rsidP="00210831">
      <w:pPr>
        <w:spacing w:line="240" w:lineRule="auto"/>
        <w:jc w:val="center"/>
        <w:rPr>
          <w:b/>
        </w:rPr>
      </w:pPr>
      <w:r w:rsidRPr="003C0842">
        <w:rPr>
          <w:b/>
        </w:rPr>
        <w:t>SPIS TREŚCI</w:t>
      </w:r>
    </w:p>
    <w:p w:rsidR="00210831" w:rsidRPr="003C0842" w:rsidRDefault="00210831" w:rsidP="00210831">
      <w:pPr>
        <w:spacing w:line="240" w:lineRule="auto"/>
      </w:pPr>
    </w:p>
    <w:p w:rsidR="00210831" w:rsidRDefault="00210831" w:rsidP="00210831">
      <w:pPr>
        <w:spacing w:line="240" w:lineRule="auto"/>
      </w:pPr>
      <w:r w:rsidRPr="003C0842">
        <w:t>Wstęp</w:t>
      </w:r>
    </w:p>
    <w:p w:rsidR="00851657" w:rsidRPr="003C0842" w:rsidRDefault="00851657" w:rsidP="00210831">
      <w:pPr>
        <w:spacing w:line="240" w:lineRule="auto"/>
      </w:pPr>
    </w:p>
    <w:p w:rsidR="00210831" w:rsidRPr="003C0842" w:rsidRDefault="00210831" w:rsidP="00210831">
      <w:pPr>
        <w:spacing w:line="240" w:lineRule="auto"/>
        <w:ind w:firstLine="0"/>
      </w:pPr>
      <w:r w:rsidRPr="003C0842">
        <w:t xml:space="preserve">Rozdział I. Trudne początki </w:t>
      </w:r>
    </w:p>
    <w:p w:rsidR="00210831" w:rsidRPr="003C0842" w:rsidRDefault="00210831" w:rsidP="00210831">
      <w:pPr>
        <w:spacing w:line="240" w:lineRule="auto"/>
      </w:pPr>
    </w:p>
    <w:p w:rsidR="00210831" w:rsidRPr="00387453" w:rsidRDefault="00210831" w:rsidP="00210831">
      <w:pPr>
        <w:spacing w:line="240" w:lineRule="auto"/>
      </w:pPr>
      <w:r w:rsidRPr="00387453">
        <w:t xml:space="preserve">1. Twórcy </w:t>
      </w:r>
      <w:r w:rsidR="00B60331" w:rsidRPr="00387453">
        <w:rPr>
          <w:highlight w:val="cyan"/>
        </w:rPr>
        <w:t>Ligi Narodów???</w:t>
      </w:r>
      <w:r w:rsidRPr="00387453">
        <w:t>de nomine</w:t>
      </w:r>
    </w:p>
    <w:p w:rsidR="00210831" w:rsidRPr="00387453" w:rsidRDefault="00210831" w:rsidP="00210831">
      <w:pPr>
        <w:spacing w:line="240" w:lineRule="auto"/>
      </w:pPr>
      <w:r w:rsidRPr="00387453">
        <w:t>2.Twórcy de facto</w:t>
      </w:r>
    </w:p>
    <w:p w:rsidR="00210831" w:rsidRPr="003C0842" w:rsidRDefault="00210831" w:rsidP="00210831">
      <w:pPr>
        <w:spacing w:line="240" w:lineRule="auto"/>
      </w:pPr>
      <w:r w:rsidRPr="003C0842">
        <w:t>3. Pr</w:t>
      </w:r>
      <w:r w:rsidR="00EC2A64" w:rsidRPr="003C0842">
        <w:t>zyjęcie Węgier</w:t>
      </w:r>
    </w:p>
    <w:p w:rsidR="00210831" w:rsidRPr="003C0842" w:rsidRDefault="00210831" w:rsidP="00210831">
      <w:pPr>
        <w:spacing w:line="240" w:lineRule="auto"/>
      </w:pPr>
      <w:r w:rsidRPr="003C0842">
        <w:t>4. Akcesja Irlandii, Etiopii i Dominikany (1923</w:t>
      </w:r>
      <w:r w:rsidR="00B64D08">
        <w:t>-</w:t>
      </w:r>
      <w:r w:rsidRPr="003C0842">
        <w:t>1924</w:t>
      </w:r>
      <w:r w:rsidR="00B60331">
        <w:t>)</w:t>
      </w:r>
    </w:p>
    <w:p w:rsidR="00210831" w:rsidRPr="003C0842" w:rsidRDefault="00210831" w:rsidP="00210831">
      <w:pPr>
        <w:spacing w:line="240" w:lineRule="auto"/>
      </w:pPr>
    </w:p>
    <w:p w:rsidR="00210831" w:rsidRPr="003C0842" w:rsidRDefault="00210831" w:rsidP="00210831">
      <w:pPr>
        <w:spacing w:line="360" w:lineRule="auto"/>
        <w:ind w:firstLine="0"/>
        <w:outlineLvl w:val="0"/>
        <w:rPr>
          <w:b/>
        </w:rPr>
      </w:pPr>
      <w:r w:rsidRPr="003C0842">
        <w:t>Rozdział II. Liga bez Niemiec</w:t>
      </w:r>
    </w:p>
    <w:p w:rsidR="00210831" w:rsidRPr="00DC65D6" w:rsidRDefault="00DC65D6" w:rsidP="00210831">
      <w:pPr>
        <w:spacing w:line="240" w:lineRule="auto"/>
      </w:pPr>
      <w:r w:rsidRPr="00DC65D6">
        <w:t>1. Passive Mitgliedschaft</w:t>
      </w:r>
    </w:p>
    <w:p w:rsidR="00210831" w:rsidRPr="003C0842" w:rsidRDefault="00DC65D6" w:rsidP="00210831">
      <w:pPr>
        <w:spacing w:line="240" w:lineRule="auto"/>
        <w:ind w:left="284"/>
      </w:pPr>
      <w:r>
        <w:t>a</w:t>
      </w:r>
      <w:r w:rsidR="0080192E">
        <w:t>.</w:t>
      </w:r>
      <w:r w:rsidR="00210831" w:rsidRPr="003C0842">
        <w:t>Niemiecka niechęć do Ligi Narodów</w:t>
      </w:r>
    </w:p>
    <w:p w:rsidR="00210831" w:rsidRPr="003C0842" w:rsidRDefault="00DC65D6" w:rsidP="00DC65D6">
      <w:pPr>
        <w:spacing w:line="240" w:lineRule="auto"/>
      </w:pPr>
      <w:r>
        <w:t>2</w:t>
      </w:r>
      <w:r w:rsidR="00210831" w:rsidRPr="003C0842">
        <w:t>.Techniczna obecność Niemiec w Genewie</w:t>
      </w:r>
    </w:p>
    <w:p w:rsidR="00210831" w:rsidRPr="003C0842" w:rsidRDefault="00210831" w:rsidP="00DC65D6">
      <w:pPr>
        <w:spacing w:line="240" w:lineRule="auto"/>
        <w:ind w:left="284"/>
      </w:pPr>
      <w:r w:rsidRPr="003C0842">
        <w:t>a</w:t>
      </w:r>
      <w:r w:rsidR="0080192E">
        <w:t>.</w:t>
      </w:r>
      <w:r w:rsidRPr="003C0842">
        <w:t>Międzynarodowa Organizacja Pracy (MOP</w:t>
      </w:r>
      <w:r w:rsidR="005F4C1D">
        <w:t>)</w:t>
      </w:r>
    </w:p>
    <w:p w:rsidR="00210831" w:rsidRPr="003C0842" w:rsidRDefault="00210831" w:rsidP="00DC65D6">
      <w:pPr>
        <w:spacing w:line="240" w:lineRule="auto"/>
        <w:ind w:left="284"/>
      </w:pPr>
      <w:r w:rsidRPr="003C0842">
        <w:t>b</w:t>
      </w:r>
      <w:r w:rsidR="0080192E">
        <w:t>.</w:t>
      </w:r>
      <w:r w:rsidRPr="003C0842">
        <w:t>Aktywność społeczno-humanitarna</w:t>
      </w:r>
    </w:p>
    <w:p w:rsidR="00210831" w:rsidRPr="003C0842" w:rsidRDefault="00210831" w:rsidP="00DC65D6">
      <w:pPr>
        <w:spacing w:line="240" w:lineRule="auto"/>
        <w:ind w:left="284"/>
      </w:pPr>
      <w:r w:rsidRPr="003C0842">
        <w:t>c</w:t>
      </w:r>
      <w:r w:rsidR="0080192E">
        <w:t>.</w:t>
      </w:r>
      <w:r w:rsidRPr="003C0842">
        <w:t xml:space="preserve"> Prawa kobiet</w:t>
      </w:r>
    </w:p>
    <w:p w:rsidR="00210831" w:rsidRPr="003C0842" w:rsidRDefault="00210831" w:rsidP="00DC65D6">
      <w:pPr>
        <w:spacing w:line="240" w:lineRule="auto"/>
        <w:ind w:left="284"/>
      </w:pPr>
      <w:r w:rsidRPr="003C0842">
        <w:t>d</w:t>
      </w:r>
      <w:r w:rsidR="0080192E">
        <w:t>.</w:t>
      </w:r>
      <w:r w:rsidRPr="003C0842">
        <w:t xml:space="preserve"> Narkotyk</w:t>
      </w:r>
      <w:r w:rsidR="00DC2D87" w:rsidRPr="003C0842">
        <w:t>i</w:t>
      </w:r>
      <w:r w:rsidR="00B60331" w:rsidRPr="00B60331">
        <w:rPr>
          <w:highlight w:val="cyan"/>
        </w:rPr>
        <w:t>Handel narkotykami</w:t>
      </w:r>
      <w:r w:rsidR="00B60331">
        <w:t>???</w:t>
      </w:r>
    </w:p>
    <w:p w:rsidR="00210831" w:rsidRPr="003C0842" w:rsidRDefault="00210831" w:rsidP="00DC65D6">
      <w:pPr>
        <w:spacing w:line="240" w:lineRule="auto"/>
        <w:ind w:left="284"/>
      </w:pPr>
      <w:r w:rsidRPr="003C0842">
        <w:t>e</w:t>
      </w:r>
      <w:r w:rsidR="0080192E">
        <w:t>.</w:t>
      </w:r>
      <w:r w:rsidRPr="003C0842">
        <w:t xml:space="preserve"> Współpraca intelektualna</w:t>
      </w:r>
    </w:p>
    <w:p w:rsidR="00210831" w:rsidRPr="003C0842" w:rsidRDefault="00210831" w:rsidP="00DC65D6">
      <w:pPr>
        <w:spacing w:line="240" w:lineRule="auto"/>
        <w:ind w:left="284"/>
      </w:pPr>
      <w:r w:rsidRPr="003C0842">
        <w:t>f</w:t>
      </w:r>
      <w:r w:rsidR="0080192E">
        <w:t>.</w:t>
      </w:r>
      <w:r w:rsidRPr="003C0842">
        <w:t xml:space="preserve"> Spory reparacyjne</w:t>
      </w:r>
    </w:p>
    <w:p w:rsidR="00210831" w:rsidRPr="003C0842" w:rsidRDefault="00210831" w:rsidP="00210831">
      <w:pPr>
        <w:spacing w:line="240" w:lineRule="auto"/>
        <w:ind w:left="567"/>
      </w:pPr>
    </w:p>
    <w:p w:rsidR="00210831" w:rsidRPr="003C0842" w:rsidRDefault="00210831" w:rsidP="00210831">
      <w:pPr>
        <w:spacing w:line="240" w:lineRule="auto"/>
      </w:pPr>
      <w:r w:rsidRPr="003C0842">
        <w:t>Rozdział III. Kierunek Genewa</w:t>
      </w:r>
    </w:p>
    <w:p w:rsidR="00210831" w:rsidRPr="003C0842" w:rsidRDefault="00210831" w:rsidP="00210831">
      <w:pPr>
        <w:spacing w:line="240" w:lineRule="auto"/>
      </w:pPr>
    </w:p>
    <w:p w:rsidR="00210831" w:rsidRPr="003C0842" w:rsidRDefault="00B60331" w:rsidP="00210831">
      <w:pPr>
        <w:spacing w:line="240" w:lineRule="auto"/>
      </w:pPr>
      <w:r>
        <w:t xml:space="preserve">1. </w:t>
      </w:r>
      <w:r w:rsidR="00210831" w:rsidRPr="003C0842">
        <w:t>Oswajanie L</w:t>
      </w:r>
      <w:r>
        <w:t xml:space="preserve">igi </w:t>
      </w:r>
      <w:r w:rsidR="00210831" w:rsidRPr="003C0842">
        <w:t>N</w:t>
      </w:r>
      <w:r>
        <w:t>arodów</w:t>
      </w:r>
      <w:r w:rsidR="00210831" w:rsidRPr="003C0842">
        <w:t xml:space="preserve"> w Niemczech</w:t>
      </w:r>
    </w:p>
    <w:p w:rsidR="00210831" w:rsidRPr="003C0842" w:rsidRDefault="00210831" w:rsidP="00210831">
      <w:pPr>
        <w:spacing w:line="240" w:lineRule="auto"/>
      </w:pPr>
      <w:r w:rsidRPr="003C0842">
        <w:t>2. Przełom 1923/</w:t>
      </w:r>
      <w:r w:rsidR="005F4C1D">
        <w:t>19</w:t>
      </w:r>
      <w:r w:rsidRPr="003C0842">
        <w:t>24</w:t>
      </w:r>
    </w:p>
    <w:p w:rsidR="00210831" w:rsidRPr="003C0842" w:rsidRDefault="00DC65D6" w:rsidP="00210831">
      <w:pPr>
        <w:spacing w:line="240" w:lineRule="auto"/>
      </w:pPr>
      <w:r>
        <w:t>3. Cień Locarno</w:t>
      </w:r>
    </w:p>
    <w:p w:rsidR="00210831" w:rsidRPr="003C0842" w:rsidRDefault="00210831" w:rsidP="00210831">
      <w:pPr>
        <w:spacing w:line="240" w:lineRule="auto"/>
      </w:pPr>
      <w:r w:rsidRPr="003C0842">
        <w:t>4. Bunt „średniaków</w:t>
      </w:r>
      <w:r w:rsidR="00B60331">
        <w:t>”</w:t>
      </w:r>
    </w:p>
    <w:p w:rsidR="00210831" w:rsidRPr="003C0842" w:rsidRDefault="00210831" w:rsidP="00210831">
      <w:pPr>
        <w:spacing w:line="240" w:lineRule="auto"/>
      </w:pPr>
      <w:r w:rsidRPr="003C0842">
        <w:t>5. Szach niemiecko-rosyjski</w:t>
      </w:r>
    </w:p>
    <w:p w:rsidR="00210831" w:rsidRPr="003C0842" w:rsidRDefault="00210831" w:rsidP="00210831">
      <w:pPr>
        <w:spacing w:line="240" w:lineRule="auto"/>
      </w:pPr>
      <w:r w:rsidRPr="003C0842">
        <w:t>6. Sukces, kompromis, klęska</w:t>
      </w:r>
    </w:p>
    <w:p w:rsidR="00210831" w:rsidRPr="003C0842" w:rsidRDefault="00210831" w:rsidP="00210831">
      <w:r w:rsidRPr="003C0842">
        <w:t xml:space="preserve">7. Sekretariat LN: walka o wpływy i stanowiska </w:t>
      </w:r>
      <w:r w:rsidR="00B60331" w:rsidRPr="00B60331">
        <w:rPr>
          <w:highlight w:val="cyan"/>
        </w:rPr>
        <w:t>Walka o wpływy i stanowiska. Rola Sekretariatu???</w:t>
      </w:r>
    </w:p>
    <w:p w:rsidR="00210831" w:rsidRPr="003C0842" w:rsidRDefault="00210831" w:rsidP="00210831"/>
    <w:p w:rsidR="00210831" w:rsidRPr="003C0842" w:rsidRDefault="00210831" w:rsidP="00210831">
      <w:r w:rsidRPr="003C0842">
        <w:t>Rozdział IV. Wygrane z nadzieją w tle</w:t>
      </w:r>
    </w:p>
    <w:p w:rsidR="00210831" w:rsidRPr="003C0842" w:rsidRDefault="00210831" w:rsidP="00210831"/>
    <w:p w:rsidR="00210831" w:rsidRPr="003C0842" w:rsidRDefault="00210831" w:rsidP="00210831">
      <w:r w:rsidRPr="003C0842">
        <w:t>1. Likwidacja Sojuszniczej Komisji Kontroli</w:t>
      </w:r>
    </w:p>
    <w:p w:rsidR="00210831" w:rsidRPr="003C0842" w:rsidRDefault="00210831" w:rsidP="00210831">
      <w:r w:rsidRPr="003C0842">
        <w:t>2. Rozruch rozbrojeni</w:t>
      </w:r>
      <w:r w:rsidR="00DC2D87" w:rsidRPr="003C0842">
        <w:t>a</w:t>
      </w:r>
      <w:r w:rsidR="00DB4D89" w:rsidRPr="003C0842">
        <w:rPr>
          <w:b/>
          <w:highlight w:val="yellow"/>
        </w:rPr>
        <w:t>[tytuł chyba niezbyt szczęśliwy…</w:t>
      </w:r>
    </w:p>
    <w:p w:rsidR="00210831" w:rsidRPr="003C0842" w:rsidRDefault="00DC65D6" w:rsidP="00210831">
      <w:r>
        <w:t xml:space="preserve">3. </w:t>
      </w:r>
      <w:r w:rsidR="00B60331">
        <w:t>„</w:t>
      </w:r>
      <w:r w:rsidR="00210831" w:rsidRPr="003C0842">
        <w:t>Gra w mniejszości</w:t>
      </w:r>
      <w:r w:rsidR="00B60331">
        <w:t>”</w:t>
      </w:r>
    </w:p>
    <w:p w:rsidR="00210831" w:rsidRDefault="00210831" w:rsidP="00210831">
      <w:r w:rsidRPr="003C0842">
        <w:t>4. Trampolina rewizji</w:t>
      </w:r>
      <w:r w:rsidR="00DC65D6" w:rsidRPr="00B60331">
        <w:rPr>
          <w:highlight w:val="cyan"/>
        </w:rPr>
        <w:t>Genewa – trampoliną rewizjonizmu</w:t>
      </w:r>
      <w:r w:rsidR="00B60331" w:rsidRPr="00B60331">
        <w:rPr>
          <w:highlight w:val="cyan"/>
        </w:rPr>
        <w:t>???</w:t>
      </w:r>
    </w:p>
    <w:p w:rsidR="005F4C1D" w:rsidRPr="003C0842" w:rsidRDefault="005F4C1D" w:rsidP="00210831"/>
    <w:p w:rsidR="00210831" w:rsidRPr="003C0842" w:rsidRDefault="00210831" w:rsidP="00210831">
      <w:r w:rsidRPr="003C0842">
        <w:t>Zakończenie</w:t>
      </w:r>
    </w:p>
    <w:p w:rsidR="00210831" w:rsidRPr="003C0842" w:rsidRDefault="00210831" w:rsidP="00210831"/>
    <w:p w:rsidR="00210831" w:rsidRPr="003C0842" w:rsidRDefault="00210831" w:rsidP="00210831">
      <w:pPr>
        <w:pStyle w:val="Tekstprzypisudolnego"/>
        <w:spacing w:line="240" w:lineRule="auto"/>
        <w:ind w:firstLine="709"/>
        <w:rPr>
          <w:sz w:val="24"/>
          <w:szCs w:val="24"/>
        </w:rPr>
      </w:pPr>
      <w:r w:rsidRPr="003C0842">
        <w:rPr>
          <w:sz w:val="24"/>
          <w:szCs w:val="24"/>
        </w:rPr>
        <w:t>Źródła i cytowana literatura</w:t>
      </w:r>
      <w:r w:rsidR="00B60331">
        <w:rPr>
          <w:sz w:val="24"/>
          <w:szCs w:val="24"/>
        </w:rPr>
        <w:t>???</w:t>
      </w:r>
    </w:p>
    <w:p w:rsidR="002F765A" w:rsidRPr="003C0842" w:rsidRDefault="002F765A" w:rsidP="00210831">
      <w:pPr>
        <w:pStyle w:val="Tekstprzypisudolnego"/>
        <w:spacing w:line="240" w:lineRule="auto"/>
        <w:ind w:firstLine="709"/>
        <w:rPr>
          <w:sz w:val="24"/>
          <w:szCs w:val="24"/>
        </w:rPr>
      </w:pPr>
      <w:r w:rsidRPr="003C0842">
        <w:rPr>
          <w:sz w:val="24"/>
          <w:szCs w:val="24"/>
        </w:rPr>
        <w:t xml:space="preserve">Wykaz </w:t>
      </w:r>
      <w:r w:rsidR="00EC2A64" w:rsidRPr="003C0842">
        <w:rPr>
          <w:sz w:val="24"/>
          <w:szCs w:val="24"/>
        </w:rPr>
        <w:t>ważniejszych skrótów</w:t>
      </w:r>
    </w:p>
    <w:p w:rsidR="00210831" w:rsidRPr="003C0842" w:rsidRDefault="00210831" w:rsidP="00210831">
      <w:pPr>
        <w:pStyle w:val="Tekstprzypisudolnego"/>
        <w:spacing w:line="240" w:lineRule="auto"/>
        <w:ind w:firstLine="709"/>
        <w:rPr>
          <w:sz w:val="24"/>
          <w:szCs w:val="24"/>
        </w:rPr>
      </w:pPr>
      <w:r w:rsidRPr="003C0842">
        <w:rPr>
          <w:sz w:val="24"/>
          <w:szCs w:val="24"/>
        </w:rPr>
        <w:t>Spis ilustracji</w:t>
      </w:r>
    </w:p>
    <w:p w:rsidR="00210831" w:rsidRPr="003C0842" w:rsidRDefault="00210831" w:rsidP="00210831">
      <w:pPr>
        <w:ind w:firstLine="708"/>
      </w:pPr>
      <w:r w:rsidRPr="003C0842">
        <w:lastRenderedPageBreak/>
        <w:t>Indeks</w:t>
      </w:r>
      <w:bookmarkStart w:id="0" w:name="_GoBack"/>
      <w:bookmarkEnd w:id="0"/>
    </w:p>
    <w:sectPr w:rsidR="00210831" w:rsidRPr="003C0842" w:rsidSect="00760F69">
      <w:footerReference w:type="even" r:id="rId11"/>
      <w:footerReference w:type="default" r:id="rId12"/>
      <w:pgSz w:w="11906" w:h="16838" w:code="9"/>
      <w:pgMar w:top="1417" w:right="1417" w:bottom="1417" w:left="1417"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42FAA" w:rsidRPr="00AD7684" w:rsidRDefault="00842FAA" w:rsidP="003D7DD4">
      <w:pPr>
        <w:spacing w:line="240" w:lineRule="auto"/>
        <w:rPr>
          <w:sz w:val="23"/>
          <w:szCs w:val="23"/>
        </w:rPr>
      </w:pPr>
      <w:r w:rsidRPr="00AD7684">
        <w:rPr>
          <w:sz w:val="23"/>
          <w:szCs w:val="23"/>
        </w:rPr>
        <w:separator/>
      </w:r>
    </w:p>
  </w:endnote>
  <w:endnote w:type="continuationSeparator" w:id="1">
    <w:p w:rsidR="00842FAA" w:rsidRPr="00AD7684" w:rsidRDefault="00842FAA" w:rsidP="003D7DD4">
      <w:pPr>
        <w:spacing w:line="240" w:lineRule="auto"/>
        <w:rPr>
          <w:sz w:val="23"/>
          <w:szCs w:val="23"/>
        </w:rPr>
      </w:pPr>
      <w:r w:rsidRPr="00AD7684">
        <w:rPr>
          <w:sz w:val="23"/>
          <w:szCs w:val="23"/>
        </w:rP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EE"/>
    <w:family w:val="swiss"/>
    <w:pitch w:val="variable"/>
    <w:sig w:usb0="20000287" w:usb1="00000000" w:usb2="00000000" w:usb3="00000000" w:csb0="0000019F" w:csb1="00000000"/>
  </w:font>
  <w:font w:name="Book Antiqua">
    <w:panose1 w:val="02040602050305030304"/>
    <w:charset w:val="EE"/>
    <w:family w:val="roman"/>
    <w:pitch w:val="variable"/>
    <w:sig w:usb0="00000287" w:usb1="00000000" w:usb2="00000000" w:usb3="00000000" w:csb0="0000009F" w:csb1="00000000"/>
  </w:font>
  <w:font w:name="Cambria">
    <w:panose1 w:val="02040503050406030204"/>
    <w:charset w:val="EE"/>
    <w:family w:val="roman"/>
    <w:pitch w:val="variable"/>
    <w:sig w:usb0="A00002EF" w:usb1="4000004B" w:usb2="00000000" w:usb3="00000000" w:csb0="0000009F" w:csb1="00000000"/>
  </w:font>
  <w:font w:name="Arial">
    <w:panose1 w:val="020B0604020202020204"/>
    <w:charset w:val="EE"/>
    <w:family w:val="swiss"/>
    <w:pitch w:val="variable"/>
    <w:sig w:usb0="20002A87" w:usb1="80000000" w:usb2="00000008" w:usb3="00000000" w:csb0="000001FF" w:csb1="00000000"/>
  </w:font>
  <w:font w:name="HelvetiSlav">
    <w:altName w:val="Courier New"/>
    <w:panose1 w:val="00000000000000000000"/>
    <w:charset w:val="00"/>
    <w:family w:val="auto"/>
    <w:notTrueType/>
    <w:pitch w:val="variable"/>
    <w:sig w:usb0="00000003" w:usb1="00000000" w:usb2="00000000" w:usb3="00000000" w:csb0="00000001" w:csb1="00000000"/>
  </w:font>
  <w:font w:name="TAccents">
    <w:altName w:val="Times New Roman"/>
    <w:panose1 w:val="00000000000000000000"/>
    <w:charset w:val="00"/>
    <w:family w:val="auto"/>
    <w:notTrueType/>
    <w:pitch w:val="variable"/>
    <w:sig w:usb0="00000003" w:usb1="00000000" w:usb2="00000000" w:usb3="00000000" w:csb0="00000001" w:csb1="00000000"/>
  </w:font>
  <w:font w:name="Tahoma">
    <w:panose1 w:val="020B0604030504040204"/>
    <w:charset w:val="EE"/>
    <w:family w:val="swiss"/>
    <w:pitch w:val="variable"/>
    <w:sig w:usb0="61002A87" w:usb1="80000000" w:usb2="00000008" w:usb3="00000000" w:csb0="000101FF" w:csb1="00000000"/>
  </w:font>
  <w:font w:name="MTSY">
    <w:altName w:val="Arial Unicode MS"/>
    <w:panose1 w:val="00000000000000000000"/>
    <w:charset w:val="81"/>
    <w:family w:val="auto"/>
    <w:notTrueType/>
    <w:pitch w:val="default"/>
    <w:sig w:usb0="00000001" w:usb1="09060000" w:usb2="00000010" w:usb3="00000000" w:csb0="0008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2133" w:rsidRDefault="00942133" w:rsidP="00A479B4">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end"/>
    </w:r>
  </w:p>
  <w:p w:rsidR="00942133" w:rsidRDefault="00942133" w:rsidP="00DB6EAD">
    <w:pPr>
      <w:pStyle w:val="Stopk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2133" w:rsidRDefault="00942133" w:rsidP="00A479B4">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separate"/>
    </w:r>
    <w:r w:rsidR="00BF3AED">
      <w:rPr>
        <w:rStyle w:val="Numerstrony"/>
        <w:noProof/>
      </w:rPr>
      <w:t>224</w:t>
    </w:r>
    <w:r>
      <w:rPr>
        <w:rStyle w:val="Numerstrony"/>
      </w:rPr>
      <w:fldChar w:fldCharType="end"/>
    </w:r>
  </w:p>
  <w:p w:rsidR="00942133" w:rsidRPr="00AD7684" w:rsidRDefault="00942133" w:rsidP="00DB6EAD">
    <w:pPr>
      <w:pStyle w:val="Stopka"/>
      <w:ind w:right="360"/>
      <w:jc w:val="center"/>
      <w:rPr>
        <w:sz w:val="23"/>
        <w:szCs w:val="23"/>
      </w:rPr>
    </w:pPr>
  </w:p>
  <w:p w:rsidR="00942133" w:rsidRPr="00AD7684" w:rsidRDefault="00942133">
    <w:pPr>
      <w:pStyle w:val="Stopka"/>
      <w:rPr>
        <w:sz w:val="23"/>
        <w:szCs w:val="23"/>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42FAA" w:rsidRPr="00AD7684" w:rsidRDefault="00842FAA" w:rsidP="00E353C2">
      <w:pPr>
        <w:spacing w:line="240" w:lineRule="auto"/>
        <w:ind w:firstLine="0"/>
        <w:rPr>
          <w:sz w:val="23"/>
          <w:szCs w:val="23"/>
        </w:rPr>
      </w:pPr>
      <w:r w:rsidRPr="00AD7684">
        <w:rPr>
          <w:sz w:val="23"/>
          <w:szCs w:val="23"/>
        </w:rPr>
        <w:separator/>
      </w:r>
    </w:p>
  </w:footnote>
  <w:footnote w:type="continuationSeparator" w:id="1">
    <w:p w:rsidR="00842FAA" w:rsidRPr="00AD7684" w:rsidRDefault="00842FAA" w:rsidP="00E353C2">
      <w:pPr>
        <w:spacing w:line="240" w:lineRule="auto"/>
        <w:ind w:firstLine="0"/>
        <w:rPr>
          <w:sz w:val="23"/>
          <w:szCs w:val="23"/>
        </w:rPr>
      </w:pPr>
      <w:r w:rsidRPr="00AD7684">
        <w:rPr>
          <w:sz w:val="23"/>
          <w:szCs w:val="23"/>
        </w:rPr>
        <w:continuationSeparator/>
      </w:r>
    </w:p>
  </w:footnote>
  <w:footnote w:id="2">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S. Sierpowski, Wstęp, [w:] </w:t>
      </w:r>
      <w:r w:rsidRPr="00D07ADC">
        <w:rPr>
          <w:i/>
        </w:rPr>
        <w:t>Niemcy w polityce międzynarodowej 1919</w:t>
      </w:r>
      <w:r>
        <w:rPr>
          <w:i/>
        </w:rPr>
        <w:t>-</w:t>
      </w:r>
      <w:r w:rsidRPr="00D07ADC">
        <w:rPr>
          <w:i/>
        </w:rPr>
        <w:t>1939</w:t>
      </w:r>
      <w:r w:rsidRPr="00D07ADC">
        <w:t>, t. I:</w:t>
      </w:r>
      <w:r w:rsidRPr="00D07ADC">
        <w:rPr>
          <w:i/>
        </w:rPr>
        <w:t>Era Stresemanna</w:t>
      </w:r>
      <w:r w:rsidRPr="00D07ADC">
        <w:t xml:space="preserve">, red. S. Sierpowski, Poznań 1990, s. 8. W tomie tym znajduje się również mój artykuł </w:t>
      </w:r>
      <w:r w:rsidRPr="00D07ADC">
        <w:rPr>
          <w:i/>
        </w:rPr>
        <w:t xml:space="preserve">Politycy niemieccy w działalności Ligi </w:t>
      </w:r>
      <w:r w:rsidRPr="00D07ADC">
        <w:t>Narodów (s. 159-198). Osobne teksty na temat Ligi Narodów w całej 4-tomowej serii związanej z realizacją projektu widnieją także w tomie III w związku z Anschlussem (R.M. Iljuchina, S. Sierpowski) oraz tomie IV, gdzie J. Bernhardprzedstawił stanowisko LN wobec napadu na Polskę w 1939 r.</w:t>
      </w:r>
    </w:p>
  </w:footnote>
  <w:footnote w:id="3">
    <w:p w:rsidR="00942133" w:rsidRPr="00D07ADC" w:rsidRDefault="00942133" w:rsidP="001E5F63">
      <w:pPr>
        <w:spacing w:line="23" w:lineRule="atLeast"/>
        <w:ind w:firstLine="0"/>
        <w:contextualSpacing/>
      </w:pPr>
      <w:r w:rsidRPr="00D07ADC">
        <w:rPr>
          <w:rStyle w:val="Odwoanieprzypisudolnego"/>
          <w:rFonts w:ascii="Times New Roman" w:hAnsi="Times New Roman"/>
          <w:sz w:val="20"/>
          <w:szCs w:val="20"/>
        </w:rPr>
        <w:footnoteRef/>
      </w:r>
      <w:r w:rsidRPr="00D07ADC">
        <w:rPr>
          <w:sz w:val="20"/>
          <w:szCs w:val="20"/>
        </w:rPr>
        <w:t xml:space="preserve"> Wstęp redaktorów, [w:] </w:t>
      </w:r>
      <w:r w:rsidRPr="00D07ADC">
        <w:rPr>
          <w:i/>
          <w:sz w:val="20"/>
          <w:szCs w:val="20"/>
        </w:rPr>
        <w:t>Liga Narodów wybranych</w:t>
      </w:r>
      <w:r w:rsidRPr="00D07ADC">
        <w:rPr>
          <w:sz w:val="20"/>
          <w:szCs w:val="20"/>
        </w:rPr>
        <w:t>, red. M.F. Gawrycki, A. Bógdał-Brzezińska, Warszawa 2010, s.12/13; omówienie książki zob. S. Sierpowski, [w:] Dzieje Najnowsze, R. XLIV, 2012, nr 1, s. 187-193.</w:t>
      </w:r>
    </w:p>
  </w:footnote>
  <w:footnote w:id="4">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Por. H. Korczyk, </w:t>
      </w:r>
      <w:r w:rsidRPr="00D07ADC">
        <w:rPr>
          <w:i/>
        </w:rPr>
        <w:t>Przyjęcie Niemiec i Polski do Rady Ligi Narodów w 1926 roku</w:t>
      </w:r>
      <w:r w:rsidRPr="00D07ADC">
        <w:t xml:space="preserve">, Wrocław </w:t>
      </w:r>
      <w:r>
        <w:t>i in</w:t>
      </w:r>
      <w:r w:rsidRPr="00D07ADC">
        <w:t xml:space="preserve">. 1986; zapowiedzią tej książki były takie jego artykuły, jak </w:t>
      </w:r>
      <w:r w:rsidRPr="00D07ADC">
        <w:rPr>
          <w:i/>
        </w:rPr>
        <w:t>Stosunek Polski i Niemiec do Ligi Narodów w latach 1923-1926</w:t>
      </w:r>
      <w:r w:rsidRPr="00D07ADC">
        <w:t xml:space="preserve">,Studia Historyczne 1981, s. 610-629 oraz </w:t>
      </w:r>
      <w:r w:rsidRPr="00D07ADC">
        <w:rPr>
          <w:i/>
        </w:rPr>
        <w:t>Wybory Polski do Rady Ligi Narodów w okresie międzywojennym</w:t>
      </w:r>
      <w:r w:rsidRPr="00D07ADC">
        <w:t>, Studia Historyczne 1986, s. 401-425.</w:t>
      </w:r>
    </w:p>
  </w:footnote>
  <w:footnote w:id="5">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rPr>
          <w:lang w:val="en-US"/>
        </w:rPr>
        <w:t xml:space="preserve">Zob. V.Y. Ghebali, </w:t>
      </w:r>
      <w:r w:rsidRPr="00D07ADC">
        <w:rPr>
          <w:i/>
          <w:iCs/>
          <w:lang w:val="en-US"/>
        </w:rPr>
        <w:t>Bibliographical Handbook on the League of Nations</w:t>
      </w:r>
      <w:r w:rsidRPr="00D07ADC">
        <w:rPr>
          <w:iCs/>
          <w:lang w:val="en-US"/>
        </w:rPr>
        <w:t>,</w:t>
      </w:r>
      <w:r w:rsidRPr="00D07ADC">
        <w:rPr>
          <w:lang w:val="en-US"/>
        </w:rPr>
        <w:t xml:space="preserve">Geneva 1980, s. 751 i n., 812 i n.;stale postępujący przyrost literatury poświęconej Lidze pokazuje zestawienie Hansa Aufrichta </w:t>
      </w:r>
      <w:r w:rsidRPr="00D07ADC">
        <w:rPr>
          <w:i/>
          <w:lang w:val="en-US"/>
        </w:rPr>
        <w:t xml:space="preserve">Guide to League of Nations Pubblications. </w:t>
      </w:r>
      <w:r w:rsidRPr="00D07ADC">
        <w:rPr>
          <w:i/>
        </w:rPr>
        <w:t>A Bibliographical Survey of the Work to the League 1920-1947</w:t>
      </w:r>
      <w:r w:rsidRPr="00D07ADC">
        <w:t xml:space="preserve">, opublikowane w 1951 r. (reprint 1966), liczące prawie 700 stron; bibliografia firmowana przez Indiana University, szczególnie aktywnego na polu udostępniania źródeł i materiałów dotyczących historii LN – </w:t>
      </w:r>
      <w:r w:rsidRPr="00D07ADC">
        <w:rPr>
          <w:i/>
        </w:rPr>
        <w:t>Indiana.edu.League of Nations.Bibliography</w:t>
      </w:r>
      <w:r w:rsidRPr="00D07ADC">
        <w:t xml:space="preserve"> – podaje kilka tysięcy tytułów dostępnych tylko w języku angielskim, kilkaset z nich dotyczy Niemiec.</w:t>
      </w:r>
    </w:p>
  </w:footnote>
  <w:footnote w:id="6">
    <w:p w:rsidR="00942133" w:rsidRPr="00D07ADC" w:rsidRDefault="00942133" w:rsidP="001E5F63">
      <w:pPr>
        <w:shd w:val="clear" w:color="auto" w:fill="FFFFFF"/>
        <w:spacing w:line="23" w:lineRule="atLeast"/>
        <w:ind w:firstLine="0"/>
        <w:contextualSpacing/>
        <w:rPr>
          <w:sz w:val="20"/>
          <w:szCs w:val="20"/>
          <w:lang w:val="de-AT"/>
        </w:rPr>
      </w:pPr>
      <w:r w:rsidRPr="00D07ADC">
        <w:rPr>
          <w:rStyle w:val="Odwoanieprzypisudolnego"/>
          <w:rFonts w:ascii="Times New Roman" w:hAnsi="Times New Roman"/>
          <w:sz w:val="20"/>
          <w:szCs w:val="20"/>
        </w:rPr>
        <w:footnoteRef/>
      </w:r>
      <w:r w:rsidRPr="00D07ADC">
        <w:rPr>
          <w:sz w:val="20"/>
          <w:szCs w:val="20"/>
          <w:lang w:val="de-DE"/>
        </w:rPr>
        <w:t xml:space="preserve"> J. Spenz, </w:t>
      </w:r>
      <w:r w:rsidRPr="00D07ADC">
        <w:rPr>
          <w:i/>
          <w:sz w:val="20"/>
          <w:szCs w:val="20"/>
          <w:lang w:val="de-DE"/>
        </w:rPr>
        <w:t>Die diplomatische Vorgeschichte des Beitritts Deutschlands zum Völkerbund 1924-1926</w:t>
      </w:r>
      <w:r w:rsidRPr="00D07ADC">
        <w:rPr>
          <w:sz w:val="20"/>
          <w:szCs w:val="20"/>
          <w:lang w:val="de-DE"/>
        </w:rPr>
        <w:t>,</w:t>
      </w:r>
      <w:r w:rsidRPr="00D07ADC">
        <w:rPr>
          <w:sz w:val="20"/>
          <w:szCs w:val="20"/>
          <w:lang w:val="de-AT"/>
        </w:rPr>
        <w:t xml:space="preserve">Göttingen 1966. </w:t>
      </w:r>
    </w:p>
  </w:footnote>
  <w:footnote w:id="7">
    <w:p w:rsidR="00942133" w:rsidRPr="00D07ADC" w:rsidRDefault="00942133" w:rsidP="001E5F63">
      <w:pPr>
        <w:shd w:val="clear" w:color="auto" w:fill="FFFFFF"/>
        <w:spacing w:line="23" w:lineRule="atLeast"/>
        <w:ind w:firstLine="0"/>
        <w:contextualSpacing/>
        <w:rPr>
          <w:sz w:val="20"/>
          <w:szCs w:val="20"/>
          <w:lang w:val="de-AT"/>
        </w:rPr>
      </w:pPr>
      <w:r w:rsidRPr="00D07ADC">
        <w:rPr>
          <w:rStyle w:val="Odwoanieprzypisudolnego"/>
          <w:rFonts w:ascii="Times New Roman" w:hAnsi="Times New Roman"/>
          <w:sz w:val="20"/>
          <w:szCs w:val="20"/>
        </w:rPr>
        <w:footnoteRef/>
      </w:r>
      <w:r w:rsidRPr="00D07ADC">
        <w:rPr>
          <w:sz w:val="20"/>
          <w:szCs w:val="20"/>
          <w:lang w:val="de-AT"/>
        </w:rPr>
        <w:t xml:space="preserve"> Por. np. S.W. Nikonowa, </w:t>
      </w:r>
      <w:r w:rsidRPr="00D07ADC">
        <w:rPr>
          <w:i/>
          <w:sz w:val="20"/>
          <w:szCs w:val="20"/>
          <w:lang w:val="de-AT"/>
        </w:rPr>
        <w:t>Oczerk jewropiejskoj politiki Giermanii w 1924-1926 gg.</w:t>
      </w:r>
      <w:r w:rsidRPr="00D07ADC">
        <w:rPr>
          <w:sz w:val="20"/>
          <w:szCs w:val="20"/>
          <w:lang w:val="de-AT"/>
        </w:rPr>
        <w:t xml:space="preserve">, Moskwa 1977; R.M. Iljuchina, </w:t>
      </w:r>
      <w:r w:rsidRPr="00D07ADC">
        <w:rPr>
          <w:i/>
          <w:sz w:val="20"/>
          <w:szCs w:val="20"/>
          <w:lang w:val="de-AT"/>
        </w:rPr>
        <w:t>Liga Nacyj 1919-1934</w:t>
      </w:r>
      <w:r w:rsidRPr="00D07ADC">
        <w:rPr>
          <w:sz w:val="20"/>
          <w:szCs w:val="20"/>
          <w:lang w:val="de-AT"/>
        </w:rPr>
        <w:t>, Moskwa 1982.</w:t>
      </w:r>
    </w:p>
  </w:footnote>
  <w:footnote w:id="8">
    <w:p w:rsidR="00942133" w:rsidRPr="00D07ADC" w:rsidRDefault="00942133" w:rsidP="001E5F63">
      <w:pPr>
        <w:pStyle w:val="Tekstprzypisudolnego"/>
        <w:spacing w:line="23" w:lineRule="atLeast"/>
        <w:ind w:firstLine="0"/>
        <w:contextualSpacing/>
        <w:rPr>
          <w:lang w:val="de-AT"/>
        </w:rPr>
      </w:pPr>
      <w:r w:rsidRPr="00D07ADC">
        <w:rPr>
          <w:rStyle w:val="Odwoanieprzypisudolnego"/>
          <w:rFonts w:ascii="Times New Roman" w:hAnsi="Times New Roman"/>
          <w:sz w:val="20"/>
        </w:rPr>
        <w:footnoteRef/>
      </w:r>
      <w:r w:rsidRPr="00D07ADC">
        <w:t xml:space="preserve"> Określenie stosowane nagminnie w okresie międzywojennym od łacińskiego </w:t>
      </w:r>
      <w:r w:rsidRPr="00D07ADC">
        <w:rPr>
          <w:i/>
        </w:rPr>
        <w:t xml:space="preserve">admissio </w:t>
      </w:r>
      <w:r w:rsidRPr="00D07ADC">
        <w:t xml:space="preserve">– dopuszczenie, przyjęcie, funkcjonujące w zbliżonej formie we francuskim i angielskim. Słownik wyrazów obcych PWN z 1972 (pod red. J. Tokarskiego) zawiera to określenie, natomiast z 2002 r. (pod red. </w:t>
      </w:r>
      <w:r w:rsidRPr="00D07ADC">
        <w:rPr>
          <w:lang w:val="de-AT"/>
        </w:rPr>
        <w:t>E. Sobol) pomija.</w:t>
      </w:r>
    </w:p>
  </w:footnote>
  <w:footnote w:id="9">
    <w:p w:rsidR="00942133" w:rsidRPr="00D07ADC" w:rsidRDefault="00942133" w:rsidP="001E5F63">
      <w:pPr>
        <w:pStyle w:val="Tekstprzypisudolnego"/>
        <w:spacing w:line="23" w:lineRule="atLeast"/>
        <w:ind w:firstLine="0"/>
        <w:contextualSpacing/>
        <w:rPr>
          <w:lang w:val="de-DE"/>
        </w:rPr>
      </w:pPr>
      <w:r w:rsidRPr="00D07ADC">
        <w:rPr>
          <w:rStyle w:val="Odwoanieprzypisudolnego"/>
          <w:rFonts w:ascii="Times New Roman" w:hAnsi="Times New Roman"/>
          <w:sz w:val="20"/>
        </w:rPr>
        <w:footnoteRef/>
      </w:r>
      <w:r w:rsidRPr="00D07ADC">
        <w:rPr>
          <w:lang w:val="de-DE"/>
        </w:rPr>
        <w:t xml:space="preserve"> J. Wintzer, </w:t>
      </w:r>
      <w:r w:rsidRPr="00D07ADC">
        <w:rPr>
          <w:i/>
          <w:iCs/>
          <w:lang w:val="de-DE"/>
        </w:rPr>
        <w:t>Deutschland und der Völkerbund 1918-1926</w:t>
      </w:r>
      <w:r w:rsidRPr="00D07ADC">
        <w:rPr>
          <w:lang w:val="de-DE"/>
        </w:rPr>
        <w:t>, Paderborn 2006.</w:t>
      </w:r>
    </w:p>
  </w:footnote>
  <w:footnote w:id="10">
    <w:p w:rsidR="00942133" w:rsidRPr="00D07ADC"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D07ADC">
        <w:rPr>
          <w:lang w:val="en-US"/>
        </w:rPr>
        <w:t xml:space="preserve"> J. Wright, </w:t>
      </w:r>
      <w:r w:rsidRPr="00D07ADC">
        <w:rPr>
          <w:i/>
          <w:lang w:val="en-US"/>
        </w:rPr>
        <w:t>Gustav Stresemann: Weimer’s Greatest Statesman</w:t>
      </w:r>
      <w:r w:rsidRPr="00D07ADC">
        <w:rPr>
          <w:lang w:val="en-US"/>
        </w:rPr>
        <w:t>, Oxford University Press 2002, s. VII, 296.</w:t>
      </w:r>
    </w:p>
  </w:footnote>
  <w:footnote w:id="11">
    <w:p w:rsidR="00942133" w:rsidRPr="00D07ADC" w:rsidRDefault="00942133" w:rsidP="001E5F63">
      <w:pPr>
        <w:pStyle w:val="Tekstprzypisudolnego"/>
        <w:spacing w:line="23" w:lineRule="atLeast"/>
        <w:ind w:firstLine="0"/>
        <w:contextualSpacing/>
        <w:rPr>
          <w:lang w:val="de-DE"/>
        </w:rPr>
      </w:pPr>
      <w:r w:rsidRPr="00D07ADC">
        <w:rPr>
          <w:rStyle w:val="Odwoanieprzypisudolnego"/>
          <w:rFonts w:ascii="Times New Roman" w:hAnsi="Times New Roman"/>
          <w:sz w:val="20"/>
        </w:rPr>
        <w:footnoteRef/>
      </w:r>
      <w:r w:rsidRPr="00D07ADC">
        <w:rPr>
          <w:lang w:val="de-DE"/>
        </w:rPr>
        <w:t xml:space="preserve"> J. Wintzer, </w:t>
      </w:r>
      <w:r w:rsidRPr="00D07ADC">
        <w:rPr>
          <w:i/>
          <w:iCs/>
          <w:lang w:val="de-DE"/>
        </w:rPr>
        <w:t>Deutschland und der Völkerbund 1918-1926</w:t>
      </w:r>
      <w:r w:rsidRPr="00D07ADC">
        <w:rPr>
          <w:lang w:val="de-DE"/>
        </w:rPr>
        <w:t>,s. 260-335.</w:t>
      </w:r>
    </w:p>
  </w:footnote>
  <w:footnote w:id="12">
    <w:p w:rsidR="00942133" w:rsidRPr="00D07ADC"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0F486B">
        <w:t xml:space="preserve">Por. np. A. Czubiński, </w:t>
      </w:r>
      <w:r w:rsidRPr="000F486B">
        <w:rPr>
          <w:i/>
        </w:rPr>
        <w:t>Historia powszechna XX wieku</w:t>
      </w:r>
      <w:r w:rsidRPr="000F486B">
        <w:t xml:space="preserve">, Poznań 2003, s. 168 i n.; Z. Steiner, </w:t>
      </w:r>
      <w:r w:rsidRPr="000F486B">
        <w:rPr>
          <w:i/>
        </w:rPr>
        <w:t xml:space="preserve">The Lights That Failed. </w:t>
      </w:r>
      <w:r w:rsidRPr="00D07ADC">
        <w:rPr>
          <w:i/>
          <w:lang w:val="en-US"/>
        </w:rPr>
        <w:t>European International History 1919</w:t>
      </w:r>
      <w:r>
        <w:rPr>
          <w:i/>
          <w:lang w:val="en-US"/>
        </w:rPr>
        <w:t>-</w:t>
      </w:r>
      <w:r w:rsidRPr="00D07ADC">
        <w:rPr>
          <w:i/>
          <w:lang w:val="en-US"/>
        </w:rPr>
        <w:t>1933</w:t>
      </w:r>
      <w:r w:rsidRPr="00D07ADC">
        <w:rPr>
          <w:lang w:val="en-US"/>
        </w:rPr>
        <w:t>, Oxford University Press 2006, s. 396, 418 i n.</w:t>
      </w:r>
    </w:p>
  </w:footnote>
  <w:footnote w:id="13">
    <w:p w:rsidR="00942133" w:rsidRPr="00D07ADC"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D07ADC">
        <w:rPr>
          <w:lang w:val="en-US"/>
        </w:rPr>
        <w:t xml:space="preserve"> M.M. Lee, </w:t>
      </w:r>
      <w:r w:rsidRPr="00D07ADC">
        <w:rPr>
          <w:i/>
          <w:lang w:val="en-US"/>
        </w:rPr>
        <w:t>Failure in Geneva. The German Foreign Ministry and the League of Nations 1926-1933</w:t>
      </w:r>
      <w:r w:rsidRPr="00D07ADC">
        <w:rPr>
          <w:lang w:val="en-US"/>
        </w:rPr>
        <w:t xml:space="preserve">, Ann Arbor (Mich.) 1974; Ch.M. Kimmich, </w:t>
      </w:r>
      <w:r w:rsidRPr="00D07ADC">
        <w:rPr>
          <w:i/>
          <w:lang w:val="en-US"/>
        </w:rPr>
        <w:t>Germany and the League of Nations</w:t>
      </w:r>
      <w:r w:rsidRPr="005D3D7A">
        <w:rPr>
          <w:lang w:val="en-US"/>
        </w:rPr>
        <w:t xml:space="preserve">, </w:t>
      </w:r>
      <w:r w:rsidRPr="00D07ADC">
        <w:rPr>
          <w:lang w:val="en-US"/>
        </w:rPr>
        <w:t>Chicago-London 1976; reprezentatywną historiografię dotyczącą relacji Niemcy</w:t>
      </w:r>
      <w:r>
        <w:rPr>
          <w:lang w:val="en-US"/>
        </w:rPr>
        <w:t xml:space="preserve"> – </w:t>
      </w:r>
      <w:r w:rsidRPr="00D07ADC">
        <w:rPr>
          <w:lang w:val="en-US"/>
        </w:rPr>
        <w:t>Ligia Narodów,zob. m.in. J. Wintzer,</w:t>
      </w:r>
      <w:r w:rsidRPr="00D07ADC">
        <w:rPr>
          <w:i/>
          <w:iCs/>
          <w:lang w:val="en-US"/>
        </w:rPr>
        <w:t>Deutschland und der Völkerbund 1918-1926</w:t>
      </w:r>
      <w:r w:rsidRPr="00D07ADC">
        <w:rPr>
          <w:lang w:val="en-US"/>
        </w:rPr>
        <w:t>, s. 13 i n.</w:t>
      </w:r>
    </w:p>
  </w:footnote>
  <w:footnote w:id="14">
    <w:p w:rsidR="00942133" w:rsidRPr="00D07ADC"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D07ADC">
        <w:rPr>
          <w:lang w:val="en-US"/>
        </w:rPr>
        <w:t xml:space="preserve"> K. Fiedor, </w:t>
      </w:r>
      <w:r w:rsidRPr="00D07ADC">
        <w:rPr>
          <w:i/>
          <w:lang w:val="en-US"/>
        </w:rPr>
        <w:t>Niemiecki ruch obrońców pokoju 1892</w:t>
      </w:r>
      <w:r>
        <w:rPr>
          <w:i/>
          <w:lang w:val="en-US"/>
        </w:rPr>
        <w:t>-</w:t>
      </w:r>
      <w:r w:rsidRPr="00D07ADC">
        <w:rPr>
          <w:i/>
          <w:lang w:val="en-US"/>
        </w:rPr>
        <w:t>1933</w:t>
      </w:r>
      <w:r w:rsidRPr="00D07ADC">
        <w:rPr>
          <w:lang w:val="en-US"/>
        </w:rPr>
        <w:t>, Wrocław 1993; D.S. Birn,</w:t>
      </w:r>
      <w:r w:rsidRPr="00D07ADC">
        <w:rPr>
          <w:i/>
          <w:lang w:val="en-US"/>
        </w:rPr>
        <w:t xml:space="preserve"> League of Nation Union 1918-1945</w:t>
      </w:r>
      <w:r w:rsidRPr="00D07ADC">
        <w:rPr>
          <w:lang w:val="en-US"/>
        </w:rPr>
        <w:t>, Oxford 1981.</w:t>
      </w:r>
    </w:p>
  </w:footnote>
  <w:footnote w:id="15">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0F486B">
        <w:t xml:space="preserve"> E. Bendiner, </w:t>
      </w:r>
      <w:r w:rsidRPr="000F486B">
        <w:rPr>
          <w:i/>
        </w:rPr>
        <w:t xml:space="preserve">Czas Aniołów. </w:t>
      </w:r>
      <w:r w:rsidRPr="00D07ADC">
        <w:rPr>
          <w:i/>
        </w:rPr>
        <w:t>Tragikomiczna historia Ligi Narodów</w:t>
      </w:r>
      <w:r w:rsidRPr="00D07ADC">
        <w:t xml:space="preserve">, Warszawa 1981; W. Balcerak, </w:t>
      </w:r>
      <w:r w:rsidRPr="00D07ADC">
        <w:rPr>
          <w:i/>
        </w:rPr>
        <w:t>Liga Nadziei. Z dziejów Ligi Narodów</w:t>
      </w:r>
      <w:r w:rsidRPr="00D07ADC">
        <w:t xml:space="preserve">, Warszawa 2010. W zbliżonej „tonacji” utrzymana jest przeogromna biografistyka pokazująca polityków aktywnych na forum genewskim, w której nie brakuje odniesień do współczesności i pytań dotyczących recepcji idei towarzyszących światu. Wysokie miejsce wśród nich zachowuje Aristide Briand, ukoronowany na „pielgrzyma pokoju”, chociaż – co po niektórzy zapominają – mocno otulony trójkolorowym sztandarem; z nowszych, ambitnych biografii zob. </w:t>
      </w:r>
      <w:r w:rsidRPr="00D07ADC">
        <w:rPr>
          <w:i/>
          <w:lang w:val="fr-FR"/>
        </w:rPr>
        <w:t>Aristide Briand, la Société des Nation et l’Europe 1919-1932</w:t>
      </w:r>
      <w:r w:rsidRPr="00D07ADC">
        <w:rPr>
          <w:lang w:val="fr-FR"/>
        </w:rPr>
        <w:t xml:space="preserve">, red. J. Bariéty, Presses </w:t>
      </w:r>
      <w:r w:rsidRPr="000F486B">
        <w:rPr>
          <w:lang w:val="fr-FR"/>
        </w:rPr>
        <w:t xml:space="preserve">Universitaires de Strasbourg 2007. </w:t>
      </w:r>
      <w:r w:rsidRPr="00D07ADC">
        <w:t>Narodowy „przyodziewek” może być zaliczony do charakterystycznych elementów nowożytnej polityki międzynarodowej, co oczywiście nie jest żadnym odkryciem czy też przyganą. Czołowy statysta Republiki Weimarskiej, wyróżniony Pokojową Nagrodą Nobla, bywał charakteryzowany za pomocą dosadnych słów przez raczej statecznego historyka polskiego. K</w:t>
      </w:r>
      <w:r w:rsidRPr="00D07ADC">
        <w:rPr>
          <w:color w:val="000000"/>
        </w:rPr>
        <w:t xml:space="preserve">iedy ujrzały światło dzienne „Vermächtnis” Stresemanna, to ,,spod maski szlachetnego Europejczyka, którego świat wielbił za nieugiętą walkę o pokój, wyjrzało chytre i przebiegłe oblicze niemieckiego imperialisty” – </w:t>
      </w:r>
      <w:r w:rsidRPr="00D07ADC">
        <w:t xml:space="preserve">J. Pajewski, </w:t>
      </w:r>
      <w:r w:rsidRPr="00D07ADC">
        <w:rPr>
          <w:i/>
        </w:rPr>
        <w:t>Polityka Gustawa Stresemanna w świetle nowszych badań</w:t>
      </w:r>
      <w:r w:rsidRPr="00D07ADC">
        <w:t>, Przegląd Zachodni 1957, s. 163.</w:t>
      </w:r>
    </w:p>
  </w:footnote>
  <w:footnote w:id="16">
    <w:p w:rsidR="00942133" w:rsidRPr="00D07ADC"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D07ADC">
        <w:rPr>
          <w:lang w:val="es-ES"/>
        </w:rPr>
        <w:t xml:space="preserve">Por. G. Scelle, </w:t>
      </w:r>
      <w:r w:rsidRPr="00D07ADC">
        <w:rPr>
          <w:i/>
          <w:iCs/>
          <w:lang w:val="es-ES"/>
        </w:rPr>
        <w:t>Une crise de la Société des Nations</w:t>
      </w:r>
      <w:r w:rsidRPr="00D07ADC">
        <w:rPr>
          <w:iCs/>
          <w:lang w:val="es-ES"/>
        </w:rPr>
        <w:t xml:space="preserve">, </w:t>
      </w:r>
      <w:r w:rsidRPr="000F486B">
        <w:t xml:space="preserve">Paris 1927; C.P. Patterson, </w:t>
      </w:r>
      <w:r w:rsidRPr="000F486B">
        <w:rPr>
          <w:i/>
          <w:iCs/>
        </w:rPr>
        <w:t>The Admission of Germany to the League of Nations and its Probable Significance</w:t>
      </w:r>
      <w:r w:rsidRPr="000F486B">
        <w:rPr>
          <w:iCs/>
        </w:rPr>
        <w:t xml:space="preserve">, </w:t>
      </w:r>
      <w:r w:rsidRPr="000F486B">
        <w:t xml:space="preserve">International Concilation 1927, s. 303 i n.; spojrzenie historiograficzne uwzględniające całe dzieje Ligi zob. </w:t>
      </w:r>
      <w:r w:rsidRPr="00D07ADC">
        <w:rPr>
          <w:lang w:val="en-US"/>
        </w:rPr>
        <w:t xml:space="preserve">S. Pedersen, </w:t>
      </w:r>
      <w:r w:rsidRPr="00D07ADC">
        <w:rPr>
          <w:i/>
          <w:lang w:val="en-US"/>
        </w:rPr>
        <w:t>Back to League of Nations</w:t>
      </w:r>
      <w:r w:rsidRPr="00D07ADC">
        <w:rPr>
          <w:lang w:val="en-US"/>
        </w:rPr>
        <w:t xml:space="preserve">, The American Historical Review 112 (2007), nr 4. </w:t>
      </w:r>
    </w:p>
    <w:p w:rsidR="00942133" w:rsidRPr="00D07ADC" w:rsidRDefault="00942133" w:rsidP="001E5F63">
      <w:pPr>
        <w:pStyle w:val="Tekstprzypisudolnego"/>
        <w:spacing w:line="23" w:lineRule="atLeast"/>
        <w:ind w:firstLine="0"/>
        <w:contextualSpacing/>
        <w:rPr>
          <w:lang w:val="en-US"/>
        </w:rPr>
      </w:pPr>
    </w:p>
    <w:p w:rsidR="00942133" w:rsidRPr="00D07ADC" w:rsidRDefault="00942133" w:rsidP="001E5F63">
      <w:pPr>
        <w:pStyle w:val="Tekstprzypisudolnego"/>
        <w:spacing w:line="23" w:lineRule="atLeast"/>
        <w:ind w:firstLine="0"/>
        <w:contextualSpacing/>
        <w:rPr>
          <w:lang w:val="en-US"/>
        </w:rPr>
      </w:pPr>
    </w:p>
  </w:footnote>
  <w:footnote w:id="17">
    <w:p w:rsidR="00942133" w:rsidRPr="00D07ADC" w:rsidRDefault="00942133" w:rsidP="001E5F63">
      <w:pPr>
        <w:pStyle w:val="Nagwek3"/>
        <w:spacing w:line="23" w:lineRule="atLeast"/>
        <w:ind w:firstLine="0"/>
        <w:contextualSpacing/>
        <w:jc w:val="both"/>
        <w:rPr>
          <w:rFonts w:ascii="Times New Roman" w:hAnsi="Times New Roman"/>
          <w:b w:val="0"/>
          <w:szCs w:val="20"/>
          <w:lang w:val="fr-FR"/>
        </w:rPr>
      </w:pPr>
      <w:r w:rsidRPr="00D07ADC">
        <w:rPr>
          <w:rStyle w:val="Odwoanieprzypisudolnego"/>
          <w:rFonts w:ascii="Times New Roman" w:hAnsi="Times New Roman"/>
          <w:b w:val="0"/>
          <w:sz w:val="20"/>
          <w:szCs w:val="20"/>
        </w:rPr>
        <w:footnoteRef/>
      </w:r>
      <w:r w:rsidRPr="00D07ADC">
        <w:rPr>
          <w:rFonts w:ascii="Times New Roman" w:hAnsi="Times New Roman"/>
          <w:b w:val="0"/>
          <w:i/>
          <w:szCs w:val="20"/>
          <w:lang w:val="fr-FR"/>
        </w:rPr>
        <w:t>Archives de la Société des Nations 1919-1946, Répertoire Général 1919-1946</w:t>
      </w:r>
      <w:r w:rsidRPr="00D07ADC">
        <w:rPr>
          <w:rFonts w:ascii="Times New Roman" w:hAnsi="Times New Roman"/>
          <w:b w:val="0"/>
          <w:szCs w:val="20"/>
          <w:lang w:val="fr-FR"/>
        </w:rPr>
        <w:t>, Genève [b.d.],vol.1-3.</w:t>
      </w:r>
    </w:p>
    <w:p w:rsidR="00942133" w:rsidRPr="00D07ADC" w:rsidRDefault="00942133" w:rsidP="001E5F63">
      <w:pPr>
        <w:pStyle w:val="Tekstprzypisudolnego"/>
        <w:spacing w:line="23" w:lineRule="atLeast"/>
        <w:ind w:firstLine="0"/>
        <w:contextualSpacing/>
        <w:rPr>
          <w:lang w:val="fr-FR"/>
        </w:rPr>
      </w:pPr>
    </w:p>
  </w:footnote>
  <w:footnote w:id="18">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A. Czubiński, </w:t>
      </w:r>
      <w:r w:rsidRPr="00D07ADC">
        <w:rPr>
          <w:i/>
        </w:rPr>
        <w:t>Stanowisko socjaldemokracji niemieckiej wobec polityki kolonialnej II Rzeszy w latach 1876</w:t>
      </w:r>
      <w:r>
        <w:rPr>
          <w:i/>
        </w:rPr>
        <w:t>-</w:t>
      </w:r>
      <w:r w:rsidRPr="00D07ADC">
        <w:rPr>
          <w:i/>
        </w:rPr>
        <w:t>1914</w:t>
      </w:r>
      <w:r w:rsidRPr="00D07ADC">
        <w:t>, Poznań 1966; dostępna w wbc.poznań.pl.</w:t>
      </w:r>
    </w:p>
  </w:footnote>
  <w:footnote w:id="19">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I.F.W. Beckett, </w:t>
      </w:r>
      <w:r w:rsidRPr="00D07ADC">
        <w:rPr>
          <w:i/>
        </w:rPr>
        <w:t>Pierwsza wojna światowa 1914</w:t>
      </w:r>
      <w:r>
        <w:rPr>
          <w:i/>
        </w:rPr>
        <w:t>-</w:t>
      </w:r>
      <w:r w:rsidRPr="00D07ADC">
        <w:rPr>
          <w:i/>
        </w:rPr>
        <w:t>1918</w:t>
      </w:r>
      <w:r w:rsidRPr="00D07ADC">
        <w:t>, tłum. R. Dymek, Warszawa 2009, s. 518.</w:t>
      </w:r>
    </w:p>
  </w:footnote>
  <w:footnote w:id="20">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J. Kiwerska, </w:t>
      </w:r>
      <w:r w:rsidRPr="00D07ADC">
        <w:rPr>
          <w:i/>
        </w:rPr>
        <w:t>Między izolacjonizmem a zaangażowaniem. Europa w polityce Stanów Zjednoczonych od Wilsona do Roosevelta</w:t>
      </w:r>
      <w:r w:rsidRPr="00D07ADC">
        <w:t xml:space="preserve">, Poznań 1995, s. 44 i n., szerszy kontekst zob. S. Sierpowski, </w:t>
      </w:r>
      <w:r w:rsidRPr="00D07ADC">
        <w:rPr>
          <w:i/>
        </w:rPr>
        <w:t>Między wojnami 1919</w:t>
      </w:r>
      <w:r>
        <w:rPr>
          <w:i/>
        </w:rPr>
        <w:t>-</w:t>
      </w:r>
      <w:r w:rsidRPr="00D07ADC">
        <w:rPr>
          <w:i/>
        </w:rPr>
        <w:t>1939</w:t>
      </w:r>
      <w:r w:rsidRPr="00D07ADC">
        <w:t xml:space="preserve">, cz. I: </w:t>
      </w:r>
      <w:r w:rsidRPr="00D07ADC">
        <w:rPr>
          <w:i/>
        </w:rPr>
        <w:t>lata 1919</w:t>
      </w:r>
      <w:r>
        <w:rPr>
          <w:i/>
        </w:rPr>
        <w:t>-</w:t>
      </w:r>
      <w:r w:rsidRPr="00D07ADC">
        <w:rPr>
          <w:i/>
        </w:rPr>
        <w:t>1929</w:t>
      </w:r>
      <w:r w:rsidRPr="00D07ADC">
        <w:t>, Poznań 1998, s. 23 i n.</w:t>
      </w:r>
    </w:p>
  </w:footnote>
  <w:footnote w:id="21">
    <w:p w:rsidR="00942133" w:rsidRPr="00D07ADC"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D07ADC">
        <w:rPr>
          <w:lang w:val="en-US"/>
        </w:rPr>
        <w:t xml:space="preserve"> N.G. Levin (jr), </w:t>
      </w:r>
      <w:r w:rsidRPr="00D07ADC">
        <w:rPr>
          <w:i/>
          <w:lang w:val="en-US"/>
        </w:rPr>
        <w:t>Woodrow Wilson and World Politics: America’s Response to War and Revolution</w:t>
      </w:r>
      <w:r w:rsidRPr="00D07ADC">
        <w:rPr>
          <w:lang w:val="en-US"/>
        </w:rPr>
        <w:t>, New York 1968.</w:t>
      </w:r>
    </w:p>
  </w:footnote>
  <w:footnote w:id="22">
    <w:p w:rsidR="00942133" w:rsidRPr="00D07ADC" w:rsidRDefault="00942133" w:rsidP="001E5F63">
      <w:pPr>
        <w:spacing w:line="23" w:lineRule="atLeast"/>
        <w:ind w:firstLine="0"/>
        <w:contextualSpacing/>
        <w:rPr>
          <w:sz w:val="20"/>
          <w:szCs w:val="20"/>
        </w:rPr>
      </w:pPr>
      <w:r w:rsidRPr="00D07ADC">
        <w:rPr>
          <w:rStyle w:val="Odwoanieprzypisudolnego"/>
          <w:rFonts w:ascii="Times New Roman" w:hAnsi="Times New Roman"/>
          <w:sz w:val="20"/>
          <w:szCs w:val="20"/>
        </w:rPr>
        <w:footnoteRef/>
      </w:r>
      <w:r w:rsidRPr="00D07ADC">
        <w:rPr>
          <w:sz w:val="20"/>
          <w:szCs w:val="20"/>
        </w:rPr>
        <w:t xml:space="preserve"> Stowarzyszenie nawiązywało do popularnego w Stanach Zjednoczonych Friedricha Wilhelma von Steubena (1730</w:t>
      </w:r>
      <w:r>
        <w:rPr>
          <w:sz w:val="20"/>
          <w:szCs w:val="20"/>
        </w:rPr>
        <w:t>-</w:t>
      </w:r>
      <w:r w:rsidRPr="00D07ADC">
        <w:rPr>
          <w:sz w:val="20"/>
          <w:szCs w:val="20"/>
        </w:rPr>
        <w:t>1794), pruskiego oficera na służbie rewolucyjnej Ameryki w randze inspektora generalnego armii. Steuben Society, skupiając Amerykanów niemieckiego pochodzenia, promował (czyni to nadal) inicjatywy mające wydobywać z przeszłości ich pozytywne dokonania.</w:t>
      </w:r>
    </w:p>
  </w:footnote>
  <w:footnote w:id="23">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W porażce tej spore znaczenie odegrała uchwalona 18 grudnia 1917 r. XVIII Poprawka do konstytucji wprowadzająca prohibicję – wytwarzania, sprzedaży i przywozu alkoholu. W batalii angażującej po jednej lub drugiej stronie ogół społeczeństwa wykorzystano też argumenty o charakterze antyniemieckim: 1. „Kultura Kaisera opiera się na piwie”; 2. Żołnierz USA w Europie ma być wzorem do naśladowania; 3. Marnotrawstwo płodów rolnych – por. K. Michałek, </w:t>
      </w:r>
      <w:r w:rsidRPr="00D07ADC">
        <w:rPr>
          <w:i/>
        </w:rPr>
        <w:t>Ustanowienie ery prohibicyjnej w Stanach Zjednoczonych. Sukces ale czyj?</w:t>
      </w:r>
      <w:r w:rsidRPr="00D07ADC">
        <w:t xml:space="preserve"> [w:] </w:t>
      </w:r>
      <w:r w:rsidRPr="00D07ADC">
        <w:rPr>
          <w:i/>
        </w:rPr>
        <w:t>Między wielką polityką a narodowym partykularyzmem</w:t>
      </w:r>
      <w:r w:rsidRPr="00D07ADC">
        <w:t>, red. J. Kiwerska, B. Koszel, Poznań 2002, s. 407 i n.</w:t>
      </w:r>
    </w:p>
  </w:footnote>
  <w:footnote w:id="24">
    <w:p w:rsidR="00942133" w:rsidRPr="00D07ADC"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D07ADC">
        <w:t xml:space="preserve"> Cyt. za J. Kiwerska, </w:t>
      </w:r>
      <w:r w:rsidRPr="00D07ADC">
        <w:rPr>
          <w:i/>
        </w:rPr>
        <w:t>Między izolacjonizmem a zaangażowaniem</w:t>
      </w:r>
      <w:r w:rsidRPr="00D07ADC">
        <w:t xml:space="preserve">, s. 54; szerzej H.W. Gatzke, </w:t>
      </w:r>
      <w:r w:rsidRPr="00D07ADC">
        <w:rPr>
          <w:i/>
        </w:rPr>
        <w:t xml:space="preserve">Germany and the United States. </w:t>
      </w:r>
      <w:r w:rsidRPr="00D07ADC">
        <w:rPr>
          <w:i/>
          <w:lang w:val="en-US"/>
        </w:rPr>
        <w:t>A „Special Relatioship”</w:t>
      </w:r>
      <w:r w:rsidRPr="00D07ADC">
        <w:rPr>
          <w:lang w:val="en-US"/>
        </w:rPr>
        <w:t>, Cambridge (Mass</w:t>
      </w:r>
      <w:r>
        <w:rPr>
          <w:lang w:val="en-US"/>
        </w:rPr>
        <w:t>.</w:t>
      </w:r>
      <w:r w:rsidRPr="00D07ADC">
        <w:rPr>
          <w:lang w:val="en-US"/>
        </w:rPr>
        <w:t>) 1980, s. 95 i n.</w:t>
      </w:r>
    </w:p>
  </w:footnote>
  <w:footnote w:id="25">
    <w:p w:rsidR="00942133" w:rsidRPr="00D07ADC"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D07ADC">
        <w:rPr>
          <w:lang w:val="en-US"/>
        </w:rPr>
        <w:t xml:space="preserve"> The New York Times, ???1.02.1919, s. 3.</w:t>
      </w:r>
    </w:p>
  </w:footnote>
  <w:footnote w:id="26">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Szerzej A.M. Brzeziński, </w:t>
      </w:r>
      <w:r w:rsidRPr="00D07ADC">
        <w:rPr>
          <w:i/>
        </w:rPr>
        <w:t>Francuska koncepcja Ligi Narodów w latach 1918-1919</w:t>
      </w:r>
      <w:r w:rsidRPr="00D07ADC">
        <w:t>, Acta Universitatis Lodziensis. Folia Historica 18 (1984), s. 126 i n.; W. Śladkowski</w:t>
      </w:r>
      <w:r w:rsidRPr="00D07ADC">
        <w:rPr>
          <w:i/>
        </w:rPr>
        <w:t>, Marszałka Focha koncepcja pokoju z Niemcami</w:t>
      </w:r>
      <w:r w:rsidRPr="00D07ADC">
        <w:t xml:space="preserve">, [w:] </w:t>
      </w:r>
      <w:r w:rsidRPr="00D07ADC">
        <w:rPr>
          <w:i/>
        </w:rPr>
        <w:t>W kręgu polityki, dyplomacji i historii XX wieku. Księga Jubileuszowa Profesora Waldemara Michowicza</w:t>
      </w:r>
      <w:r w:rsidRPr="00D07ADC">
        <w:t>, red. B. Rakowski, A. Skrzypek, Łódź 2000, s. 109 i n.</w:t>
      </w:r>
    </w:p>
  </w:footnote>
  <w:footnote w:id="27">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D. Lloyd George, </w:t>
      </w:r>
      <w:r w:rsidRPr="00D07ADC">
        <w:rPr>
          <w:i/>
        </w:rPr>
        <w:t>Prawda o traktacie wersalskim</w:t>
      </w:r>
      <w:r w:rsidRPr="00D07ADC">
        <w:t xml:space="preserve">, t. I, s. 365 i n.; przedruk m.in. S. Sierpowski, </w:t>
      </w:r>
      <w:r w:rsidRPr="00D07ADC">
        <w:rPr>
          <w:i/>
        </w:rPr>
        <w:t>Źródła do historii powszechnej okresu międzywojennego</w:t>
      </w:r>
      <w:r w:rsidRPr="00D07ADC">
        <w:t>, Poznań 1989 t. I, s. 78 i n. – publikacja dostępna w wbc.poznan.pl.</w:t>
      </w:r>
    </w:p>
  </w:footnote>
  <w:footnote w:id="28">
    <w:p w:rsidR="00942133" w:rsidRPr="00D07ADC" w:rsidRDefault="00942133" w:rsidP="001E5F63">
      <w:pPr>
        <w:pStyle w:val="Tekstprzypisudolnego"/>
        <w:spacing w:line="23" w:lineRule="atLeast"/>
        <w:ind w:firstLine="0"/>
        <w:contextualSpacing/>
      </w:pPr>
    </w:p>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S. Sierpowski, </w:t>
      </w:r>
      <w:r w:rsidRPr="00D07ADC">
        <w:rPr>
          <w:i/>
        </w:rPr>
        <w:t>Źródła</w:t>
      </w:r>
      <w:r w:rsidRPr="00D07ADC">
        <w:t>, t. I,s. 80-81.</w:t>
      </w:r>
    </w:p>
  </w:footnote>
  <w:footnote w:id="29">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Tamże, s. 82 i n.</w:t>
      </w:r>
    </w:p>
  </w:footnote>
  <w:footnote w:id="30">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Tamże, s. 94-95.</w:t>
      </w:r>
    </w:p>
  </w:footnote>
  <w:footnote w:id="31">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Zob. K. Fiedor, </w:t>
      </w:r>
      <w:r w:rsidRPr="00D07ADC">
        <w:rPr>
          <w:i/>
        </w:rPr>
        <w:t>Niemiecki ruch obrońców pokoju 1892</w:t>
      </w:r>
      <w:r>
        <w:rPr>
          <w:i/>
        </w:rPr>
        <w:t>-</w:t>
      </w:r>
      <w:r w:rsidRPr="00D07ADC">
        <w:rPr>
          <w:i/>
        </w:rPr>
        <w:t>1933</w:t>
      </w:r>
      <w:r w:rsidRPr="00D07ADC">
        <w:t xml:space="preserve">, Wrocław 1993, s. 187 i n., J. Wintzer, </w:t>
      </w:r>
      <w:r w:rsidRPr="00D07ADC">
        <w:rPr>
          <w:i/>
          <w:iCs/>
        </w:rPr>
        <w:t>Deutschland und der Völkerbund 1918-1926</w:t>
      </w:r>
      <w:r w:rsidRPr="00D07ADC">
        <w:rPr>
          <w:iCs/>
        </w:rPr>
        <w:t xml:space="preserve">, </w:t>
      </w:r>
      <w:r w:rsidRPr="00D07ADC">
        <w:t>s. 48 i n.</w:t>
      </w:r>
    </w:p>
  </w:footnote>
  <w:footnote w:id="32">
    <w:p w:rsidR="00942133" w:rsidRPr="00D07ADC" w:rsidRDefault="00942133" w:rsidP="001E5F63">
      <w:pPr>
        <w:pStyle w:val="Tekstprzypisudolnego"/>
        <w:spacing w:line="23" w:lineRule="atLeast"/>
        <w:ind w:firstLine="0"/>
        <w:contextualSpacing/>
        <w:rPr>
          <w:lang w:val="fr-FR"/>
        </w:rPr>
      </w:pPr>
      <w:r w:rsidRPr="00D07ADC">
        <w:rPr>
          <w:rStyle w:val="Odwoanieprzypisudolnego"/>
          <w:rFonts w:ascii="Times New Roman" w:hAnsi="Times New Roman"/>
          <w:sz w:val="20"/>
        </w:rPr>
        <w:footnoteRef/>
      </w:r>
      <w:r w:rsidRPr="00D07ADC">
        <w:rPr>
          <w:lang w:val="fr-FR"/>
        </w:rPr>
        <w:t xml:space="preserve">P. Mantoux, </w:t>
      </w:r>
      <w:r w:rsidRPr="00D07ADC">
        <w:rPr>
          <w:i/>
          <w:lang w:val="fr-FR"/>
        </w:rPr>
        <w:t>Les délibérations du Conscil des Quatre</w:t>
      </w:r>
      <w:r w:rsidRPr="00D07ADC">
        <w:rPr>
          <w:lang w:val="fr-FR"/>
        </w:rPr>
        <w:t>, Paris 1955, t. II, s. 20, 186, 346 i n.</w:t>
      </w:r>
    </w:p>
  </w:footnote>
  <w:footnote w:id="33">
    <w:p w:rsidR="00942133" w:rsidRPr="00D07ADC" w:rsidRDefault="00942133" w:rsidP="001E5F63">
      <w:pPr>
        <w:pStyle w:val="Tekstprzypisudolnego"/>
        <w:spacing w:line="23" w:lineRule="atLeast"/>
        <w:ind w:firstLine="0"/>
        <w:contextualSpacing/>
        <w:rPr>
          <w:lang w:val="it-IT"/>
        </w:rPr>
      </w:pPr>
      <w:r w:rsidRPr="00D07ADC">
        <w:rPr>
          <w:rStyle w:val="Odwoanieprzypisudolnego"/>
          <w:rFonts w:ascii="Times New Roman" w:hAnsi="Times New Roman"/>
          <w:sz w:val="20"/>
        </w:rPr>
        <w:footnoteRef/>
      </w:r>
      <w:r w:rsidRPr="00D07ADC">
        <w:t xml:space="preserve"> Rozwiązanie takie zaproponował Lloyd George: „pruski despotyzm będzie zburzony w tymże Wersalu”, z którym kojarzone są „narodziny imperium niemieckiego” –L. Aldrovandi-Marescotti, </w:t>
      </w:r>
      <w:r w:rsidRPr="00D07ADC">
        <w:rPr>
          <w:i/>
        </w:rPr>
        <w:t xml:space="preserve">Guerra diplomatica. </w:t>
      </w:r>
      <w:r w:rsidRPr="00D07ADC">
        <w:rPr>
          <w:i/>
          <w:lang w:val="it-IT"/>
        </w:rPr>
        <w:t xml:space="preserve">Ricordi e frammenti di diario </w:t>
      </w:r>
      <w:r w:rsidRPr="00D07ADC">
        <w:rPr>
          <w:lang w:val="it-IT"/>
        </w:rPr>
        <w:t>(</w:t>
      </w:r>
      <w:r w:rsidRPr="00D07ADC">
        <w:rPr>
          <w:i/>
          <w:lang w:val="it-IT"/>
        </w:rPr>
        <w:t>1914-1919</w:t>
      </w:r>
      <w:r w:rsidRPr="00D07ADC">
        <w:rPr>
          <w:lang w:val="it-IT"/>
        </w:rPr>
        <w:t>), Milano 1937 (tłum. ros. Moskva 1944), s. 171.</w:t>
      </w:r>
    </w:p>
    <w:p w:rsidR="00942133" w:rsidRPr="00D07ADC" w:rsidRDefault="00942133" w:rsidP="001E5F63">
      <w:pPr>
        <w:pStyle w:val="Tekstprzypisudolnego"/>
        <w:spacing w:line="23" w:lineRule="atLeast"/>
        <w:ind w:firstLine="0"/>
        <w:contextualSpacing/>
        <w:rPr>
          <w:lang w:val="it-IT"/>
        </w:rPr>
      </w:pPr>
    </w:p>
  </w:footnote>
  <w:footnote w:id="34">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Podział ten nie obejmuje kolejnej kategorii przywołanej przez Gieorgija Cziczerina w nocie z 24 października 1918 r. do prezydenta Wilsona. Komentując amerykański program pokojowy, nie dostrzegł w nim „wyzwolenia Irlandii, Egiptu, Indii ani nawet wyzwolenia Filipin i bardzo byśmy żałowali, gdyby te narody nie miały możności razem z nami, przez swych swobodnie wybranych przedstawicieli, wzięcia udziału w budowie związku narodów”, S. Sierpowski, </w:t>
      </w:r>
      <w:r w:rsidRPr="00D07ADC">
        <w:rPr>
          <w:i/>
        </w:rPr>
        <w:t>Źródła</w:t>
      </w:r>
      <w:r w:rsidRPr="00D07ADC">
        <w:t>, t. I, s. 56.</w:t>
      </w:r>
    </w:p>
  </w:footnote>
  <w:footnote w:id="35">
    <w:p w:rsidR="00942133" w:rsidRPr="00D07ADC"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D07ADC">
        <w:t xml:space="preserve"> Trudności z rozruszaniem machiny reparacyjnej i spłaty długów międzyalianckich irytowały tym bardziej, że w latach 1920</w:t>
      </w:r>
      <w:r>
        <w:t>-</w:t>
      </w:r>
      <w:r w:rsidRPr="00D07ADC">
        <w:t xml:space="preserve">1921 Stany Zjednoczone znalazły się w kryzysie. Zwykle niewielkie początkowo bezrobocie wzrosło w 1921 r. do 12%. Indeks przemysłowy Systemu Rezerwy Federalnej spadł o 23%, rolnictwa o 12%. </w:t>
      </w:r>
      <w:r w:rsidRPr="00D07ADC">
        <w:rPr>
          <w:lang w:val="en-US"/>
        </w:rPr>
        <w:t xml:space="preserve">M.S. Meltzer, </w:t>
      </w:r>
      <w:r w:rsidRPr="00D07ADC">
        <w:rPr>
          <w:i/>
          <w:lang w:val="en-US"/>
        </w:rPr>
        <w:t>A History of the Federal Reserve: 1913</w:t>
      </w:r>
      <w:r>
        <w:rPr>
          <w:i/>
          <w:lang w:val="en-US"/>
        </w:rPr>
        <w:t>-</w:t>
      </w:r>
      <w:r w:rsidRPr="00D07ADC">
        <w:rPr>
          <w:i/>
          <w:lang w:val="en-US"/>
        </w:rPr>
        <w:t>1951</w:t>
      </w:r>
      <w:r w:rsidRPr="00D07ADC">
        <w:rPr>
          <w:lang w:val="en-US"/>
        </w:rPr>
        <w:t>, Chicago 2003, s. 109 i n.</w:t>
      </w:r>
    </w:p>
  </w:footnote>
  <w:footnote w:id="36">
    <w:p w:rsidR="00942133" w:rsidRPr="00D07ADC" w:rsidRDefault="00942133" w:rsidP="001E5F63">
      <w:pPr>
        <w:pStyle w:val="Tekstprzypisudolnego"/>
        <w:tabs>
          <w:tab w:val="left" w:pos="3780"/>
        </w:tabs>
        <w:spacing w:line="23" w:lineRule="atLeast"/>
        <w:ind w:firstLine="0"/>
        <w:contextualSpacing/>
      </w:pPr>
      <w:r w:rsidRPr="00D07ADC">
        <w:rPr>
          <w:rStyle w:val="Odwoanieprzypisudolnego"/>
          <w:rFonts w:ascii="Times New Roman" w:hAnsi="Times New Roman"/>
          <w:sz w:val="20"/>
        </w:rPr>
        <w:footnoteRef/>
      </w:r>
      <w:r w:rsidRPr="00D07ADC">
        <w:t xml:space="preserve"> J. Kiwerska, </w:t>
      </w:r>
      <w:r w:rsidRPr="00D07ADC">
        <w:rPr>
          <w:i/>
        </w:rPr>
        <w:t>Między izolacjonizmem a zaangażowaniem</w:t>
      </w:r>
      <w:r w:rsidRPr="00D07ADC">
        <w:t xml:space="preserve">, s. 92; por także B. Winid, </w:t>
      </w:r>
      <w:r w:rsidRPr="00D07ADC">
        <w:rPr>
          <w:i/>
        </w:rPr>
        <w:t>Kryzys wilsonizmu</w:t>
      </w:r>
      <w:r w:rsidRPr="00D07ADC">
        <w:t xml:space="preserve">, [w:] </w:t>
      </w:r>
      <w:r w:rsidRPr="00D07ADC">
        <w:rPr>
          <w:i/>
        </w:rPr>
        <w:t>Pochwała historii powszechnej</w:t>
      </w:r>
      <w:r w:rsidRPr="00D07ADC">
        <w:t>, red. Z. Kwiecień, Warszawa 1996, s. 363 i n.</w:t>
      </w:r>
    </w:p>
  </w:footnote>
  <w:footnote w:id="37">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W. Rojek, </w:t>
      </w:r>
      <w:r w:rsidRPr="00D07ADC">
        <w:rPr>
          <w:i/>
        </w:rPr>
        <w:t>Separatystyczny traktat pokojowy pomiędzy USA a Niemcami 1919</w:t>
      </w:r>
      <w:r>
        <w:rPr>
          <w:i/>
        </w:rPr>
        <w:t>-</w:t>
      </w:r>
      <w:r w:rsidRPr="00D07ADC">
        <w:rPr>
          <w:i/>
        </w:rPr>
        <w:t>1921</w:t>
      </w:r>
      <w:r w:rsidRPr="00D07ADC">
        <w:t xml:space="preserve">, [w:] </w:t>
      </w:r>
      <w:r w:rsidRPr="00D07ADC">
        <w:rPr>
          <w:i/>
        </w:rPr>
        <w:t>Niemcy w polityce międzynarodowej 1919</w:t>
      </w:r>
      <w:r>
        <w:rPr>
          <w:i/>
        </w:rPr>
        <w:t>-</w:t>
      </w:r>
      <w:r w:rsidRPr="00D07ADC">
        <w:rPr>
          <w:i/>
        </w:rPr>
        <w:t>1939</w:t>
      </w:r>
      <w:r w:rsidRPr="00D07ADC">
        <w:t>, t. I:</w:t>
      </w:r>
      <w:r w:rsidRPr="00D07ADC">
        <w:rPr>
          <w:i/>
        </w:rPr>
        <w:t xml:space="preserve"> Era Stresemanna</w:t>
      </w:r>
      <w:r w:rsidRPr="00D07ADC">
        <w:t xml:space="preserve">, red. S. Sierpowski, Poznań 1990, s. 49 i n.; separatystyczny pokój źle przyjęto i tak pamiętano zwłaszcza we Francji. Clemenceau z wyrzutem wypominał to w liście do prezydenta Calvina Coolidge’a 9 sierpnia 1926 r.: „wzorem Rosji, która zawarła w Brześciu Litewskim odrębny pokój z Niemcami, uczyniła to samo Ameryka. I nie uznała nawet za właściwe w jakikolwiek sposób usprawiedliwić się wobec dawnych towarzyszy broni. Pokój krwi ze wspólnym wrogiem”, S. Sierpowski, </w:t>
      </w:r>
      <w:r w:rsidRPr="00D07ADC">
        <w:rPr>
          <w:i/>
        </w:rPr>
        <w:t>Źródła</w:t>
      </w:r>
      <w:r w:rsidRPr="00D07ADC">
        <w:t>, t. I, s. 558.</w:t>
      </w:r>
    </w:p>
  </w:footnote>
  <w:footnote w:id="38">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Wyrozumiale podszedł do tego sędziwy Clemenceau, pisząc w końcu lat dwudziestych: „Zastrzeżenia senatu amerykańskiego wobec nowego pomysłu Ligi Narodów są zrozumiałe, gdyż mógł on zaprowadzić kraj na bezdroża”, por. J. Clemenceau, </w:t>
      </w:r>
      <w:r w:rsidRPr="00D07ADC">
        <w:rPr>
          <w:i/>
        </w:rPr>
        <w:t>Blaski i nędze zwycięstwa</w:t>
      </w:r>
      <w:r w:rsidRPr="00D07ADC">
        <w:t>, Poznań 1930, s. 167.</w:t>
      </w:r>
    </w:p>
  </w:footnote>
  <w:footnote w:id="39">
    <w:p w:rsidR="00942133" w:rsidRPr="00D07ADC" w:rsidRDefault="00942133" w:rsidP="001E5F63">
      <w:pPr>
        <w:spacing w:line="23" w:lineRule="atLeast"/>
        <w:ind w:firstLine="0"/>
        <w:contextualSpacing/>
        <w:rPr>
          <w:sz w:val="20"/>
          <w:szCs w:val="20"/>
        </w:rPr>
      </w:pPr>
      <w:r w:rsidRPr="00D07ADC">
        <w:rPr>
          <w:rStyle w:val="Odwoanieprzypisudolnego"/>
          <w:rFonts w:ascii="Times New Roman" w:hAnsi="Times New Roman"/>
          <w:sz w:val="20"/>
          <w:szCs w:val="20"/>
        </w:rPr>
        <w:footnoteRef/>
      </w:r>
      <w:r w:rsidRPr="00D07ADC">
        <w:rPr>
          <w:sz w:val="20"/>
          <w:szCs w:val="20"/>
        </w:rPr>
        <w:t xml:space="preserve"> Agnieszka Bógdał-Brzezińska uważa, że Wilson był „samozwańczym agentem ligowej idei. Do końca życia nie umiał on pogodzić w sobie trzech życiowych pasji: ortodoksyjnego demokraty, teoretyzującego wykładowcy akademickiego i człowieka o osobowości kaznodziei. Pomimo tej nieznośnej schizofrenii ról społecznych pokazał przecież, iż jest ponadto pojętnym uczniem Machiavella, głosząc pogląd o obronie zagrożonej demokracji za pomocą wszelkich dostępnych środków”, zob. A. Bógdał-Brzezińska, </w:t>
      </w:r>
      <w:r w:rsidRPr="00D07ADC">
        <w:rPr>
          <w:i/>
          <w:sz w:val="20"/>
          <w:szCs w:val="20"/>
        </w:rPr>
        <w:t>Zamiast zakończenia</w:t>
      </w:r>
      <w:r w:rsidRPr="00D07ADC">
        <w:rPr>
          <w:sz w:val="20"/>
          <w:szCs w:val="20"/>
        </w:rPr>
        <w:t xml:space="preserve">, [w:] </w:t>
      </w:r>
      <w:r w:rsidRPr="00D07ADC">
        <w:rPr>
          <w:i/>
          <w:sz w:val="20"/>
          <w:szCs w:val="20"/>
        </w:rPr>
        <w:t>Liga Narodów wybranych</w:t>
      </w:r>
      <w:r w:rsidRPr="00D07ADC">
        <w:rPr>
          <w:sz w:val="20"/>
          <w:szCs w:val="20"/>
        </w:rPr>
        <w:t>, red. M.F. Gawrycki, A. Bógdał-Brzezińska, Warszawa 2010, s. 176.</w:t>
      </w:r>
    </w:p>
  </w:footnote>
  <w:footnote w:id="40">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Szerzej S. Sierpowski, </w:t>
      </w:r>
      <w:r w:rsidRPr="00D07ADC">
        <w:rPr>
          <w:i/>
        </w:rPr>
        <w:t>Narodziny Ligi Narodów</w:t>
      </w:r>
      <w:r w:rsidRPr="00D07ADC">
        <w:t>, s. 121 i n.</w:t>
      </w:r>
    </w:p>
  </w:footnote>
  <w:footnote w:id="41">
    <w:p w:rsidR="00942133" w:rsidRPr="00D07ADC" w:rsidRDefault="00942133" w:rsidP="001E5F63">
      <w:pPr>
        <w:pStyle w:val="Tekstprzypisudolnego"/>
        <w:spacing w:line="23" w:lineRule="atLeast"/>
        <w:ind w:firstLine="0"/>
        <w:contextualSpacing/>
        <w:rPr>
          <w:lang w:val="fr-FR"/>
        </w:rPr>
      </w:pPr>
      <w:r w:rsidRPr="00D07ADC">
        <w:rPr>
          <w:rStyle w:val="Odwoanieprzypisudolnego"/>
          <w:rFonts w:ascii="Times New Roman" w:hAnsi="Times New Roman"/>
          <w:sz w:val="20"/>
        </w:rPr>
        <w:footnoteRef/>
      </w:r>
      <w:r w:rsidRPr="00D07ADC">
        <w:rPr>
          <w:lang w:val="fr-FR"/>
        </w:rPr>
        <w:t xml:space="preserve">Zob. m.in. R.M. Mouton, </w:t>
      </w:r>
      <w:r w:rsidRPr="00D07ADC">
        <w:rPr>
          <w:i/>
          <w:lang w:val="fr-FR"/>
        </w:rPr>
        <w:t xml:space="preserve">La Société des Nations et les intérêts de la France </w:t>
      </w:r>
      <w:r w:rsidRPr="00D07ADC">
        <w:rPr>
          <w:lang w:val="fr-FR"/>
        </w:rPr>
        <w:t>(</w:t>
      </w:r>
      <w:r w:rsidRPr="00D07ADC">
        <w:rPr>
          <w:i/>
          <w:lang w:val="fr-FR"/>
        </w:rPr>
        <w:t>1920</w:t>
      </w:r>
      <w:r>
        <w:rPr>
          <w:i/>
          <w:lang w:val="fr-FR"/>
        </w:rPr>
        <w:t>-</w:t>
      </w:r>
      <w:r w:rsidRPr="00D07ADC">
        <w:rPr>
          <w:i/>
          <w:lang w:val="fr-FR"/>
        </w:rPr>
        <w:t>1924</w:t>
      </w:r>
      <w:r w:rsidRPr="00D07ADC">
        <w:rPr>
          <w:lang w:val="fr-FR"/>
        </w:rPr>
        <w:t>), Bern 1995.</w:t>
      </w:r>
    </w:p>
  </w:footnote>
  <w:footnote w:id="42">
    <w:p w:rsidR="00942133" w:rsidRPr="00D07ADC" w:rsidRDefault="00942133" w:rsidP="001E5F63">
      <w:pPr>
        <w:pStyle w:val="Tekstprzypisudolnego"/>
        <w:spacing w:line="23" w:lineRule="atLeast"/>
        <w:ind w:firstLine="0"/>
        <w:contextualSpacing/>
        <w:rPr>
          <w:lang w:val="fr-FR"/>
        </w:rPr>
      </w:pPr>
      <w:r w:rsidRPr="00D07ADC">
        <w:rPr>
          <w:rStyle w:val="Odwoanieprzypisudolnego"/>
          <w:rFonts w:ascii="Times New Roman" w:hAnsi="Times New Roman"/>
          <w:sz w:val="20"/>
        </w:rPr>
        <w:footnoteRef/>
      </w:r>
      <w:r w:rsidRPr="00D07ADC">
        <w:rPr>
          <w:lang w:val="fr-FR"/>
        </w:rPr>
        <w:t>Archives de la Société des Nations [dalej: ASDN], Fonds Paul Mantoux. P. 31 (Paul Mantoux do Drummonda,8.10.1919 oraz Drummond do P. Mantoux, Londyn 14.10.1919).</w:t>
      </w:r>
    </w:p>
  </w:footnote>
  <w:footnote w:id="43">
    <w:p w:rsidR="00942133" w:rsidRPr="00D07ADC"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D07ADC">
        <w:rPr>
          <w:lang w:val="en-US"/>
        </w:rPr>
        <w:t xml:space="preserve"> Prof. Nippold od 1921 r. był przewodniczącym Height Court of the Territory of the Basin in Saarlouis.</w:t>
      </w:r>
    </w:p>
  </w:footnote>
  <w:footnote w:id="44">
    <w:p w:rsidR="00942133" w:rsidRPr="00D07ADC" w:rsidRDefault="00942133" w:rsidP="001E5F63">
      <w:pPr>
        <w:pStyle w:val="Tekstprzypisudolnego"/>
        <w:spacing w:line="23" w:lineRule="atLeast"/>
        <w:ind w:firstLine="0"/>
        <w:contextualSpacing/>
        <w:rPr>
          <w:lang w:val="fr-FR"/>
        </w:rPr>
      </w:pPr>
      <w:r w:rsidRPr="00D07ADC">
        <w:rPr>
          <w:rStyle w:val="Odwoanieprzypisudolnego"/>
          <w:rFonts w:ascii="Times New Roman" w:hAnsi="Times New Roman"/>
          <w:sz w:val="20"/>
        </w:rPr>
        <w:footnoteRef/>
      </w:r>
      <w:r w:rsidRPr="00D07ADC">
        <w:rPr>
          <w:lang w:val="fr-FR"/>
        </w:rPr>
        <w:t xml:space="preserve">Zob. resumé biograficznej tezy doktorskiej Marie-Adélaide Zeyer z 2006 r. </w:t>
      </w:r>
      <w:r w:rsidRPr="00D07ADC">
        <w:rPr>
          <w:i/>
          <w:iCs/>
          <w:lang w:val="fr-FR"/>
        </w:rPr>
        <w:t xml:space="preserve">Léon Bourgeois, père spirituel de la Société des Nations. Solidarité internationale et service de la France </w:t>
      </w:r>
      <w:r w:rsidRPr="00D07ADC">
        <w:rPr>
          <w:iCs/>
          <w:lang w:val="fr-FR"/>
        </w:rPr>
        <w:t>(</w:t>
      </w:r>
      <w:r w:rsidRPr="00D07ADC">
        <w:rPr>
          <w:i/>
          <w:iCs/>
          <w:lang w:val="fr-FR"/>
        </w:rPr>
        <w:t>1899-1919</w:t>
      </w:r>
      <w:r w:rsidRPr="00D07ADC">
        <w:rPr>
          <w:iCs/>
          <w:lang w:val="fr-FR"/>
        </w:rPr>
        <w:t>)</w:t>
      </w:r>
      <w:r w:rsidRPr="00D07ADC">
        <w:rPr>
          <w:lang w:val="fr-FR"/>
        </w:rPr>
        <w:t>, http//theses.enc.sorbonne.fr/documnt995.html [dostęp: 10.09.2009].</w:t>
      </w:r>
    </w:p>
  </w:footnote>
  <w:footnote w:id="45">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Zob. m.in. M. Mikołajczyk, </w:t>
      </w:r>
      <w:r w:rsidRPr="00D07ADC">
        <w:rPr>
          <w:i/>
        </w:rPr>
        <w:t>Jean Monnet. Inspirator zjednoczonej Europy</w:t>
      </w:r>
      <w:r w:rsidRPr="00D07ADC">
        <w:t>, Poznań 2007.</w:t>
      </w:r>
    </w:p>
  </w:footnote>
  <w:footnote w:id="46">
    <w:p w:rsidR="00942133" w:rsidRPr="00D07ADC" w:rsidRDefault="00942133" w:rsidP="001E5F63">
      <w:pPr>
        <w:pStyle w:val="Tekstprzypisudolnego"/>
        <w:spacing w:line="23" w:lineRule="atLeast"/>
        <w:ind w:firstLine="0"/>
        <w:contextualSpacing/>
        <w:rPr>
          <w:lang w:val="fr-FR"/>
        </w:rPr>
      </w:pPr>
      <w:r w:rsidRPr="00D07ADC">
        <w:rPr>
          <w:rStyle w:val="Odwoanieprzypisudolnego"/>
          <w:rFonts w:ascii="Times New Roman" w:hAnsi="Times New Roman"/>
          <w:sz w:val="20"/>
        </w:rPr>
        <w:footnoteRef/>
      </w:r>
      <w:r w:rsidRPr="00D07ADC">
        <w:t xml:space="preserve"> AAN, Poselstwo Londyn, sygn. 716, k. 37 (Poseł w Paryżu do Ministra Spraw Zagranicznych 10 grudnia 1920 r.); szerzej zob. </w:t>
      </w:r>
      <w:r w:rsidRPr="00D07ADC">
        <w:rPr>
          <w:lang w:val="fr-FR"/>
        </w:rPr>
        <w:t xml:space="preserve">Ch. Manigand, </w:t>
      </w:r>
      <w:r w:rsidRPr="00D07ADC">
        <w:rPr>
          <w:i/>
          <w:lang w:val="fr-FR"/>
        </w:rPr>
        <w:t>Les Français au service de la Société des Nations</w:t>
      </w:r>
      <w:r w:rsidRPr="00D07ADC">
        <w:rPr>
          <w:lang w:val="fr-FR"/>
        </w:rPr>
        <w:t>, Bern 2003.</w:t>
      </w:r>
    </w:p>
  </w:footnote>
  <w:footnote w:id="47">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A.M. Brzeziński, </w:t>
      </w:r>
      <w:r w:rsidRPr="00D07ADC">
        <w:rPr>
          <w:i/>
        </w:rPr>
        <w:t>Francuska koncepcja</w:t>
      </w:r>
      <w:r w:rsidRPr="00D07ADC">
        <w:t>, s. 136.</w:t>
      </w:r>
    </w:p>
  </w:footnote>
  <w:footnote w:id="48">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A. Czubiński, </w:t>
      </w:r>
      <w:r w:rsidRPr="00D07ADC">
        <w:rPr>
          <w:i/>
        </w:rPr>
        <w:t>Historia powszechna XX wieku</w:t>
      </w:r>
      <w:r w:rsidRPr="00D07ADC">
        <w:t>, s. 144.</w:t>
      </w:r>
    </w:p>
  </w:footnote>
  <w:footnote w:id="49">
    <w:p w:rsidR="00942133" w:rsidRPr="00D07ADC" w:rsidRDefault="00942133" w:rsidP="001E5F63">
      <w:pPr>
        <w:spacing w:line="23" w:lineRule="atLeast"/>
        <w:ind w:firstLine="0"/>
        <w:contextualSpacing/>
        <w:rPr>
          <w:sz w:val="20"/>
          <w:szCs w:val="20"/>
          <w:lang w:val="en-US"/>
        </w:rPr>
      </w:pPr>
      <w:r w:rsidRPr="00D07ADC">
        <w:rPr>
          <w:rStyle w:val="Odwoanieprzypisudolnego"/>
          <w:rFonts w:ascii="Times New Roman" w:hAnsi="Times New Roman"/>
          <w:sz w:val="20"/>
          <w:szCs w:val="20"/>
        </w:rPr>
        <w:footnoteRef/>
      </w:r>
      <w:r w:rsidRPr="00D07ADC">
        <w:rPr>
          <w:sz w:val="20"/>
          <w:szCs w:val="20"/>
          <w:lang w:val="en-US"/>
        </w:rPr>
        <w:t xml:space="preserve"> S. Sierpowski, </w:t>
      </w:r>
      <w:r w:rsidRPr="00D07ADC">
        <w:rPr>
          <w:i/>
          <w:sz w:val="20"/>
          <w:szCs w:val="20"/>
          <w:lang w:val="en-US"/>
        </w:rPr>
        <w:t>Źródła</w:t>
      </w:r>
      <w:r w:rsidRPr="00D07ADC">
        <w:rPr>
          <w:sz w:val="20"/>
          <w:szCs w:val="20"/>
          <w:lang w:val="en-US"/>
        </w:rPr>
        <w:t xml:space="preserve">, t. I, s. 79; A. Dilley, </w:t>
      </w:r>
      <w:r w:rsidRPr="00D07ADC">
        <w:rPr>
          <w:i/>
          <w:iCs/>
          <w:sz w:val="20"/>
          <w:szCs w:val="20"/>
          <w:lang w:val="en-US"/>
        </w:rPr>
        <w:t>World, Global and Imperial History in British Historiography</w:t>
      </w:r>
      <w:r w:rsidRPr="00D07ADC">
        <w:rPr>
          <w:iCs/>
          <w:sz w:val="20"/>
          <w:szCs w:val="20"/>
          <w:lang w:val="en-US"/>
        </w:rPr>
        <w:t>,</w:t>
      </w:r>
      <w:r w:rsidRPr="00D07ADC">
        <w:rPr>
          <w:sz w:val="20"/>
          <w:szCs w:val="20"/>
          <w:lang w:val="en-US"/>
        </w:rPr>
        <w:t xml:space="preserve"> [w:] </w:t>
      </w:r>
      <w:r w:rsidRPr="00D07ADC">
        <w:rPr>
          <w:i/>
          <w:sz w:val="20"/>
          <w:szCs w:val="20"/>
          <w:lang w:val="en-US"/>
        </w:rPr>
        <w:t>World and Global History. Research and Teaching</w:t>
      </w:r>
      <w:r w:rsidRPr="00D07ADC">
        <w:rPr>
          <w:sz w:val="20"/>
          <w:szCs w:val="20"/>
          <w:lang w:val="en-US"/>
        </w:rPr>
        <w:t>, red. S. Jalagin, S. Tavera, A. Dilley, Pisa 2011, s. 123 i n.</w:t>
      </w:r>
    </w:p>
  </w:footnote>
  <w:footnote w:id="50">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S. Sierpowski, </w:t>
      </w:r>
      <w:r w:rsidRPr="00D07ADC">
        <w:rPr>
          <w:i/>
        </w:rPr>
        <w:t>Źródła</w:t>
      </w:r>
      <w:r w:rsidRPr="00D07ADC">
        <w:t xml:space="preserve">, t. I, s. 81; zob. szerzej P. Kraszewski, </w:t>
      </w:r>
      <w:r w:rsidRPr="00D07ADC">
        <w:rPr>
          <w:i/>
        </w:rPr>
        <w:t>Polityka Wielkiej Brytanii wobec Niemiec w latach 1918</w:t>
      </w:r>
      <w:r>
        <w:rPr>
          <w:i/>
        </w:rPr>
        <w:t>-</w:t>
      </w:r>
      <w:r w:rsidRPr="00D07ADC">
        <w:rPr>
          <w:i/>
        </w:rPr>
        <w:t>1925</w:t>
      </w:r>
      <w:r w:rsidRPr="00D07ADC">
        <w:t>, Poznań 1982, s. 174 i n.</w:t>
      </w:r>
    </w:p>
  </w:footnote>
  <w:footnote w:id="51">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A. Czubiński, </w:t>
      </w:r>
      <w:r w:rsidRPr="00D07ADC">
        <w:rPr>
          <w:i/>
        </w:rPr>
        <w:t>Rewolucja Październikowa w Rosji i ruchy rewolucyjne w Europie lat 1917</w:t>
      </w:r>
      <w:r>
        <w:rPr>
          <w:i/>
        </w:rPr>
        <w:t>-</w:t>
      </w:r>
      <w:r w:rsidRPr="00D07ADC">
        <w:rPr>
          <w:i/>
        </w:rPr>
        <w:t>1921</w:t>
      </w:r>
      <w:r w:rsidRPr="00D07ADC">
        <w:t>, Poznań 1988.</w:t>
      </w:r>
    </w:p>
  </w:footnote>
  <w:footnote w:id="52">
    <w:p w:rsidR="00942133" w:rsidRPr="00D07ADC" w:rsidRDefault="00942133" w:rsidP="001E5F63">
      <w:pPr>
        <w:spacing w:line="23" w:lineRule="atLeast"/>
        <w:ind w:firstLine="0"/>
        <w:contextualSpacing/>
        <w:rPr>
          <w:sz w:val="20"/>
          <w:szCs w:val="20"/>
          <w:lang w:val="fr-FR"/>
        </w:rPr>
      </w:pPr>
      <w:r w:rsidRPr="00D07ADC">
        <w:rPr>
          <w:rStyle w:val="Odwoanieprzypisudolnego"/>
          <w:rFonts w:ascii="Times New Roman" w:hAnsi="Times New Roman"/>
          <w:sz w:val="20"/>
          <w:szCs w:val="20"/>
        </w:rPr>
        <w:footnoteRef/>
      </w:r>
      <w:r w:rsidRPr="00D07ADC">
        <w:rPr>
          <w:sz w:val="20"/>
          <w:szCs w:val="20"/>
        </w:rPr>
        <w:t xml:space="preserve"> S. Sierpowski, </w:t>
      </w:r>
      <w:r w:rsidRPr="00D07ADC">
        <w:rPr>
          <w:i/>
          <w:sz w:val="20"/>
          <w:szCs w:val="20"/>
        </w:rPr>
        <w:t>Źródła</w:t>
      </w:r>
      <w:r w:rsidRPr="00D07ADC">
        <w:rPr>
          <w:sz w:val="20"/>
          <w:szCs w:val="20"/>
        </w:rPr>
        <w:t xml:space="preserve">, t. I, s. 88; W. Zybaczewski, </w:t>
      </w:r>
      <w:r w:rsidRPr="00D07ADC">
        <w:rPr>
          <w:i/>
          <w:sz w:val="20"/>
          <w:szCs w:val="20"/>
        </w:rPr>
        <w:t xml:space="preserve">Polsko-sowietskaja wojna </w:t>
      </w:r>
      <w:smartTag w:uri="urn:schemas-microsoft-com:office:smarttags" w:element="metricconverter">
        <w:smartTagPr>
          <w:attr w:name="ProductID" w:val="1920 g"/>
        </w:smartTagPr>
        <w:r w:rsidRPr="00D07ADC">
          <w:rPr>
            <w:i/>
            <w:sz w:val="20"/>
            <w:szCs w:val="20"/>
          </w:rPr>
          <w:t>1920 g</w:t>
        </w:r>
      </w:smartTag>
      <w:r w:rsidRPr="00D07ADC">
        <w:rPr>
          <w:i/>
          <w:sz w:val="20"/>
          <w:szCs w:val="20"/>
        </w:rPr>
        <w:t>.: geopolityczny aspekt</w:t>
      </w:r>
      <w:r w:rsidRPr="00D07ADC">
        <w:rPr>
          <w:sz w:val="20"/>
          <w:szCs w:val="20"/>
        </w:rPr>
        <w:t xml:space="preserve">, [w:] </w:t>
      </w:r>
      <w:r w:rsidRPr="00D07ADC">
        <w:rPr>
          <w:i/>
          <w:sz w:val="20"/>
          <w:szCs w:val="20"/>
        </w:rPr>
        <w:t>Od armii komputowej do narodowej</w:t>
      </w:r>
      <w:r w:rsidRPr="00D07ADC">
        <w:rPr>
          <w:sz w:val="20"/>
          <w:szCs w:val="20"/>
        </w:rPr>
        <w:t xml:space="preserve">, t. IV, red. </w:t>
      </w:r>
      <w:r w:rsidRPr="00D07ADC">
        <w:rPr>
          <w:sz w:val="20"/>
          <w:szCs w:val="20"/>
          <w:lang w:val="fr-FR"/>
        </w:rPr>
        <w:t>W. Rezmer, Toruń 2012, s. 305 i n.</w:t>
      </w:r>
    </w:p>
  </w:footnote>
  <w:footnote w:id="53">
    <w:p w:rsidR="00942133" w:rsidRPr="00D07ADC"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D07ADC">
        <w:rPr>
          <w:lang w:val="fr-FR"/>
        </w:rPr>
        <w:t xml:space="preserve">G. Scelle, </w:t>
      </w:r>
      <w:r w:rsidRPr="00D07ADC">
        <w:rPr>
          <w:i/>
          <w:lang w:val="fr-FR"/>
        </w:rPr>
        <w:t>Le Pacte des Nations et sa liaison avec le Traité de Paix</w:t>
      </w:r>
      <w:r w:rsidRPr="00D07ADC">
        <w:rPr>
          <w:lang w:val="fr-FR"/>
        </w:rPr>
        <w:t xml:space="preserve">, Paris 1919, s. 260 i n.; Ch. </w:t>
      </w:r>
      <w:r w:rsidRPr="00D07ADC">
        <w:rPr>
          <w:lang w:val="en-US"/>
        </w:rPr>
        <w:t xml:space="preserve">Kimmich, </w:t>
      </w:r>
      <w:r w:rsidRPr="00D07ADC">
        <w:rPr>
          <w:i/>
          <w:lang w:val="en-US"/>
        </w:rPr>
        <w:t>Germany and the League of Nations</w:t>
      </w:r>
      <w:r w:rsidRPr="00D07ADC">
        <w:rPr>
          <w:lang w:val="en-US"/>
        </w:rPr>
        <w:t>, s. 11 i n.</w:t>
      </w:r>
    </w:p>
  </w:footnote>
  <w:footnote w:id="54">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rPr>
          <w:color w:val="333333"/>
          <w:lang w:val="de-DE"/>
        </w:rPr>
        <w:t xml:space="preserve">O. Becker, </w:t>
      </w:r>
      <w:r w:rsidRPr="00D07ADC">
        <w:rPr>
          <w:i/>
          <w:color w:val="333333"/>
          <w:lang w:val="de-DE"/>
        </w:rPr>
        <w:t>Deutschlands Zusammenbruch und Auferstehung</w:t>
      </w:r>
      <w:r w:rsidRPr="00D07ADC">
        <w:rPr>
          <w:color w:val="333333"/>
          <w:lang w:val="de-DE"/>
        </w:rPr>
        <w:t xml:space="preserve">. 2 Teil: </w:t>
      </w:r>
      <w:r w:rsidRPr="00D07ADC">
        <w:rPr>
          <w:i/>
          <w:color w:val="333333"/>
          <w:lang w:val="de-DE"/>
        </w:rPr>
        <w:t>Bedingungen für Deutschlands Wiederaufstieg</w:t>
      </w:r>
      <w:r w:rsidRPr="00D07ADC">
        <w:rPr>
          <w:color w:val="333333"/>
          <w:lang w:val="de-DE"/>
        </w:rPr>
        <w:t>, Berlin 1922, s. 21; z</w:t>
      </w:r>
      <w:r w:rsidRPr="00D07ADC">
        <w:rPr>
          <w:lang w:val="de-DE"/>
        </w:rPr>
        <w:t xml:space="preserve">ob. </w:t>
      </w:r>
      <w:r w:rsidRPr="00D07ADC">
        <w:t xml:space="preserve">J. Marczewski, </w:t>
      </w:r>
      <w:r w:rsidRPr="00D07ADC">
        <w:rPr>
          <w:i/>
        </w:rPr>
        <w:t>Niektóre aspekty dyskusji nad zagadnieniem celów wojennych Niemiec okresu I wojny światowej w historiografii zachodnioniemieckiej 1945</w:t>
      </w:r>
      <w:r>
        <w:rPr>
          <w:i/>
        </w:rPr>
        <w:t>-</w:t>
      </w:r>
      <w:r w:rsidRPr="00D07ADC">
        <w:rPr>
          <w:i/>
        </w:rPr>
        <w:t>1965</w:t>
      </w:r>
      <w:r w:rsidRPr="00D07ADC">
        <w:t xml:space="preserve">, Studia Historica Slavo-Germanica 7(1978); A. Czubiński, </w:t>
      </w:r>
      <w:r w:rsidRPr="00D07ADC">
        <w:rPr>
          <w:i/>
        </w:rPr>
        <w:t>Niemieckie koncepcje wyjścia z kryzysu lat 1918</w:t>
      </w:r>
      <w:r>
        <w:rPr>
          <w:i/>
        </w:rPr>
        <w:t>-</w:t>
      </w:r>
      <w:r w:rsidRPr="00D07ADC">
        <w:rPr>
          <w:i/>
        </w:rPr>
        <w:t>1919</w:t>
      </w:r>
      <w:r w:rsidRPr="00D07ADC">
        <w:t xml:space="preserve">, [w:] </w:t>
      </w:r>
      <w:r w:rsidRPr="00D07ADC">
        <w:rPr>
          <w:i/>
        </w:rPr>
        <w:t>Niemcy w polityce międzynarodowej 1919</w:t>
      </w:r>
      <w:r>
        <w:rPr>
          <w:i/>
        </w:rPr>
        <w:t>-</w:t>
      </w:r>
      <w:r w:rsidRPr="00D07ADC">
        <w:rPr>
          <w:i/>
        </w:rPr>
        <w:t>1939</w:t>
      </w:r>
      <w:r w:rsidRPr="00D07ADC">
        <w:t xml:space="preserve">, t. I: </w:t>
      </w:r>
      <w:r w:rsidRPr="00D07ADC">
        <w:rPr>
          <w:i/>
        </w:rPr>
        <w:t>Era Stresemanna</w:t>
      </w:r>
      <w:r w:rsidRPr="00D07ADC">
        <w:t>, red. S. Sierpowski, Poznań 1990, s. 31 i n.</w:t>
      </w:r>
    </w:p>
  </w:footnote>
  <w:footnote w:id="55">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R.M. Iljuchina, </w:t>
      </w:r>
      <w:r w:rsidRPr="00D07ADC">
        <w:rPr>
          <w:i/>
        </w:rPr>
        <w:t>Liga Nacij 1919</w:t>
      </w:r>
      <w:r>
        <w:rPr>
          <w:i/>
        </w:rPr>
        <w:t>-</w:t>
      </w:r>
      <w:r w:rsidRPr="00D07ADC">
        <w:rPr>
          <w:i/>
        </w:rPr>
        <w:t>1934</w:t>
      </w:r>
      <w:r w:rsidRPr="00D07ADC">
        <w:t>, Moskwa 1982, s. 114 i n.</w:t>
      </w:r>
    </w:p>
  </w:footnote>
  <w:footnote w:id="56">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S. Sierpowski, </w:t>
      </w:r>
      <w:r w:rsidRPr="00D07ADC">
        <w:rPr>
          <w:i/>
        </w:rPr>
        <w:t>Narodziny Ligi Narodów</w:t>
      </w:r>
      <w:r w:rsidRPr="00D07ADC">
        <w:t>, s. 154 i n.</w:t>
      </w:r>
    </w:p>
  </w:footnote>
  <w:footnote w:id="57">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rPr>
          <w:lang w:val="fr-FR"/>
        </w:rPr>
        <w:t xml:space="preserve">M. Perez-Guerrero, </w:t>
      </w:r>
      <w:r w:rsidRPr="00D07ADC">
        <w:rPr>
          <w:i/>
          <w:lang w:val="fr-FR"/>
        </w:rPr>
        <w:t>Les relations de Etats de l’Amerique latin avec la Société des Nations</w:t>
      </w:r>
      <w:r w:rsidRPr="00D07ADC">
        <w:rPr>
          <w:lang w:val="fr-FR"/>
        </w:rPr>
        <w:t xml:space="preserve">, Paris 1936, s. 91 i n.; J.B. Sivori, </w:t>
      </w:r>
      <w:r w:rsidRPr="00D07ADC">
        <w:rPr>
          <w:i/>
          <w:lang w:val="fr-FR"/>
        </w:rPr>
        <w:t>La Liga de las Naciones su origin y la obra realisada en la Republica Argentina</w:t>
      </w:r>
      <w:r w:rsidRPr="00D07ADC">
        <w:rPr>
          <w:lang w:val="fr-FR"/>
        </w:rPr>
        <w:t xml:space="preserve">, Buenos Aires 1928, s. 170 i n.; szerszy kontekst zob. </w:t>
      </w:r>
      <w:r>
        <w:t>M.</w:t>
      </w:r>
      <w:r w:rsidRPr="00D07ADC">
        <w:t xml:space="preserve">F. Gawrycki, </w:t>
      </w:r>
      <w:r w:rsidRPr="00D07ADC">
        <w:rPr>
          <w:i/>
        </w:rPr>
        <w:t>Etyka compradora – postkolonialna Ameryka Łacińska w Lidze Narodów</w:t>
      </w:r>
      <w:r w:rsidRPr="00D07ADC">
        <w:t xml:space="preserve">, [w:] </w:t>
      </w:r>
      <w:r w:rsidRPr="00D07ADC">
        <w:rPr>
          <w:i/>
        </w:rPr>
        <w:t>Liga Narodów wybranych</w:t>
      </w:r>
      <w:r w:rsidRPr="00D07ADC">
        <w:t>, red. M.F. Gawrycki, A. Bógdał-Brzezińska, Warszawa 2010, s. 68 i n.</w:t>
      </w:r>
    </w:p>
  </w:footnote>
  <w:footnote w:id="58">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Szerzej S. Sierpowski, </w:t>
      </w:r>
      <w:r w:rsidRPr="00D07ADC">
        <w:rPr>
          <w:i/>
        </w:rPr>
        <w:t>Narodziny Ligi Narodów</w:t>
      </w:r>
      <w:r w:rsidRPr="00D07ADC">
        <w:t>, s. 135 i n.</w:t>
      </w:r>
    </w:p>
  </w:footnote>
  <w:footnote w:id="59">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H. Korczyk, </w:t>
      </w:r>
      <w:r w:rsidRPr="00D07ADC">
        <w:rPr>
          <w:i/>
        </w:rPr>
        <w:t>Rokowania w sprawie traktatu przymierza francusko-brytyjskiego w 1922 roku</w:t>
      </w:r>
      <w:r w:rsidRPr="00D07ADC">
        <w:t>, Warszawa 1980.</w:t>
      </w:r>
    </w:p>
  </w:footnote>
  <w:footnote w:id="60">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Philippe Berthelot, sekretarz generalny francuskiego ministerstwa spraw zagranicznych nie wahał się twierdzić, że Sir Eric Drummond „działa w imieniu imperialistów angielskich, przeciwstawiających się zawsze polityce francuskiej”. Na szczęście – wywodził Berthelot – jego pozycja nie jest wieczna: „byłoby pożądanym, aby na przyszłość zajmował ją przedstawiciel mniejszego mocarstwa”. AAN, Poselstwo Londyn, sygn. 716, k. 36 – Maurycy Zamoyski do p. MSZ,10.12.1920.</w:t>
      </w:r>
    </w:p>
  </w:footnote>
  <w:footnote w:id="61">
    <w:p w:rsidR="00942133" w:rsidRPr="00D07ADC" w:rsidRDefault="00942133" w:rsidP="001E5F63">
      <w:pPr>
        <w:spacing w:line="23" w:lineRule="atLeast"/>
        <w:ind w:firstLine="0"/>
        <w:contextualSpacing/>
        <w:rPr>
          <w:sz w:val="20"/>
          <w:szCs w:val="20"/>
          <w:lang w:val="en-US"/>
        </w:rPr>
      </w:pPr>
      <w:r w:rsidRPr="00D07ADC">
        <w:rPr>
          <w:rStyle w:val="Odwoanieprzypisudolnego"/>
          <w:rFonts w:ascii="Times New Roman" w:hAnsi="Times New Roman"/>
          <w:sz w:val="20"/>
          <w:szCs w:val="20"/>
        </w:rPr>
        <w:footnoteRef/>
      </w:r>
      <w:r w:rsidRPr="00D07ADC">
        <w:rPr>
          <w:sz w:val="20"/>
          <w:szCs w:val="20"/>
        </w:rPr>
        <w:t xml:space="preserve"> A.M. Brzeziński, </w:t>
      </w:r>
      <w:r w:rsidRPr="00D07ADC">
        <w:rPr>
          <w:i/>
          <w:sz w:val="20"/>
          <w:szCs w:val="20"/>
        </w:rPr>
        <w:t>Dyplomacja francuska a pierwsze prace rozbrojeniowe w Lidze Narodów 1920</w:t>
      </w:r>
      <w:r>
        <w:rPr>
          <w:i/>
          <w:sz w:val="20"/>
          <w:szCs w:val="20"/>
        </w:rPr>
        <w:t>-</w:t>
      </w:r>
      <w:r w:rsidRPr="00D07ADC">
        <w:rPr>
          <w:i/>
          <w:sz w:val="20"/>
          <w:szCs w:val="20"/>
        </w:rPr>
        <w:t>1922</w:t>
      </w:r>
      <w:r w:rsidRPr="00D07ADC">
        <w:rPr>
          <w:sz w:val="20"/>
          <w:szCs w:val="20"/>
        </w:rPr>
        <w:t xml:space="preserve">, Acta Universitatis Lodziensis. </w:t>
      </w:r>
      <w:r w:rsidRPr="00D07ADC">
        <w:rPr>
          <w:sz w:val="20"/>
          <w:szCs w:val="20"/>
          <w:lang w:val="en-US"/>
        </w:rPr>
        <w:t>Folia Historica 24 (1986), s. 122 i n.; A.</w:t>
      </w:r>
      <w:r w:rsidRPr="00D07ADC">
        <w:rPr>
          <w:vanish/>
          <w:sz w:val="20"/>
          <w:szCs w:val="20"/>
          <w:lang w:val="en-US"/>
        </w:rPr>
        <w:t>Barros, "Rozbrojenie jako broni: anglo-francuskie stosunki i problem Egzekwowanie</w:t>
      </w:r>
      <w:r w:rsidRPr="00D07ADC">
        <w:rPr>
          <w:sz w:val="20"/>
          <w:szCs w:val="20"/>
          <w:lang w:val="en-US"/>
        </w:rPr>
        <w:t xml:space="preserve"> Barros, </w:t>
      </w:r>
      <w:r w:rsidRPr="00D07ADC">
        <w:rPr>
          <w:i/>
          <w:sz w:val="20"/>
          <w:szCs w:val="20"/>
          <w:lang w:val="en-US"/>
        </w:rPr>
        <w:t xml:space="preserve">Disarmament as a Weapon: Anglo-French Relations and the Problem of Enforcing </w:t>
      </w:r>
      <w:r w:rsidRPr="00D07ADC">
        <w:rPr>
          <w:i/>
          <w:vanish/>
          <w:sz w:val="20"/>
          <w:szCs w:val="20"/>
          <w:lang w:val="en-US"/>
        </w:rPr>
        <w:t xml:space="preserve">Niemiecki Disarament, 1919/28, </w:t>
      </w:r>
      <w:r w:rsidRPr="00D07ADC">
        <w:rPr>
          <w:i/>
          <w:iCs/>
          <w:vanish/>
          <w:sz w:val="20"/>
          <w:szCs w:val="20"/>
          <w:lang w:val="en-US"/>
        </w:rPr>
        <w:t>"Journalof Strategic Studies</w:t>
      </w:r>
      <w:r w:rsidRPr="00D07ADC">
        <w:rPr>
          <w:i/>
          <w:vanish/>
          <w:sz w:val="20"/>
          <w:szCs w:val="20"/>
          <w:lang w:val="en-US"/>
        </w:rPr>
        <w:t xml:space="preserve"> 29, 2 </w:t>
      </w:r>
      <w:r w:rsidRPr="00BD56B3">
        <w:rPr>
          <w:vanish/>
          <w:sz w:val="20"/>
          <w:szCs w:val="20"/>
          <w:lang w:val="en-US"/>
        </w:rPr>
        <w:t>(</w:t>
      </w:r>
      <w:r w:rsidRPr="00D07ADC">
        <w:rPr>
          <w:i/>
          <w:vanish/>
          <w:sz w:val="20"/>
          <w:szCs w:val="20"/>
          <w:lang w:val="en-US"/>
        </w:rPr>
        <w:t>kwiecień 2006</w:t>
      </w:r>
      <w:r w:rsidRPr="00BD56B3">
        <w:rPr>
          <w:vanish/>
          <w:sz w:val="20"/>
          <w:szCs w:val="20"/>
          <w:lang w:val="en-US"/>
        </w:rPr>
        <w:t>)</w:t>
      </w:r>
      <w:r w:rsidRPr="00D07ADC">
        <w:rPr>
          <w:i/>
          <w:vanish/>
          <w:sz w:val="20"/>
          <w:szCs w:val="20"/>
          <w:lang w:val="en-US"/>
        </w:rPr>
        <w:t>: 301-321, tu esp.</w:t>
      </w:r>
      <w:r w:rsidRPr="00D07ADC">
        <w:rPr>
          <w:i/>
          <w:sz w:val="20"/>
          <w:szCs w:val="20"/>
          <w:lang w:val="en-US"/>
        </w:rPr>
        <w:t xml:space="preserve"> German Disarmament, 1919-28</w:t>
      </w:r>
      <w:r w:rsidRPr="00D07ADC">
        <w:rPr>
          <w:sz w:val="20"/>
          <w:szCs w:val="20"/>
          <w:lang w:val="en-US"/>
        </w:rPr>
        <w:t xml:space="preserve">, </w:t>
      </w:r>
      <w:r w:rsidRPr="00D07ADC">
        <w:rPr>
          <w:iCs/>
          <w:sz w:val="20"/>
          <w:szCs w:val="20"/>
          <w:lang w:val="en-US"/>
        </w:rPr>
        <w:t>Journal of Strategic Studies 29 (</w:t>
      </w:r>
      <w:r w:rsidRPr="00D07ADC">
        <w:rPr>
          <w:sz w:val="20"/>
          <w:szCs w:val="20"/>
          <w:lang w:val="en-US"/>
        </w:rPr>
        <w:t>2006), 2, s. 304</w:t>
      </w:r>
      <w:r w:rsidRPr="00D07ADC">
        <w:rPr>
          <w:vanish/>
          <w:sz w:val="20"/>
          <w:szCs w:val="20"/>
          <w:lang w:val="en-US"/>
        </w:rPr>
        <w:t>304, 312.</w:t>
      </w:r>
      <w:r w:rsidRPr="00D07ADC">
        <w:rPr>
          <w:sz w:val="20"/>
          <w:szCs w:val="20"/>
          <w:lang w:val="en-US"/>
        </w:rPr>
        <w:t>, 312.</w:t>
      </w:r>
    </w:p>
  </w:footnote>
  <w:footnote w:id="62">
    <w:p w:rsidR="00942133" w:rsidRPr="000F486B"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lang w:val="en-US"/>
        </w:rPr>
        <w:footnoteRef/>
      </w:r>
      <w:r w:rsidRPr="000F486B">
        <w:rPr>
          <w:lang w:val="en-US"/>
        </w:rPr>
        <w:t xml:space="preserve"> G. Johnson, </w:t>
      </w:r>
      <w:r w:rsidRPr="000F486B">
        <w:rPr>
          <w:i/>
          <w:lang w:val="en-US"/>
        </w:rPr>
        <w:t>Lord Curzon and the Appointment of lord D’Abernon as ambassador to Berlin in 1920</w:t>
      </w:r>
      <w:r w:rsidRPr="000F486B">
        <w:rPr>
          <w:lang w:val="en-US"/>
        </w:rPr>
        <w:t xml:space="preserve">, Journal of Contemporary History 39 (2004), s. 57 i n.; lord D’Abernon cieszy się kultem w Polsce za uznanie bitwy warszawskiej z 1920 r. za osiemnastą decydującą bitwę w dziejach świata, </w:t>
      </w:r>
      <w:r w:rsidRPr="000F486B">
        <w:rPr>
          <w:i/>
          <w:iCs/>
          <w:lang w:val="en-US"/>
        </w:rPr>
        <w:t>Osiemnasta decydująca bitwa w dziejach świata pod Warszawą 1920 r</w:t>
      </w:r>
      <w:r w:rsidRPr="000F486B">
        <w:rPr>
          <w:iCs/>
          <w:lang w:val="en-US"/>
        </w:rPr>
        <w:t>., w</w:t>
      </w:r>
      <w:r w:rsidRPr="000F486B">
        <w:rPr>
          <w:lang w:val="en-US"/>
        </w:rPr>
        <w:t xml:space="preserve">yd. pol., Warszawa 1932, ss. 183. </w:t>
      </w:r>
    </w:p>
  </w:footnote>
  <w:footnote w:id="63">
    <w:p w:rsidR="00942133" w:rsidRPr="000F486B"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0F486B">
        <w:t xml:space="preserve"> ASDN, Fonds Mantoux. P. 31 (Płk Chardigny do Mantoux 17.08.1922).</w:t>
      </w:r>
    </w:p>
  </w:footnote>
  <w:footnote w:id="64">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A.M. Cienciała, </w:t>
      </w:r>
      <w:r w:rsidRPr="00D07ADC">
        <w:rPr>
          <w:i/>
        </w:rPr>
        <w:t>Wolne Miasto Gdańsk w polityce Wielkiej Brytanii</w:t>
      </w:r>
      <w:r w:rsidRPr="00D07ADC">
        <w:rPr>
          <w:i/>
          <w:iCs/>
        </w:rPr>
        <w:t xml:space="preserve"> w latach 1933-1938</w:t>
      </w:r>
      <w:r w:rsidRPr="00D07ADC">
        <w:rPr>
          <w:iCs/>
        </w:rPr>
        <w:t>,</w:t>
      </w:r>
      <w:r w:rsidRPr="00D07ADC">
        <w:t xml:space="preserve"> [w:] </w:t>
      </w:r>
      <w:r w:rsidRPr="00D07ADC">
        <w:rPr>
          <w:i/>
          <w:iCs/>
        </w:rPr>
        <w:t>Gdańsk. Z historii stosunków polsko-niemieckich</w:t>
      </w:r>
      <w:r w:rsidRPr="00D07ADC">
        <w:t xml:space="preserve">, red. M. Andrzejewski, Warszawa 1998, s. 94; zob. też szkice S. Sierpowskiego, </w:t>
      </w:r>
      <w:r w:rsidRPr="00D07ADC">
        <w:rPr>
          <w:i/>
        </w:rPr>
        <w:t>Rola Ligi Narodów w Wolnym Mieście Gdańsku w pierwszych latach okresu międzywojennego</w:t>
      </w:r>
      <w:r w:rsidRPr="00D07ADC">
        <w:t xml:space="preserve">, [w:] </w:t>
      </w:r>
      <w:r w:rsidRPr="00D07ADC">
        <w:rPr>
          <w:i/>
        </w:rPr>
        <w:t>Międzymorze. Polska i kraje Europy Środkowo</w:t>
      </w:r>
      <w:r w:rsidRPr="00D07ADC">
        <w:rPr>
          <w:i/>
        </w:rPr>
        <w:noBreakHyphen/>
        <w:t>Wschodniej. XIX</w:t>
      </w:r>
      <w:r w:rsidRPr="00D07ADC">
        <w:rPr>
          <w:i/>
        </w:rPr>
        <w:noBreakHyphen/>
        <w:t>XX wiek</w:t>
      </w:r>
      <w:r w:rsidRPr="00D07ADC">
        <w:t xml:space="preserve">, Warszawa 1995, s. 241 i n., oraz </w:t>
      </w:r>
      <w:r w:rsidRPr="00D07ADC">
        <w:rPr>
          <w:i/>
        </w:rPr>
        <w:t xml:space="preserve">Spory o Wysokich Komisarzy Ligi Narodów w Gdańsku </w:t>
      </w:r>
      <w:r w:rsidRPr="00D07ADC">
        <w:t>(</w:t>
      </w:r>
      <w:r w:rsidRPr="00D07ADC">
        <w:rPr>
          <w:i/>
        </w:rPr>
        <w:t>1919-1939</w:t>
      </w:r>
      <w:r w:rsidRPr="00D07ADC">
        <w:t xml:space="preserve">), [w:] </w:t>
      </w:r>
      <w:r w:rsidRPr="00D07ADC">
        <w:rPr>
          <w:i/>
        </w:rPr>
        <w:t>Od polonizacji do europeizacji Pomorza Zachodniego</w:t>
      </w:r>
      <w:r w:rsidRPr="00D07ADC">
        <w:t xml:space="preserve">, red. M. Machałek, J. Macholak, E. Włodarczyk, Warszawa-Szczecin 2012, s. 59 i n.; także prace Marka Baumgarta, Marii Nowak-Kiełbikowej, Stanisława Mikosa i in. </w:t>
      </w:r>
    </w:p>
  </w:footnote>
  <w:footnote w:id="65">
    <w:p w:rsidR="00942133" w:rsidRPr="00D07ADC" w:rsidRDefault="00942133" w:rsidP="001E5F63">
      <w:pPr>
        <w:spacing w:line="23" w:lineRule="atLeast"/>
        <w:ind w:firstLine="0"/>
        <w:contextualSpacing/>
        <w:rPr>
          <w:color w:val="333333"/>
          <w:sz w:val="20"/>
          <w:szCs w:val="20"/>
          <w:lang w:val="en-US"/>
        </w:rPr>
      </w:pPr>
      <w:r w:rsidRPr="00D07ADC">
        <w:rPr>
          <w:rStyle w:val="Odwoanieprzypisudolnego"/>
          <w:rFonts w:ascii="Times New Roman" w:hAnsi="Times New Roman"/>
          <w:sz w:val="20"/>
          <w:szCs w:val="20"/>
        </w:rPr>
        <w:footnoteRef/>
      </w:r>
      <w:r w:rsidRPr="00D07ADC">
        <w:rPr>
          <w:sz w:val="20"/>
          <w:szCs w:val="20"/>
        </w:rPr>
        <w:t xml:space="preserve"> Propozycja Berlina została zaakceptowana 6 maja 1921 r., kiedy to oba państwa nawiązały stosunki dyplomatyczne, chociaż bez sprecyzowania ich charakteru szerzej zob. </w:t>
      </w:r>
      <w:r w:rsidRPr="00D07ADC">
        <w:rPr>
          <w:sz w:val="20"/>
          <w:szCs w:val="20"/>
          <w:lang w:val="en-US"/>
        </w:rPr>
        <w:t xml:space="preserve">P. Shekarloo, </w:t>
      </w:r>
      <w:r w:rsidRPr="00D07ADC">
        <w:rPr>
          <w:i/>
          <w:sz w:val="20"/>
          <w:szCs w:val="20"/>
          <w:lang w:val="en-US"/>
        </w:rPr>
        <w:t>Maltzan – the Architect of Rapallo: Weimar Foreign Policy, German-Soviet Relations and the Treaty of Rapallo 1920-22</w:t>
      </w:r>
      <w:r w:rsidRPr="00D07ADC">
        <w:rPr>
          <w:sz w:val="20"/>
          <w:szCs w:val="20"/>
          <w:lang w:val="en-US"/>
        </w:rPr>
        <w:t>. Research Paper,GRIN Verlag 2010, s.19 i n.</w:t>
      </w:r>
    </w:p>
  </w:footnote>
  <w:footnote w:id="66">
    <w:p w:rsidR="00942133" w:rsidRPr="00D07ADC"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D07ADC">
        <w:rPr>
          <w:lang w:val="en-US"/>
        </w:rPr>
        <w:t xml:space="preserve"> R. Iljuchin, </w:t>
      </w:r>
      <w:r w:rsidRPr="00D07ADC">
        <w:rPr>
          <w:i/>
          <w:lang w:val="en-US"/>
        </w:rPr>
        <w:t>Liga Nacij</w:t>
      </w:r>
      <w:r w:rsidRPr="002E56EE">
        <w:rPr>
          <w:lang w:val="en-US"/>
        </w:rPr>
        <w:t>,</w:t>
      </w:r>
      <w:r w:rsidRPr="00D07ADC">
        <w:rPr>
          <w:lang w:val="en-US"/>
        </w:rPr>
        <w:t xml:space="preserve">passim. </w:t>
      </w:r>
    </w:p>
  </w:footnote>
  <w:footnote w:id="67">
    <w:p w:rsidR="00942133" w:rsidRPr="000F486B"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0F486B">
        <w:rPr>
          <w:lang w:val="en-US"/>
        </w:rPr>
        <w:t xml:space="preserve"> ASDN, 11/5948/4192, R. 572 (Notatka Sekretarza Generalnego Ligi Narodów, Londyn 22 lipca 1920 r.); zbliżoną w treści odpowiedź otrzymał George Barnes, członek delegacji brytyjskiej i Labour Party, który kwestię tę podniósł podczas I Zgromadzenia.</w:t>
      </w:r>
    </w:p>
  </w:footnote>
  <w:footnote w:id="68">
    <w:p w:rsidR="00942133" w:rsidRPr="00D07ADC"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D07ADC">
        <w:t xml:space="preserve"> ASDN, Fond Mantoux, p. 31, k. 22 (Notatka P. Montoux bez daty, lecz około lipca 1920 r.); Robert Cecil w autobiografii jedynie wzmiankuje o konflikcie, zob. </w:t>
      </w:r>
      <w:r w:rsidRPr="00D07ADC">
        <w:rPr>
          <w:i/>
          <w:lang w:val="en-US"/>
        </w:rPr>
        <w:t>A Great Experiment. An Autobiography by Viscount Cecil</w:t>
      </w:r>
      <w:r w:rsidRPr="00D07ADC">
        <w:rPr>
          <w:lang w:val="en-US"/>
        </w:rPr>
        <w:t>, London 1941, s. 127.</w:t>
      </w:r>
    </w:p>
  </w:footnote>
  <w:footnote w:id="69">
    <w:p w:rsidR="00942133" w:rsidRPr="000F486B"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0F486B">
        <w:t xml:space="preserve"> ASDN, 11/5948/4192, R. 572 (Notatka P. Mantoux do Drummonda, 24.08.1920 r.)</w:t>
      </w:r>
    </w:p>
  </w:footnote>
  <w:footnote w:id="70">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Zob. m.in. Z. Lietz, </w:t>
      </w:r>
      <w:r w:rsidRPr="00D07ADC">
        <w:rPr>
          <w:i/>
        </w:rPr>
        <w:t xml:space="preserve">Plebiscyty europejskie po I wojnie światowej </w:t>
      </w:r>
      <w:r w:rsidRPr="00D07ADC">
        <w:t>(</w:t>
      </w:r>
      <w:r w:rsidRPr="00D07ADC">
        <w:rPr>
          <w:i/>
        </w:rPr>
        <w:t>studium porównawcze</w:t>
      </w:r>
      <w:r w:rsidRPr="00D07ADC">
        <w:t>), Rocznik Olsztyński 10 (1970),s. 257 i n.</w:t>
      </w:r>
    </w:p>
  </w:footnote>
  <w:footnote w:id="71">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Nacisk brytyjski spowodował zgodę Polski na podział Śląska Cieszyńskiego, Orawy i Spiszu bez plebiscytu oraz na linię Curzona jako podstawę mediacji w wojnie polsko-rosyjskiej; zob. szerzej M.K. Kamiński, </w:t>
      </w:r>
      <w:r w:rsidRPr="00D07ADC">
        <w:rPr>
          <w:i/>
        </w:rPr>
        <w:t>Konflikt polsko-czeski 1918</w:t>
      </w:r>
      <w:r>
        <w:rPr>
          <w:i/>
        </w:rPr>
        <w:t>-</w:t>
      </w:r>
      <w:r w:rsidRPr="00D07ADC">
        <w:rPr>
          <w:i/>
        </w:rPr>
        <w:t>1921</w:t>
      </w:r>
      <w:r w:rsidRPr="00D07ADC">
        <w:t xml:space="preserve">, Warszawa 2003; A. Czubiński, </w:t>
      </w:r>
      <w:r w:rsidRPr="00D07ADC">
        <w:rPr>
          <w:i/>
        </w:rPr>
        <w:t>Walka o granice wschodnie Polski w latach 1918</w:t>
      </w:r>
      <w:r>
        <w:rPr>
          <w:i/>
        </w:rPr>
        <w:t>-</w:t>
      </w:r>
      <w:r w:rsidRPr="00D07ADC">
        <w:rPr>
          <w:i/>
        </w:rPr>
        <w:t>1921</w:t>
      </w:r>
      <w:r w:rsidRPr="00D07ADC">
        <w:t xml:space="preserve">, Opole 1993; tegoż, </w:t>
      </w:r>
      <w:r w:rsidRPr="00D07ADC">
        <w:rPr>
          <w:i/>
        </w:rPr>
        <w:t>Problem granic odrodzonego państwa polskiego w działaniach Józefa Piłsudskiego</w:t>
      </w:r>
      <w:r w:rsidRPr="00D07ADC">
        <w:t xml:space="preserve">, [w:] tegoż, </w:t>
      </w:r>
      <w:r w:rsidRPr="00D07ADC">
        <w:rPr>
          <w:i/>
        </w:rPr>
        <w:t>Studia ostatnie</w:t>
      </w:r>
      <w:r w:rsidRPr="00D07ADC">
        <w:t>, Poznań 2009, s. 127 i n.</w:t>
      </w:r>
    </w:p>
  </w:footnote>
  <w:footnote w:id="72">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Por. m.in. S. Mikulicz, </w:t>
      </w:r>
      <w:r w:rsidRPr="00D07ADC">
        <w:rPr>
          <w:i/>
        </w:rPr>
        <w:t>Od Genui do Rapallo</w:t>
      </w:r>
      <w:r w:rsidRPr="00D07ADC">
        <w:t xml:space="preserve">, Warszawa 1966; A. Skrzypek, </w:t>
      </w:r>
      <w:r w:rsidRPr="00D07ADC">
        <w:rPr>
          <w:i/>
        </w:rPr>
        <w:t>Nie spełniony sojusz? Stosunki sowiecko-niemieckie 1917</w:t>
      </w:r>
      <w:r>
        <w:rPr>
          <w:i/>
        </w:rPr>
        <w:t>-</w:t>
      </w:r>
      <w:r w:rsidRPr="00D07ADC">
        <w:rPr>
          <w:i/>
        </w:rPr>
        <w:t>1941</w:t>
      </w:r>
      <w:r w:rsidRPr="00D07ADC">
        <w:t xml:space="preserve">, Warszawa 1992; S. Haffner, </w:t>
      </w:r>
      <w:r w:rsidRPr="00D07ADC">
        <w:rPr>
          <w:i/>
        </w:rPr>
        <w:t>Diabelski pakt</w:t>
      </w:r>
      <w:r w:rsidRPr="00D07ADC">
        <w:t xml:space="preserve">, Lublin 1994; J. Holzer, </w:t>
      </w:r>
      <w:r w:rsidRPr="00D07ADC">
        <w:rPr>
          <w:i/>
        </w:rPr>
        <w:t>Kompleks Rapallo</w:t>
      </w:r>
      <w:r w:rsidRPr="00D07ADC">
        <w:t xml:space="preserve">, Warszawa 1999; </w:t>
      </w:r>
      <w:r w:rsidRPr="00D07ADC">
        <w:rPr>
          <w:i/>
        </w:rPr>
        <w:t>Genoa, Rapallo and European reconstruction in 1922</w:t>
      </w:r>
      <w:r w:rsidRPr="00D07ADC">
        <w:t>, red. C</w:t>
      </w:r>
      <w:r>
        <w:t>.</w:t>
      </w:r>
      <w:r w:rsidRPr="00D07ADC">
        <w:t xml:space="preserve"> Fink i in., Cambridge University Press 1991. </w:t>
      </w:r>
    </w:p>
  </w:footnote>
  <w:footnote w:id="73">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A. Skrzypek, </w:t>
      </w:r>
      <w:r w:rsidRPr="00D07ADC">
        <w:rPr>
          <w:i/>
        </w:rPr>
        <w:t>Niemcy w polityce ZSRR</w:t>
      </w:r>
      <w:r w:rsidRPr="00D07ADC">
        <w:t xml:space="preserve">, [w:] </w:t>
      </w:r>
      <w:r w:rsidRPr="00D07ADC">
        <w:rPr>
          <w:i/>
        </w:rPr>
        <w:t>Niemcy w polityce międzynarodowej</w:t>
      </w:r>
      <w:r w:rsidRPr="00D07ADC">
        <w:t>, t. I:</w:t>
      </w:r>
      <w:r w:rsidRPr="00D07ADC">
        <w:rPr>
          <w:i/>
        </w:rPr>
        <w:t xml:space="preserve"> Era Stresemanna</w:t>
      </w:r>
      <w:r w:rsidRPr="00D07ADC">
        <w:t>, red. S. Sierpowski, Poznań 1990, s. 262.</w:t>
      </w:r>
    </w:p>
  </w:footnote>
  <w:footnote w:id="74">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J. Kiwerska, </w:t>
      </w:r>
      <w:r w:rsidRPr="00D07ADC">
        <w:rPr>
          <w:i/>
        </w:rPr>
        <w:t>Między izolacjonizmem a zaangażowaniem</w:t>
      </w:r>
      <w:r w:rsidRPr="00D07ADC">
        <w:t>, s. 159 i n.</w:t>
      </w:r>
    </w:p>
  </w:footnote>
  <w:footnote w:id="75">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K. Fiedor, </w:t>
      </w:r>
      <w:r w:rsidRPr="00D07ADC">
        <w:rPr>
          <w:i/>
        </w:rPr>
        <w:t>„Dyktat wersalski” w propagandzie Republiki Weimarskiej</w:t>
      </w:r>
      <w:r w:rsidRPr="00D07ADC">
        <w:t xml:space="preserve">, [w:] </w:t>
      </w:r>
      <w:r w:rsidRPr="00D07ADC">
        <w:rPr>
          <w:i/>
        </w:rPr>
        <w:t>Niemcy w polityce międzynarodowej1919</w:t>
      </w:r>
      <w:r>
        <w:rPr>
          <w:i/>
        </w:rPr>
        <w:t>-</w:t>
      </w:r>
      <w:r w:rsidRPr="00D07ADC">
        <w:rPr>
          <w:i/>
        </w:rPr>
        <w:t>1939</w:t>
      </w:r>
      <w:r w:rsidRPr="00D07ADC">
        <w:t xml:space="preserve">, t. I: </w:t>
      </w:r>
      <w:r w:rsidRPr="00D07ADC">
        <w:rPr>
          <w:i/>
        </w:rPr>
        <w:t>Era Stresemanna</w:t>
      </w:r>
      <w:r w:rsidRPr="00D07ADC">
        <w:t>, red. S. Sierpowski, Poznań 1990, s. 113.</w:t>
      </w:r>
    </w:p>
  </w:footnote>
  <w:footnote w:id="76">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Dotacje rządowe dla DLfV po okresie hiperinflacji ustabilizowały się na poziomie 50.000 marek rocznie, zob. więcej S. Sierpowski, </w:t>
      </w:r>
      <w:r w:rsidRPr="00D07ADC">
        <w:rPr>
          <w:i/>
        </w:rPr>
        <w:t>Liga Narodów 1919</w:t>
      </w:r>
      <w:r>
        <w:rPr>
          <w:i/>
        </w:rPr>
        <w:t>-</w:t>
      </w:r>
      <w:r w:rsidRPr="00D07ADC">
        <w:rPr>
          <w:i/>
        </w:rPr>
        <w:t>1926</w:t>
      </w:r>
      <w:r w:rsidRPr="00D07ADC">
        <w:t>, s. 275 i n.</w:t>
      </w:r>
      <w:r>
        <w:t>;</w:t>
      </w:r>
      <w:r w:rsidRPr="00D07ADC">
        <w:t xml:space="preserve"> J. Wintzer, </w:t>
      </w:r>
      <w:r w:rsidRPr="00D07ADC">
        <w:rPr>
          <w:i/>
          <w:iCs/>
        </w:rPr>
        <w:t>Deutschland und der Völkerbund</w:t>
      </w:r>
      <w:r w:rsidRPr="00D07ADC">
        <w:rPr>
          <w:iCs/>
        </w:rPr>
        <w:t>, s. 19 i n.;</w:t>
      </w:r>
    </w:p>
  </w:footnote>
  <w:footnote w:id="77">
    <w:p w:rsidR="00942133" w:rsidRPr="00D07ADC" w:rsidRDefault="00942133" w:rsidP="001E5F63">
      <w:pPr>
        <w:pStyle w:val="Tekstprzypisudolnego"/>
        <w:spacing w:line="23" w:lineRule="atLeast"/>
        <w:ind w:firstLine="0"/>
        <w:contextualSpacing/>
        <w:rPr>
          <w:lang w:val="fr-FR"/>
        </w:rPr>
      </w:pPr>
      <w:r w:rsidRPr="00D07ADC">
        <w:rPr>
          <w:rStyle w:val="Odwoanieprzypisudolnego"/>
          <w:rFonts w:ascii="Times New Roman" w:hAnsi="Times New Roman"/>
          <w:sz w:val="20"/>
        </w:rPr>
        <w:footnoteRef/>
      </w:r>
      <w:r w:rsidRPr="00D07ADC">
        <w:rPr>
          <w:color w:val="000000"/>
          <w:lang w:val="fr-FR"/>
        </w:rPr>
        <w:t xml:space="preserve">ASDN, 41/45669/30181, R. 1686 (Note sur l’Association Allemande pour la </w:t>
      </w:r>
      <w:r w:rsidRPr="00D07ADC">
        <w:rPr>
          <w:color w:val="000000"/>
          <w:spacing w:val="3"/>
          <w:lang w:val="fr-FR"/>
        </w:rPr>
        <w:t>Société des Nations, 14 Août 1925).</w:t>
      </w:r>
    </w:p>
  </w:footnote>
  <w:footnote w:id="78">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K. Fiedor, </w:t>
      </w:r>
      <w:r w:rsidRPr="00D07ADC">
        <w:rPr>
          <w:i/>
        </w:rPr>
        <w:t>Niemiecki ruch obrońców pokoju</w:t>
      </w:r>
      <w:r w:rsidRPr="00D07ADC">
        <w:t>, s. 194 i n.</w:t>
      </w:r>
    </w:p>
  </w:footnote>
  <w:footnote w:id="79">
    <w:p w:rsidR="00942133" w:rsidRPr="00D07ADC" w:rsidRDefault="00942133" w:rsidP="001E5F63">
      <w:pPr>
        <w:pStyle w:val="Tekstprzypisudolnego"/>
        <w:spacing w:line="23" w:lineRule="atLeast"/>
        <w:ind w:firstLine="0"/>
        <w:contextualSpacing/>
        <w:rPr>
          <w:lang w:val="de-DE"/>
        </w:rPr>
      </w:pPr>
      <w:r w:rsidRPr="00D07ADC">
        <w:rPr>
          <w:rStyle w:val="Odwoanieprzypisudolnego"/>
          <w:rFonts w:ascii="Times New Roman" w:hAnsi="Times New Roman"/>
          <w:sz w:val="20"/>
        </w:rPr>
        <w:footnoteRef/>
      </w:r>
      <w:r w:rsidRPr="00D07ADC">
        <w:rPr>
          <w:lang w:val="de-DE"/>
        </w:rPr>
        <w:t xml:space="preserve">K. Holl, </w:t>
      </w:r>
      <w:r w:rsidRPr="00D07ADC">
        <w:rPr>
          <w:i/>
          <w:lang w:val="de-DE"/>
        </w:rPr>
        <w:t>Pazifismus in Deutschland</w:t>
      </w:r>
      <w:r w:rsidRPr="00D07ADC">
        <w:rPr>
          <w:lang w:val="de-DE"/>
        </w:rPr>
        <w:t>, Frankfurt a. M. 1988, s. 149</w:t>
      </w:r>
    </w:p>
  </w:footnote>
  <w:footnote w:id="80">
    <w:p w:rsidR="00942133" w:rsidRPr="00D07ADC" w:rsidRDefault="00942133" w:rsidP="001E5F63">
      <w:pPr>
        <w:pStyle w:val="Tekstprzypisudolnego"/>
        <w:spacing w:line="23" w:lineRule="atLeast"/>
        <w:ind w:firstLine="0"/>
        <w:contextualSpacing/>
        <w:rPr>
          <w:lang w:val="de-DE"/>
        </w:rPr>
      </w:pPr>
      <w:r w:rsidRPr="00D07ADC">
        <w:rPr>
          <w:rStyle w:val="Odwoanieprzypisudolnego"/>
          <w:rFonts w:ascii="Times New Roman" w:hAnsi="Times New Roman"/>
          <w:sz w:val="20"/>
        </w:rPr>
        <w:footnoteRef/>
      </w:r>
      <w:r w:rsidRPr="00D07ADC">
        <w:rPr>
          <w:lang w:val="de-DE"/>
        </w:rPr>
        <w:t xml:space="preserve"> J. Wintzer, </w:t>
      </w:r>
      <w:r w:rsidRPr="00D07ADC">
        <w:rPr>
          <w:i/>
          <w:iCs/>
          <w:lang w:val="de-DE"/>
        </w:rPr>
        <w:t>Deutschland und der Völkerbund</w:t>
      </w:r>
      <w:r w:rsidRPr="00D07ADC">
        <w:rPr>
          <w:iCs/>
          <w:lang w:val="de-DE"/>
        </w:rPr>
        <w:t xml:space="preserve">, </w:t>
      </w:r>
      <w:r w:rsidRPr="00D07ADC">
        <w:rPr>
          <w:lang w:val="de-DE"/>
        </w:rPr>
        <w:t>s. 50</w:t>
      </w:r>
    </w:p>
  </w:footnote>
  <w:footnote w:id="81">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W czerwcu 2008 r. w Budapeszcie powstał Park Trianon, w którym codziennie o 16.32, biciem żałobnego dzwonu przypomina się podpisanie układu pokojowego w 1920 r. </w:t>
      </w:r>
    </w:p>
  </w:footnote>
  <w:footnote w:id="82">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W. Balcerak, </w:t>
      </w:r>
      <w:r w:rsidRPr="00D07ADC">
        <w:rPr>
          <w:i/>
        </w:rPr>
        <w:t>Powstanie państw narodowych w Europie Środkowo-Wschodniej</w:t>
      </w:r>
      <w:r w:rsidRPr="00D07ADC">
        <w:t xml:space="preserve">, Warszawa 1974, s. 33; G. Juhasz, </w:t>
      </w:r>
      <w:r w:rsidRPr="00D07ADC">
        <w:rPr>
          <w:i/>
        </w:rPr>
        <w:t>Hungarian Foreign Policy</w:t>
      </w:r>
      <w:r w:rsidRPr="00D07ADC">
        <w:t xml:space="preserve">, Budapest 1979, s. 62 i n.; A. Essen, </w:t>
      </w:r>
      <w:r w:rsidRPr="00D07ADC">
        <w:rPr>
          <w:i/>
        </w:rPr>
        <w:t>Polityka Czechosłowacji w Europie Środkowej w latach 1918-1932</w:t>
      </w:r>
      <w:r w:rsidRPr="00D07ADC">
        <w:t>, Kraków 2006, s. 61 i n.</w:t>
      </w:r>
    </w:p>
  </w:footnote>
  <w:footnote w:id="83">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S. Nowinowski, </w:t>
      </w:r>
      <w:r w:rsidRPr="00D07ADC">
        <w:rPr>
          <w:i/>
        </w:rPr>
        <w:t xml:space="preserve">Konstatacje i nadzieje. Dyplomacja czechosłowacka wobec kwestii bezpieczeństwa zbiorowego w Europie </w:t>
      </w:r>
      <w:r w:rsidRPr="00D07ADC">
        <w:t>(</w:t>
      </w:r>
      <w:r w:rsidRPr="00D07ADC">
        <w:rPr>
          <w:i/>
        </w:rPr>
        <w:t>1919</w:t>
      </w:r>
      <w:r>
        <w:rPr>
          <w:i/>
        </w:rPr>
        <w:t>-</w:t>
      </w:r>
      <w:r w:rsidRPr="00D07ADC">
        <w:rPr>
          <w:i/>
        </w:rPr>
        <w:t>1925</w:t>
      </w:r>
      <w:r w:rsidRPr="00D07ADC">
        <w:t>), Toruń 2005, s. 108 i n.</w:t>
      </w:r>
    </w:p>
  </w:footnote>
  <w:footnote w:id="84">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AAN,AB, sygn. 1352, k. 7-9 (Wyciąg ze sprawozdania z prac VI-tej Komisji (Politycznej) III Ogólnego Zgromadzenia Ligi Narodów. Aneks bez daty, lecz z września 1922).</w:t>
      </w:r>
    </w:p>
  </w:footnote>
  <w:footnote w:id="85">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Do podkomisji badającej wniosek wchodzili Jonkheer Loudon (Holandia), lord H.A.L. Fisher (Wielka Brytania), Jose Gil Fortoul (Wenezuela), Gabriel Hanotaux (Francja), markiz Guglielmo Imperiali (Włochy), Giuseppe Motta (Szwajcaria) i Stefan Osuský (Czechosłowacja).</w:t>
      </w:r>
    </w:p>
  </w:footnote>
  <w:footnote w:id="86">
    <w:p w:rsidR="00942133" w:rsidRPr="002F5343"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D07ADC">
        <w:t xml:space="preserve"> W cytowanym wyżej raporcie omawiającym przyjęcie Węgier do Ligi zawarto też kąśliwe opinie o delegacji Czechosłowackiej z Osuskim na czele, któremu przytrafiło się kilka gaf. Jedno z jego wystąpień na Zgromadzeniu było „ostro potępione w powszechnej opinii i w dużym stopniu zaszkodziło Małej Entencie przy późniejszych wyborach do Rady Ligi. Szczególnie zafrasowany był tym wystąpieniem Sekretariat, faworyzujący jak wiadomo, wszelkimi siłami Małą Ententę, a w szczególności Czechy”, AAN, A B, sygn. 1352, k. 8 (Wyciąg ze sprawozdania z prac VI Komisji (Politycznej) III Ogólnego Zgromadzenia Ligi Narodów. </w:t>
      </w:r>
      <w:r w:rsidRPr="002F5343">
        <w:rPr>
          <w:lang w:val="en-US"/>
        </w:rPr>
        <w:t>Aneks bez daty, lecz z września 1922).</w:t>
      </w:r>
    </w:p>
  </w:footnote>
  <w:footnote w:id="87">
    <w:p w:rsidR="00942133" w:rsidRPr="00D07ADC"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D07ADC">
        <w:rPr>
          <w:lang w:val="en-US"/>
        </w:rPr>
        <w:t xml:space="preserve"> L. Zemite, </w:t>
      </w:r>
      <w:r w:rsidRPr="00D07ADC">
        <w:rPr>
          <w:i/>
          <w:lang w:val="en-US"/>
        </w:rPr>
        <w:t>Latvia in the League of Nations</w:t>
      </w:r>
      <w:r w:rsidRPr="00D07ADC">
        <w:rPr>
          <w:lang w:val="en-US"/>
        </w:rPr>
        <w:t>, Riga 2002, s. 46 i n.</w:t>
      </w:r>
    </w:p>
  </w:footnote>
  <w:footnote w:id="88">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AAN, AB, sygn. 1352, k. 10 (Wyciąg ze sprawozdania z prac VI-tej Komisji (Politycznej) III Ogólnego Zgromadzenia Ligi Narodów. Aneks bez daty, lecz z września 1922).</w:t>
      </w:r>
    </w:p>
  </w:footnote>
  <w:footnote w:id="89">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Szef Biura LN we francuskim MSZ hr</w:t>
      </w:r>
      <w:r>
        <w:t>.</w:t>
      </w:r>
      <w:r w:rsidRPr="00D07ADC">
        <w:t xml:space="preserve"> Bertrand Clauzel z „wielkim niepokojem” dopytywał się 23 stycznia 1926 r. ministra Franciszka Sokala</w:t>
      </w:r>
      <w:r>
        <w:t>,</w:t>
      </w:r>
      <w:r w:rsidRPr="00D07ADC">
        <w:t xml:space="preserve"> czy Polska nie planuje przypadkiem wygłoszenia mowy à la Osuský w momencie przyjmowania Niemiec. Minister Sokal z wyraźnym rozdrażnieniem odpowiedział, że „nawet mi do głowy nie przyszło, abyśmy mieli naśladować p. Osuskiego”. Polska jednak byłaby rada usłyszeć uroczystą deklarację wstępujących do Ligi Niemiec na wzór oświadczenia węgierskiego, AAN, AB sygn. 1307, k. 179 (Sokal do p. MSZ, Genewa 28 stycznia1926).</w:t>
      </w:r>
    </w:p>
  </w:footnote>
  <w:footnote w:id="90">
    <w:p w:rsidR="00942133" w:rsidRPr="00D07ADC" w:rsidRDefault="00942133" w:rsidP="001E5F63">
      <w:pPr>
        <w:pStyle w:val="Tekstprzypisudolnego"/>
        <w:spacing w:line="23" w:lineRule="atLeast"/>
        <w:ind w:firstLine="0"/>
        <w:contextualSpacing/>
        <w:rPr>
          <w:lang w:val="de-DE"/>
        </w:rPr>
      </w:pPr>
      <w:r w:rsidRPr="00D07ADC">
        <w:rPr>
          <w:rStyle w:val="Odwoanieprzypisudolnego"/>
          <w:rFonts w:ascii="Times New Roman" w:hAnsi="Times New Roman"/>
          <w:sz w:val="20"/>
        </w:rPr>
        <w:footnoteRef/>
      </w:r>
      <w:r w:rsidRPr="00D07ADC">
        <w:t xml:space="preserve"> AAN, AB, sygn. 1352, k.9 (Wyciąg ze sprawozdania z prac VI-tej Komisji (Politycznej) III Ogólnego Zgromadzenia Ligi Narodów, bez daty lecz wrzesień 1922 r.); R. Blessing, </w:t>
      </w:r>
      <w:r w:rsidRPr="00D07ADC">
        <w:rPr>
          <w:i/>
        </w:rPr>
        <w:t xml:space="preserve">Der mögliche Frieden. </w:t>
      </w:r>
      <w:r w:rsidRPr="00D07ADC">
        <w:rPr>
          <w:i/>
          <w:lang w:val="de-DE"/>
        </w:rPr>
        <w:t>Die Modernisierung der Außenpolitik und die deutsch-französischen Beziehungen 1923-1929</w:t>
      </w:r>
      <w:r w:rsidRPr="00D07ADC">
        <w:rPr>
          <w:lang w:val="de-DE"/>
        </w:rPr>
        <w:t>, München-Oldenbourg 2008, s. 70 i n.</w:t>
      </w:r>
    </w:p>
  </w:footnote>
  <w:footnote w:id="91">
    <w:p w:rsidR="00942133" w:rsidRPr="00D07ADC" w:rsidRDefault="00942133" w:rsidP="001E5F63">
      <w:pPr>
        <w:pStyle w:val="Tekstprzypisudolnego"/>
        <w:spacing w:line="23" w:lineRule="atLeast"/>
        <w:ind w:firstLine="0"/>
        <w:contextualSpacing/>
        <w:rPr>
          <w:lang w:val="fr-FR"/>
        </w:rPr>
      </w:pPr>
      <w:r w:rsidRPr="00D07ADC">
        <w:rPr>
          <w:rStyle w:val="Odwoanieprzypisudolnego"/>
          <w:rFonts w:ascii="Times New Roman" w:hAnsi="Times New Roman"/>
          <w:sz w:val="20"/>
        </w:rPr>
        <w:footnoteRef/>
      </w:r>
      <w:r w:rsidRPr="00D07ADC">
        <w:rPr>
          <w:lang w:val="fr-FR"/>
        </w:rPr>
        <w:t>J.O., Quatrième Assemblée. Séancesplénière, 1923, s. 25.</w:t>
      </w:r>
    </w:p>
  </w:footnote>
  <w:footnote w:id="92">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Tamże, 1924, s. 148, 189; V Zgromadzenie obradowało od 1 września do 2 października 1924 r.; reprezentacja Dominikany w Genewie została powierzona poselstwu w Paryżu.</w:t>
      </w:r>
    </w:p>
  </w:footnote>
  <w:footnote w:id="93">
    <w:p w:rsidR="00942133" w:rsidRPr="00D07ADC"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D07ADC">
        <w:rPr>
          <w:lang w:val="en-US"/>
        </w:rPr>
        <w:t xml:space="preserve"> F. Walters, </w:t>
      </w:r>
      <w:r w:rsidRPr="00D07ADC">
        <w:rPr>
          <w:i/>
          <w:lang w:val="en-US"/>
        </w:rPr>
        <w:t>A History of the League of Nations</w:t>
      </w:r>
      <w:r w:rsidRPr="00D07ADC">
        <w:rPr>
          <w:lang w:val="en-US"/>
        </w:rPr>
        <w:t>, Oxford 1965, s. 258.</w:t>
      </w:r>
    </w:p>
  </w:footnote>
  <w:footnote w:id="94">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Zob. S. Sierpowski, </w:t>
      </w:r>
      <w:r w:rsidRPr="00D07ADC">
        <w:rPr>
          <w:i/>
        </w:rPr>
        <w:t>Pakt londyński i jego realizacja na konferencji pokojowej w Paryżu w 1919 r.</w:t>
      </w:r>
      <w:r w:rsidRPr="00D07ADC">
        <w:t xml:space="preserve">, Zeszyty Naukowe UAM. Historia 1968, z. 8, s. 237 i n., reedycja </w:t>
      </w:r>
      <w:r w:rsidRPr="00D07ADC">
        <w:rPr>
          <w:i/>
        </w:rPr>
        <w:t>Studia z historii Włoch XX wieku</w:t>
      </w:r>
      <w:r w:rsidRPr="00D07ADC">
        <w:t>, s. 95 i n.</w:t>
      </w:r>
    </w:p>
  </w:footnote>
  <w:footnote w:id="95">
    <w:p w:rsidR="00942133" w:rsidRPr="00D07ADC" w:rsidRDefault="00942133" w:rsidP="001E5F63">
      <w:pPr>
        <w:pStyle w:val="Tekstprzypisudolnego"/>
        <w:spacing w:line="23" w:lineRule="atLeast"/>
        <w:ind w:firstLine="0"/>
        <w:contextualSpacing/>
        <w:rPr>
          <w:lang w:val="it-IT"/>
        </w:rPr>
      </w:pPr>
      <w:r w:rsidRPr="00D07ADC">
        <w:rPr>
          <w:rStyle w:val="Odwoanieprzypisudolnego"/>
          <w:rFonts w:ascii="Times New Roman" w:hAnsi="Times New Roman"/>
          <w:sz w:val="20"/>
        </w:rPr>
        <w:footnoteRef/>
      </w:r>
      <w:r w:rsidRPr="00D07ADC">
        <w:t xml:space="preserve"> Telegram podpisał Prince Héritier du Trône d’Ethiopie Ras Tafari (zob. </w:t>
      </w:r>
      <w:r w:rsidRPr="00D07ADC">
        <w:rPr>
          <w:lang w:val="fr-FR"/>
        </w:rPr>
        <w:t xml:space="preserve">J.O., A.P. 1923, s. 375, także </w:t>
      </w:r>
      <w:r w:rsidRPr="00D07ADC">
        <w:rPr>
          <w:i/>
          <w:lang w:val="fr-FR"/>
        </w:rPr>
        <w:t xml:space="preserve">Annuaire de la Société des Nations. </w:t>
      </w:r>
      <w:r w:rsidRPr="00D07ADC">
        <w:rPr>
          <w:i/>
        </w:rPr>
        <w:t>Première année</w:t>
      </w:r>
      <w:r w:rsidRPr="00D07ADC">
        <w:t xml:space="preserve">, s. 212). Przywołując ten zapis, a nie funkcjonujący w literaturze Ras Teferi (konsekwentny jest m.in. A. Bartnicki, </w:t>
      </w:r>
      <w:r w:rsidRPr="00D07ADC">
        <w:rPr>
          <w:i/>
        </w:rPr>
        <w:t>Pierwszy front</w:t>
      </w:r>
      <w:r w:rsidRPr="00D07ADC">
        <w:t xml:space="preserve">, passim), trzeba odnotować powstanie ruchu społeczno-religijnego o nazwie Rastafari, którego nazwa wywodzi się od chrzestnego imienia późniejszego Hajle Selasjego Ras (książę) Tafari. Twórca tego panafrykańskiego ruchu Marcus Garvey (Jamajczyk zamieszkały w USA) uznał władcę etiopskiego – jedynego na świecie czarnego władcę w nieprzerwanym łańcuchu królów Etiopii, jako nowego mesjasza panafrykanizmu, zob. </w:t>
      </w:r>
      <w:r w:rsidRPr="00D07ADC">
        <w:rPr>
          <w:lang w:val="it-IT"/>
        </w:rPr>
        <w:t xml:space="preserve">N. Tracy, </w:t>
      </w:r>
      <w:r w:rsidRPr="00D07ADC">
        <w:rPr>
          <w:i/>
          <w:lang w:val="it-IT"/>
        </w:rPr>
        <w:t>Rastafari: A way of live</w:t>
      </w:r>
      <w:r w:rsidRPr="00D07ADC">
        <w:rPr>
          <w:lang w:val="it-IT"/>
        </w:rPr>
        <w:t>, Chicago 1996.</w:t>
      </w:r>
    </w:p>
  </w:footnote>
  <w:footnote w:id="96">
    <w:p w:rsidR="00942133" w:rsidRPr="00D07ADC"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D07ADC">
        <w:rPr>
          <w:i/>
          <w:lang w:val="it-IT"/>
        </w:rPr>
        <w:t>Documenti Diplomatici Italiani</w:t>
      </w:r>
      <w:r w:rsidRPr="00D07ADC">
        <w:rPr>
          <w:lang w:val="it-IT"/>
        </w:rPr>
        <w:t xml:space="preserve">, [dalej: DDI], serie VII, vol. </w:t>
      </w:r>
      <w:r w:rsidRPr="00D07ADC">
        <w:rPr>
          <w:lang w:val="en-US"/>
        </w:rPr>
        <w:t>II, s. 109.</w:t>
      </w:r>
    </w:p>
  </w:footnote>
  <w:footnote w:id="97">
    <w:p w:rsidR="00942133" w:rsidRPr="00D07ADC" w:rsidRDefault="00942133" w:rsidP="001E5F63">
      <w:pPr>
        <w:spacing w:line="23" w:lineRule="atLeast"/>
        <w:ind w:firstLine="0"/>
        <w:contextualSpacing/>
        <w:rPr>
          <w:sz w:val="20"/>
          <w:szCs w:val="20"/>
          <w:lang w:val="en-US"/>
        </w:rPr>
      </w:pPr>
      <w:r w:rsidRPr="00D07ADC">
        <w:rPr>
          <w:sz w:val="20"/>
          <w:szCs w:val="20"/>
          <w:vertAlign w:val="superscript"/>
        </w:rPr>
        <w:footnoteRef/>
      </w:r>
      <w:r w:rsidRPr="00D07ADC">
        <w:rPr>
          <w:sz w:val="20"/>
          <w:szCs w:val="20"/>
          <w:lang w:val="en-US"/>
        </w:rPr>
        <w:t xml:space="preserve">A. Ribi, </w:t>
      </w:r>
      <w:r w:rsidRPr="00D07ADC">
        <w:rPr>
          <w:i/>
          <w:sz w:val="20"/>
          <w:szCs w:val="20"/>
          <w:lang w:val="en-US"/>
        </w:rPr>
        <w:t>‘The Breath of a New Life’? British Anti-Slavery Activism and the League of Nations</w:t>
      </w:r>
      <w:r w:rsidRPr="00D07ADC">
        <w:rPr>
          <w:sz w:val="20"/>
          <w:szCs w:val="20"/>
          <w:lang w:val="en-US"/>
        </w:rPr>
        <w:t xml:space="preserve">, [w:] </w:t>
      </w:r>
      <w:r w:rsidRPr="00D07ADC">
        <w:rPr>
          <w:i/>
          <w:sz w:val="20"/>
          <w:szCs w:val="20"/>
          <w:lang w:val="en-US"/>
        </w:rPr>
        <w:t>Internationalism Reconfigured: Transnational Ideas and Movements Between The World Wars</w:t>
      </w:r>
      <w:r w:rsidRPr="00D07ADC">
        <w:rPr>
          <w:sz w:val="20"/>
          <w:szCs w:val="20"/>
          <w:lang w:val="en-US"/>
        </w:rPr>
        <w:t xml:space="preserve">, </w:t>
      </w:r>
      <w:r>
        <w:rPr>
          <w:sz w:val="20"/>
          <w:szCs w:val="20"/>
          <w:lang w:val="en-US"/>
        </w:rPr>
        <w:t>red. D. Laqua, 2011, s. 101 (</w:t>
      </w:r>
      <w:r w:rsidRPr="00D07ADC">
        <w:rPr>
          <w:sz w:val="20"/>
          <w:szCs w:val="20"/>
          <w:lang w:val="en-US"/>
        </w:rPr>
        <w:t>eBook Academic Collection (EBSCOhost), Ipswich, MA. Accessed March 12, 2013</w:t>
      </w:r>
      <w:r>
        <w:rPr>
          <w:sz w:val="20"/>
          <w:szCs w:val="20"/>
          <w:lang w:val="en-US"/>
        </w:rPr>
        <w:t>)</w:t>
      </w:r>
      <w:r w:rsidRPr="00D07ADC">
        <w:rPr>
          <w:sz w:val="20"/>
          <w:szCs w:val="20"/>
          <w:lang w:val="en-US"/>
        </w:rPr>
        <w:t>.</w:t>
      </w:r>
    </w:p>
  </w:footnote>
  <w:footnote w:id="98">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rPr>
          <w:lang w:val="fr-FR"/>
        </w:rPr>
        <w:t xml:space="preserve">J.O., Quatrième Assemblée. Sixième Commission, 1923, s. 18; J.O., Quatrième Assemblée. </w:t>
      </w:r>
      <w:r w:rsidRPr="00D07ADC">
        <w:t>Séances plénière, 1923, s. 125-126.</w:t>
      </w:r>
    </w:p>
  </w:footnote>
  <w:footnote w:id="99">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Konwencja ta wprowadzała system licencji i jawności w handlu bronią oraz nadzór władz nad prywatnym importem i eksportem broni. Konwencja nie weszła w życie z powodu braku ratyfikacji Stanów Zjednoczonych, por. J. Gilas, </w:t>
      </w:r>
      <w:r w:rsidRPr="00D07ADC">
        <w:rPr>
          <w:i/>
        </w:rPr>
        <w:t>Zagadnienie reglamentacji handlu i produkcji broni, amunicji i materiału wojennego w organach Ligi Narodów</w:t>
      </w:r>
      <w:r w:rsidRPr="00D07ADC">
        <w:t>, Acta Universitatis Lodziensis. Folia Historica 17 (1983), s. 81.</w:t>
      </w:r>
    </w:p>
  </w:footnote>
  <w:footnote w:id="100">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W 1921 r. sąd w Covington (Georgia) skazał na dożywocie farmera i jego czarnego pomocnika winnych śmierci 11 „peonów”. Wyrok ten nie zniwelował zyskownego systemu, rozpowszechnionego zwłaszcza na Południu, mimo formalnego zakazu obowiązującego w Stanach Zjednoczonych od 1867 r. </w:t>
      </w:r>
    </w:p>
  </w:footnote>
  <w:footnote w:id="101">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Ślad tego systemu odnajdujemy w slangu komputerowym, w którym „peon” jest osobą „bez uprawnień użytkownika”, a po drugiej stronie jest „superuser”. </w:t>
      </w:r>
    </w:p>
  </w:footnote>
  <w:footnote w:id="102">
    <w:p w:rsidR="00942133" w:rsidRPr="00D07ADC"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D07ADC">
        <w:rPr>
          <w:lang w:val="en-US"/>
        </w:rPr>
        <w:t xml:space="preserve">J.O., Supplement Spècial, No 44, Genève 1926, s. 130 i n. Dziennik Ustaw z 1931, nr 4, poz.21; szerzej J.H. Harris, </w:t>
      </w:r>
      <w:r w:rsidRPr="00D07ADC">
        <w:rPr>
          <w:i/>
          <w:lang w:val="en-US"/>
        </w:rPr>
        <w:t>Slavery or “Secret Trust”?</w:t>
      </w:r>
      <w:r w:rsidRPr="00D07ADC">
        <w:rPr>
          <w:lang w:val="en-US"/>
        </w:rPr>
        <w:t>, London 1926 (reprint 1969), s. 26 i n.</w:t>
      </w:r>
    </w:p>
  </w:footnote>
  <w:footnote w:id="103">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Arabia Saudyjska zniosła niewolnictwo w 1962 r., Mauretania w 1981 r. Pamiętać trzeba</w:t>
      </w:r>
      <w:r>
        <w:t xml:space="preserve">, że problem zmienionej wersji </w:t>
      </w:r>
      <w:r w:rsidRPr="00167772">
        <w:rPr>
          <w:i/>
        </w:rPr>
        <w:t>peonage</w:t>
      </w:r>
      <w:r w:rsidRPr="00D07ADC">
        <w:t xml:space="preserve"> i </w:t>
      </w:r>
      <w:r w:rsidRPr="00167772">
        <w:rPr>
          <w:i/>
        </w:rPr>
        <w:t>pawning</w:t>
      </w:r>
      <w:r w:rsidRPr="00D07ADC">
        <w:t>, a także handlowanie kobietami i dziećmi, jak również pracy przymusowej, chociaż formalno-prawnie uregulowany, jest nadal obecny.</w:t>
      </w:r>
    </w:p>
  </w:footnote>
  <w:footnote w:id="104">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S. Schimitzek, </w:t>
      </w:r>
      <w:r w:rsidRPr="00D07ADC">
        <w:rPr>
          <w:i/>
        </w:rPr>
        <w:t>Drogi i bezdroża minionej epoki</w:t>
      </w:r>
      <w:r w:rsidRPr="00D07ADC">
        <w:t>, Warszawa 1976, s. 85; Delegatem inaugurującym obecność Etiopii w LN był Aba Wolo Ras Nadeon pisany też jako Dedjazmatch Nadéon. Towarzyszył mu ambasador w Paryżu hrabia Lagarde ks. D’Entotto, który stał na czele delegacji etiopskiej na kolejne Zgromadzenia jako minister pełnomocny.</w:t>
      </w:r>
    </w:p>
  </w:footnote>
  <w:footnote w:id="105">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Liberia dopełniła procedury związanej z obecnością w Lidze 30 czerwca 1920 r. Była wśród kilku państw ze stałym przedstawicielstwem w Genewie: pierwszym delegatem był minister pełnomocny José-Maria Barreto, którego wspierał Antoine Sottile, delegat w LN oraz Międzynarodowej Organizacji Pracy.</w:t>
      </w:r>
    </w:p>
  </w:footnote>
  <w:footnote w:id="106">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0F486B">
        <w:t xml:space="preserve"> T. Martin, </w:t>
      </w:r>
      <w:r w:rsidRPr="000F486B">
        <w:rPr>
          <w:i/>
        </w:rPr>
        <w:t>Marcus Garvey. Hero.</w:t>
      </w:r>
      <w:r w:rsidRPr="00D07ADC">
        <w:rPr>
          <w:i/>
        </w:rPr>
        <w:t>A first Biography</w:t>
      </w:r>
      <w:r>
        <w:t>, Dover</w:t>
      </w:r>
      <w:r w:rsidRPr="00D07ADC">
        <w:t xml:space="preserve"> (Mass</w:t>
      </w:r>
      <w:r>
        <w:t>.</w:t>
      </w:r>
      <w:r w:rsidRPr="00D07ADC">
        <w:t>) 1983, s. 67-68; literatura dotycząca Garveya i ruchu UNIA jest bardzo bogata, do czego przyczyniają się prace powstałe w African Studies Center, który działa na University of California, Los Angeles (UCLA).</w:t>
      </w:r>
    </w:p>
  </w:footnote>
  <w:footnote w:id="107">
    <w:p w:rsidR="00942133" w:rsidRPr="00D07ADC"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D07ADC">
        <w:t xml:space="preserve"> Przez pierwsze lata żadnej aktywności widocznej na forum Zgromadzenia nie przejawiła. </w:t>
      </w:r>
      <w:r w:rsidRPr="00D07ADC">
        <w:rPr>
          <w:lang w:val="en-US"/>
        </w:rPr>
        <w:t>Stałym delegatem był Michel Mac White.</w:t>
      </w:r>
    </w:p>
  </w:footnote>
  <w:footnote w:id="108">
    <w:p w:rsidR="00942133" w:rsidRPr="00D07ADC"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D07ADC">
        <w:rPr>
          <w:lang w:val="en-US"/>
        </w:rPr>
        <w:t xml:space="preserve"> A. Bartnicki, </w:t>
      </w:r>
      <w:r w:rsidRPr="00D07ADC">
        <w:rPr>
          <w:i/>
          <w:lang w:val="en-US"/>
        </w:rPr>
        <w:t>Pierwszy front</w:t>
      </w:r>
      <w:r w:rsidRPr="00D07ADC">
        <w:rPr>
          <w:lang w:val="en-US"/>
        </w:rPr>
        <w:t xml:space="preserve">, s. 46-47; J. Allan, </w:t>
      </w:r>
      <w:r w:rsidRPr="00D07ADC">
        <w:rPr>
          <w:i/>
          <w:lang w:val="en-US"/>
        </w:rPr>
        <w:t>Slavery and the League of Nations: Ethiopia as a Civilized Nation</w:t>
      </w:r>
      <w:r w:rsidRPr="00D07ADC">
        <w:rPr>
          <w:lang w:val="en-US"/>
        </w:rPr>
        <w:t>, Journal of the History of International Law 8 (2006), s. 213 i n.</w:t>
      </w:r>
    </w:p>
  </w:footnote>
  <w:footnote w:id="109">
    <w:p w:rsidR="00942133" w:rsidRPr="00D07ADC" w:rsidRDefault="00942133" w:rsidP="001E5F63">
      <w:pPr>
        <w:pStyle w:val="Tekstprzypisudolnego"/>
        <w:spacing w:line="23" w:lineRule="atLeast"/>
        <w:ind w:firstLine="0"/>
        <w:contextualSpacing/>
        <w:rPr>
          <w:lang w:val="fr-FR"/>
        </w:rPr>
      </w:pPr>
      <w:r w:rsidRPr="00D07ADC">
        <w:rPr>
          <w:rStyle w:val="Odwoanieprzypisudolnego"/>
          <w:rFonts w:ascii="Times New Roman" w:hAnsi="Times New Roman"/>
          <w:sz w:val="20"/>
        </w:rPr>
        <w:footnoteRef/>
      </w:r>
      <w:r>
        <w:rPr>
          <w:lang w:val="fr-FR"/>
        </w:rPr>
        <w:t>J.</w:t>
      </w:r>
      <w:r w:rsidRPr="00D07ADC">
        <w:rPr>
          <w:lang w:val="fr-FR"/>
        </w:rPr>
        <w:t>O., Septième Assemblée, s. 1517-1526.</w:t>
      </w:r>
    </w:p>
  </w:footnote>
  <w:footnote w:id="110">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Tekst zob. S. Sierpowski, </w:t>
      </w:r>
      <w:r w:rsidRPr="00D07ADC">
        <w:rPr>
          <w:i/>
        </w:rPr>
        <w:t>Źródła do historii powszechnej okresu międzywojennego</w:t>
      </w:r>
      <w:r w:rsidRPr="00D07ADC">
        <w:t>, Poznań 1990,t. II, s. 87.</w:t>
      </w:r>
    </w:p>
  </w:footnote>
  <w:footnote w:id="111">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O potencjale ekonomicznym świadczyła wielkość produkcji energii elektrycznej, która była w 1928 r. dwukrotnie większa niż we Francji czy Wielkiej Brytanii. Zbliżoną przewagę mia</w:t>
      </w:r>
      <w:r>
        <w:t>ły też Niemcy w produkcji stali</w:t>
      </w:r>
      <w:r w:rsidRPr="00D07ADC">
        <w:t xml:space="preserve"> czy surówki żelaza. Czesław Łuczak (</w:t>
      </w:r>
      <w:r w:rsidRPr="00D07ADC">
        <w:rPr>
          <w:i/>
        </w:rPr>
        <w:t>Dzieje gospodarcze Niemiec 1871</w:t>
      </w:r>
      <w:r>
        <w:rPr>
          <w:i/>
        </w:rPr>
        <w:t>-</w:t>
      </w:r>
      <w:r w:rsidRPr="00D07ADC">
        <w:rPr>
          <w:i/>
        </w:rPr>
        <w:t>1945</w:t>
      </w:r>
      <w:r w:rsidRPr="00D07ADC">
        <w:t xml:space="preserve">, Poznań 1984, s. 106) podkreśla dodatnie saldo bilansu płatniczego (mimo rat reparacyjnych), wynikające z usług floty handlowej, opłat za tranzyt oraz sprzedaży licencji niemieckich przedsiębiorstw za granicą; o gospodarce w kontekście polityki zob. T. Kotłowski, </w:t>
      </w:r>
      <w:r w:rsidRPr="00D07ADC">
        <w:rPr>
          <w:i/>
        </w:rPr>
        <w:t xml:space="preserve">Historia Republiki Weimarskie j </w:t>
      </w:r>
      <w:r w:rsidRPr="00D07ADC">
        <w:t>(</w:t>
      </w:r>
      <w:r w:rsidRPr="00D07ADC">
        <w:rPr>
          <w:i/>
        </w:rPr>
        <w:t>1919-1933</w:t>
      </w:r>
      <w:r w:rsidRPr="00D07ADC">
        <w:t>), Poznań 2004.</w:t>
      </w:r>
    </w:p>
  </w:footnote>
  <w:footnote w:id="112">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Posiedzenie to odbyło się w Rzymie w związku z utyskiwaniem niektórych członków Rady, że istotne decyzje LN są podejmowane albo w Londynie, albo w Paryżu. Na 11 sesji odbytych w 1920 r. Rada spotykała się także w San Sebastian, Brukseli oraz na końcu w Genewie, gdzie jesienią tegoż roku zainstalował się Sekretariat LN. Aż do wejścia Niemiec do Ligi stolica Francji była jeszcze kilkakrotnie miejscem obrad Rady, później niemal wyłącznie Genewa.</w:t>
      </w:r>
    </w:p>
  </w:footnote>
  <w:footnote w:id="113">
    <w:p w:rsidR="00942133" w:rsidRPr="00D07ADC" w:rsidRDefault="00942133" w:rsidP="001E5F63">
      <w:pPr>
        <w:pStyle w:val="Tekstprzypisudolnego"/>
        <w:spacing w:line="23" w:lineRule="atLeast"/>
        <w:ind w:firstLine="0"/>
        <w:contextualSpacing/>
        <w:rPr>
          <w:lang w:val="fr-FR"/>
        </w:rPr>
      </w:pPr>
      <w:r w:rsidRPr="00D07ADC">
        <w:rPr>
          <w:rStyle w:val="Odwoanieprzypisudolnego"/>
          <w:rFonts w:ascii="Times New Roman" w:hAnsi="Times New Roman"/>
          <w:sz w:val="20"/>
        </w:rPr>
        <w:footnoteRef/>
      </w:r>
      <w:r w:rsidRPr="00D07ADC">
        <w:rPr>
          <w:lang w:val="fr-FR"/>
        </w:rPr>
        <w:t>Commission Permanente Consultative pour les Affaires Militaire, Navales et Aériennes, popularny skrót CPC.</w:t>
      </w:r>
    </w:p>
  </w:footnote>
  <w:footnote w:id="114">
    <w:p w:rsidR="00942133" w:rsidRPr="00D07ADC" w:rsidRDefault="00942133" w:rsidP="001E5F63">
      <w:pPr>
        <w:pStyle w:val="Tekstprzypisudolnego"/>
        <w:spacing w:line="23" w:lineRule="atLeast"/>
        <w:ind w:firstLine="0"/>
        <w:contextualSpacing/>
        <w:rPr>
          <w:lang w:val="fr-FR"/>
        </w:rPr>
      </w:pPr>
      <w:r w:rsidRPr="00D07ADC">
        <w:rPr>
          <w:rStyle w:val="Odwoanieprzypisudolnego"/>
          <w:rFonts w:ascii="Times New Roman" w:hAnsi="Times New Roman"/>
          <w:sz w:val="20"/>
        </w:rPr>
        <w:footnoteRef/>
      </w:r>
      <w:r w:rsidRPr="00D07ADC">
        <w:rPr>
          <w:lang w:val="fr-FR"/>
        </w:rPr>
        <w:t>J.O., Résolutions de l’Assemblée, I (1920), s. 504.</w:t>
      </w:r>
    </w:p>
  </w:footnote>
  <w:footnote w:id="115">
    <w:p w:rsidR="00942133" w:rsidRPr="00D07ADC" w:rsidRDefault="00942133" w:rsidP="001E5F63">
      <w:pPr>
        <w:shd w:val="clear" w:color="auto" w:fill="FFFFFF"/>
        <w:spacing w:line="23" w:lineRule="atLeast"/>
        <w:ind w:firstLine="0"/>
        <w:contextualSpacing/>
        <w:rPr>
          <w:sz w:val="20"/>
          <w:szCs w:val="20"/>
        </w:rPr>
      </w:pPr>
      <w:r w:rsidRPr="00D07ADC">
        <w:rPr>
          <w:rStyle w:val="Odwoanieprzypisudolnego"/>
          <w:rFonts w:ascii="Times New Roman" w:hAnsi="Times New Roman"/>
          <w:sz w:val="20"/>
          <w:szCs w:val="20"/>
        </w:rPr>
        <w:footnoteRef/>
      </w:r>
      <w:r w:rsidRPr="00D07ADC">
        <w:rPr>
          <w:sz w:val="20"/>
          <w:szCs w:val="20"/>
        </w:rPr>
        <w:t xml:space="preserve"> Ustąpił ze stanowiska po wejściu do pierwszego rządu Eduarda Heriotta 14 czerwca 1924 r. jako minister wojny. Jego następcą był także francuski generał Camille Walch, który od 1919 r. był członkiem Allied Control Commission in Germany.</w:t>
      </w:r>
    </w:p>
  </w:footnote>
  <w:footnote w:id="116">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Zob. m.in. W. Michowicz, </w:t>
      </w:r>
      <w:r w:rsidRPr="00D07ADC">
        <w:rPr>
          <w:i/>
        </w:rPr>
        <w:t>Rola planów i programów rozbrojeniowych w polityce Niemiec</w:t>
      </w:r>
      <w:r w:rsidRPr="00D07ADC">
        <w:t xml:space="preserve">, [w:] </w:t>
      </w:r>
      <w:r w:rsidRPr="00D07ADC">
        <w:rPr>
          <w:i/>
        </w:rPr>
        <w:t>Niemcy w polityce międzynarodowej 1919</w:t>
      </w:r>
      <w:r>
        <w:rPr>
          <w:i/>
        </w:rPr>
        <w:t>-</w:t>
      </w:r>
      <w:r w:rsidRPr="00D07ADC">
        <w:rPr>
          <w:i/>
        </w:rPr>
        <w:t>1939</w:t>
      </w:r>
      <w:r w:rsidRPr="00D07ADC">
        <w:t>, red. S. Sierpowski, Poznań 1990, t. I, s. 136 i n.</w:t>
      </w:r>
    </w:p>
  </w:footnote>
  <w:footnote w:id="117">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Za bezwarunkowym charakterem rozbrojenia państw pokonanych opowiadał się np. Bohdan Winiarski – profesor Uniwersytetu Poznańskiego, późniejszy sędzia STSM, zob. B. Winiarski, </w:t>
      </w:r>
      <w:r w:rsidRPr="00D07ADC">
        <w:rPr>
          <w:i/>
        </w:rPr>
        <w:t>Bezpieczeństwo, arbitraż, rozbrojenie</w:t>
      </w:r>
      <w:r w:rsidRPr="00D07ADC">
        <w:t>, Poznań 1928, s. 230 i n.</w:t>
      </w:r>
    </w:p>
  </w:footnote>
  <w:footnote w:id="118">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Bardzo ogólnie omawia T. Wasilewski, </w:t>
      </w:r>
      <w:r w:rsidRPr="00D07ADC">
        <w:rPr>
          <w:i/>
        </w:rPr>
        <w:t>Kontrola rozbrojenia w okresie działalności Ligi Narodów</w:t>
      </w:r>
      <w:r w:rsidRPr="00D07ADC">
        <w:t>, Wojskowy Przegląd Prawniczy 1986, s. 15 i n.</w:t>
      </w:r>
    </w:p>
  </w:footnote>
  <w:footnote w:id="119">
    <w:p w:rsidR="00942133" w:rsidRPr="00D07ADC" w:rsidRDefault="00942133" w:rsidP="001E5F63">
      <w:pPr>
        <w:pStyle w:val="Tekstprzypisudolnego"/>
        <w:spacing w:line="23" w:lineRule="atLeast"/>
        <w:ind w:firstLine="0"/>
        <w:contextualSpacing/>
        <w:rPr>
          <w:lang w:val="fr-FR"/>
        </w:rPr>
      </w:pPr>
      <w:r w:rsidRPr="00D07ADC">
        <w:rPr>
          <w:rStyle w:val="Odwoanieprzypisudolnego"/>
          <w:rFonts w:ascii="Times New Roman" w:hAnsi="Times New Roman"/>
          <w:sz w:val="20"/>
        </w:rPr>
        <w:footnoteRef/>
      </w:r>
      <w:r w:rsidRPr="00D07ADC">
        <w:rPr>
          <w:lang w:val="fr-FR"/>
        </w:rPr>
        <w:t>ASDN, Fonds Paul Mantoux p. 31 (Płk Chardigny do Mantoux 17.08.1922).</w:t>
      </w:r>
    </w:p>
  </w:footnote>
  <w:footnote w:id="120">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rPr>
          <w:lang w:val="en-US"/>
        </w:rPr>
        <w:t xml:space="preserve">Zob.zwłaszcza F. Walters, </w:t>
      </w:r>
      <w:r w:rsidRPr="00D07ADC">
        <w:rPr>
          <w:i/>
          <w:lang w:val="en-US"/>
        </w:rPr>
        <w:t>A History</w:t>
      </w:r>
      <w:r w:rsidRPr="00D07ADC">
        <w:rPr>
          <w:lang w:val="en-US"/>
        </w:rPr>
        <w:t xml:space="preserve">, s. 154 i n.; G. Kaeckenbeeck, </w:t>
      </w:r>
      <w:r w:rsidRPr="00D07ADC">
        <w:rPr>
          <w:i/>
          <w:lang w:val="en-US"/>
        </w:rPr>
        <w:t>The International Experiment of Upper Silesia</w:t>
      </w:r>
      <w:r w:rsidRPr="00D07ADC">
        <w:rPr>
          <w:lang w:val="en-US"/>
        </w:rPr>
        <w:t xml:space="preserve">, London 1942, s. 9; z nowszych zob. B. Koszel, </w:t>
      </w:r>
      <w:r w:rsidRPr="00D07ADC">
        <w:rPr>
          <w:i/>
          <w:lang w:val="en-US"/>
        </w:rPr>
        <w:t>Nationality Problems in Upper Silesia 1918</w:t>
      </w:r>
      <w:r>
        <w:rPr>
          <w:i/>
          <w:lang w:val="en-US"/>
        </w:rPr>
        <w:t>-</w:t>
      </w:r>
      <w:r w:rsidRPr="00D07ADC">
        <w:rPr>
          <w:i/>
          <w:lang w:val="en-US"/>
        </w:rPr>
        <w:t>1922</w:t>
      </w:r>
      <w:r w:rsidRPr="00D07ADC">
        <w:rPr>
          <w:lang w:val="en-US"/>
        </w:rPr>
        <w:t xml:space="preserve">, [w:] </w:t>
      </w:r>
      <w:r w:rsidRPr="00D07ADC">
        <w:rPr>
          <w:i/>
          <w:lang w:val="en-US"/>
        </w:rPr>
        <w:t>Ethnic Groups in International Relations</w:t>
      </w:r>
      <w:r w:rsidRPr="00D07ADC">
        <w:rPr>
          <w:lang w:val="en-US"/>
        </w:rPr>
        <w:t xml:space="preserve">, red. P. Smith, K. Koufa, A. Suppan, New York-Aldershot-Dartmouth 1991, s. 211 i n.; Z.K. Cesarz, </w:t>
      </w:r>
      <w:r w:rsidRPr="00D07ADC">
        <w:rPr>
          <w:i/>
          <w:lang w:val="en-US"/>
        </w:rPr>
        <w:t xml:space="preserve">Polska a Liga Narodów. </w:t>
      </w:r>
      <w:r w:rsidRPr="00D07ADC">
        <w:rPr>
          <w:i/>
        </w:rPr>
        <w:t>Kwestie terytorialne w latach 1920</w:t>
      </w:r>
      <w:r>
        <w:rPr>
          <w:i/>
        </w:rPr>
        <w:t>-</w:t>
      </w:r>
      <w:r w:rsidRPr="00D07ADC">
        <w:rPr>
          <w:i/>
        </w:rPr>
        <w:t>1925</w:t>
      </w:r>
      <w:r w:rsidRPr="00167772">
        <w:t xml:space="preserve">, </w:t>
      </w:r>
      <w:r w:rsidRPr="00D07ADC">
        <w:t xml:space="preserve">Wrocław </w:t>
      </w:r>
      <w:r w:rsidRPr="0091624C">
        <w:t xml:space="preserve">1993, </w:t>
      </w:r>
      <w:r w:rsidRPr="00167772">
        <w:rPr>
          <w:highlight w:val="cyan"/>
        </w:rPr>
        <w:t>s. ??.</w:t>
      </w:r>
    </w:p>
  </w:footnote>
  <w:footnote w:id="121">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Szerzej S. Sierpowski, </w:t>
      </w:r>
      <w:r w:rsidRPr="00D07ADC">
        <w:rPr>
          <w:i/>
        </w:rPr>
        <w:t>Narodziny Ligi Narodów</w:t>
      </w:r>
      <w:r w:rsidRPr="00D07ADC">
        <w:t>, s. 175 i n.</w:t>
      </w:r>
    </w:p>
  </w:footnote>
  <w:footnote w:id="122">
    <w:p w:rsidR="00942133" w:rsidRPr="00D07ADC"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D07ADC">
        <w:t xml:space="preserve"> Rywalizacja między Sekretariatem Ligi a Międzynarodowym Biurem Pracy (spełniającym w MOP porównywalną rolę co Sekretariat w Lidze) nie była tajemnicą. MOP zebrała się już drugi raz i to w Genewie (15 czerwca – 10 lipca 1920 r., 87 delegatów), zanim doszło do I Zgromadzenia Ligi. Ponadto 21 października 1923 r. położono kamień węgielny pod siedzibę MOP, ukończoną w ciągu trzech lat, podczas gdy Sekretariat Ligi przez wiele lat wynajmował były hotel na swą siedzibę; konkurs rozpisano w 1926 r. i rozstrzygnięto w 1929 r., by zamknąć całą inwestycję jako „Pałac Narodów” w 1938 r. Zob. m.in. M. Fine, </w:t>
      </w:r>
      <w:r w:rsidRPr="00D07ADC">
        <w:rPr>
          <w:i/>
        </w:rPr>
        <w:t xml:space="preserve">Albert Thomas. </w:t>
      </w:r>
      <w:r w:rsidRPr="00D07ADC">
        <w:rPr>
          <w:i/>
          <w:lang w:val="en-US"/>
        </w:rPr>
        <w:t>A Reformer’s Vision of Modernization</w:t>
      </w:r>
      <w:r w:rsidRPr="00D07ADC">
        <w:rPr>
          <w:lang w:val="en-US"/>
        </w:rPr>
        <w:t xml:space="preserve">, Journal of Contemporary History 12 (1977), s. 545 i n. </w:t>
      </w:r>
    </w:p>
  </w:footnote>
  <w:footnote w:id="123">
    <w:p w:rsidR="00942133" w:rsidRPr="00D07ADC" w:rsidRDefault="00942133" w:rsidP="001E5F63">
      <w:pPr>
        <w:spacing w:line="23" w:lineRule="atLeast"/>
        <w:ind w:firstLine="0"/>
        <w:contextualSpacing/>
        <w:rPr>
          <w:sz w:val="20"/>
          <w:szCs w:val="20"/>
        </w:rPr>
      </w:pPr>
      <w:r w:rsidRPr="00D07ADC">
        <w:rPr>
          <w:rStyle w:val="Odwoanieprzypisudolnego"/>
          <w:rFonts w:ascii="Times New Roman" w:hAnsi="Times New Roman"/>
          <w:sz w:val="20"/>
          <w:szCs w:val="20"/>
        </w:rPr>
        <w:footnoteRef/>
      </w:r>
      <w:r w:rsidRPr="00D07ADC">
        <w:rPr>
          <w:sz w:val="20"/>
          <w:szCs w:val="20"/>
        </w:rPr>
        <w:t xml:space="preserve"> Były to edycje miesięczne, półroczne i roczne, zawierające np. teksty uregulowań prawno-administracyjnych obowiązujących w różnych państwach. W ramach walki o życzliwość niemieckiego świata pracy Międzynarodowe Biuro Pracy wydawało w Berlinie „Internationale Rundschau der Arbeit”, reprodukujące wybrane artykuły z „Revue Internationale du Travail” oraz artykuły specjalnie interesujące czytelnika niemieckiego. Co tydzień Biuro Korespondencyjne w Berlinie publikowało biuletyn („Pressemitteilungen”) zawierający najważniejsze informacje o charakterze społecznym.</w:t>
      </w:r>
    </w:p>
  </w:footnote>
  <w:footnote w:id="124">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Jest uważany za pierwszego wielkiego tłumacza rangi międzynarodowej. Po studiach w Paryżu wykładał w Londynie. Od 1915 r. był tłumaczem konferencji francusko-brytyjskich, a w 1918 r. Najwyższej Rady Wojennej. Obdarzony był fenomenalną pamięcią. Od konferencji pokojowej 1919 r. tłumaczenie ustne stało się nieodłącznym elementem spotkań na najwyższym szczeblu. Do powszechnej, raczej nie nagłaśnianej praktyki weszło sporządzanie przez tłumaczy pisanych raportów stanowiących kapitalne źródło informacyjne jak tego dowodzi chociażby ważna książka P. Mantoux, </w:t>
      </w:r>
      <w:r w:rsidRPr="00D07ADC">
        <w:rPr>
          <w:i/>
        </w:rPr>
        <w:t>Les délibérations du Conseil des Quatre</w:t>
      </w:r>
      <w:r w:rsidRPr="00D07ADC">
        <w:t>, t. 1-2, Paris 1955.</w:t>
      </w:r>
    </w:p>
  </w:footnote>
  <w:footnote w:id="125">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Wśród pierwszych słuchaczy takich szkoleń był Paul Otto Schmidt, zatrudniony w AA od 1 sierpnia 1923 r., sławny przez stałe towarzyszenie Stresemannowi, a później, także „jednojęzykowemu” Hitlerowi; zob. zwłaszcza jego wspomnienia P. Schmidt, </w:t>
      </w:r>
      <w:r w:rsidRPr="00D07ADC">
        <w:rPr>
          <w:i/>
        </w:rPr>
        <w:t>Statysta na dyplomatycznej scenie</w:t>
      </w:r>
      <w:r w:rsidRPr="00D07ADC">
        <w:t>, Kraków 1965, w tym ważne posłowie Henryka Batowskiego, wydane następnie jako separatum.</w:t>
      </w:r>
    </w:p>
  </w:footnote>
  <w:footnote w:id="126">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rPr>
          <w:lang w:val="fr-FR"/>
        </w:rPr>
        <w:t xml:space="preserve">J. Baigorri-Jalon, </w:t>
      </w:r>
      <w:r w:rsidRPr="00D07ADC">
        <w:rPr>
          <w:i/>
          <w:lang w:val="fr-FR"/>
        </w:rPr>
        <w:t>De Paris à Nuremberg: naissance de l’interprétation de conference</w:t>
      </w:r>
      <w:r w:rsidRPr="00D07ADC">
        <w:rPr>
          <w:lang w:val="fr-FR"/>
        </w:rPr>
        <w:t xml:space="preserve">, Le Presses de l’Université d’Ottava 2004, s. </w:t>
      </w:r>
      <w:smartTag w:uri="urn:schemas-microsoft-com:office:smarttags" w:element="metricconverter">
        <w:smartTagPr>
          <w:attr w:name="ProductID" w:val="35. M"/>
        </w:smartTagPr>
        <w:r w:rsidRPr="00D07ADC">
          <w:rPr>
            <w:lang w:val="fr-FR"/>
          </w:rPr>
          <w:t xml:space="preserve">35. </w:t>
        </w:r>
        <w:r w:rsidRPr="00D07ADC">
          <w:t>M</w:t>
        </w:r>
      </w:smartTag>
      <w:r w:rsidRPr="00D07ADC">
        <w:t xml:space="preserve">. Trynk mechanizm tłumaczenia tak opisuje: obecny na sali tłumacz przekładał dane wystąpienie na francuski, a tłumacze obecni w kabinach mówili je po angielsku, niemiecku i hiszpańsku. Używano zwykłych słuchawek telefonicznych. Niechętni innowacjom byli jednak tłumacze, których zniechęcała pełna anonimowość ich pracy. Trudności logistyczne i finansowe spowodowały, że pierwsi „prawdziwi” symultaniści wystąpili podczas procesu norymberskiego – M. Trynk, </w:t>
      </w:r>
      <w:r w:rsidRPr="00D07ADC">
        <w:rPr>
          <w:i/>
        </w:rPr>
        <w:t>Przekład ustny konferencyjny</w:t>
      </w:r>
      <w:r>
        <w:t>, Warszawa 2007, s. 29 i n.</w:t>
      </w:r>
    </w:p>
  </w:footnote>
  <w:footnote w:id="127">
    <w:p w:rsidR="00942133" w:rsidRPr="00D07ADC"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D07ADC">
        <w:t xml:space="preserve"> Nazwa według Brytyjczyków, natomiast Organisation d’Higiène w zapisach francuskich zob. </w:t>
      </w:r>
      <w:r w:rsidRPr="00D07ADC">
        <w:rPr>
          <w:i/>
          <w:lang w:val="en-US"/>
        </w:rPr>
        <w:t xml:space="preserve">International Health </w:t>
      </w:r>
      <w:r w:rsidRPr="00D07ADC">
        <w:rPr>
          <w:i/>
          <w:lang w:val="en-GB"/>
        </w:rPr>
        <w:t>Organisations</w:t>
      </w:r>
      <w:r w:rsidRPr="00D07ADC">
        <w:rPr>
          <w:i/>
          <w:lang w:val="en-US"/>
        </w:rPr>
        <w:t xml:space="preserve"> and </w:t>
      </w:r>
      <w:r w:rsidRPr="00D07ADC">
        <w:rPr>
          <w:i/>
          <w:lang w:val="en-GB"/>
        </w:rPr>
        <w:t>Movements</w:t>
      </w:r>
      <w:r w:rsidRPr="00D07ADC">
        <w:rPr>
          <w:i/>
          <w:lang w:val="en-US"/>
        </w:rPr>
        <w:t xml:space="preserve"> 1918</w:t>
      </w:r>
      <w:r>
        <w:rPr>
          <w:i/>
          <w:lang w:val="en-US"/>
        </w:rPr>
        <w:t>-</w:t>
      </w:r>
      <w:r w:rsidRPr="00D07ADC">
        <w:rPr>
          <w:i/>
          <w:lang w:val="en-US"/>
        </w:rPr>
        <w:t>1939</w:t>
      </w:r>
      <w:r w:rsidRPr="00D07ADC">
        <w:rPr>
          <w:lang w:val="en-US"/>
        </w:rPr>
        <w:t>, red. P. Weindling, Oxford 1995.</w:t>
      </w:r>
    </w:p>
  </w:footnote>
  <w:footnote w:id="128">
    <w:p w:rsidR="00942133" w:rsidRPr="00D07ADC"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D07ADC">
        <w:rPr>
          <w:lang w:val="en-US"/>
        </w:rPr>
        <w:t xml:space="preserve">Zob. M. Housden, </w:t>
      </w:r>
      <w:r w:rsidRPr="00D07ADC">
        <w:rPr>
          <w:i/>
          <w:lang w:val="en-US"/>
        </w:rPr>
        <w:t>When the Baltic Sea was a „Bridge” for Humanitarian Action. The League of Nations, the Red Cross and the Repatriation of Prisoners of War between Russia and Central Europe, 1920</w:t>
      </w:r>
      <w:r>
        <w:rPr>
          <w:i/>
          <w:lang w:val="en-US"/>
        </w:rPr>
        <w:t>-</w:t>
      </w:r>
      <w:r w:rsidRPr="00D07ADC">
        <w:rPr>
          <w:i/>
          <w:lang w:val="en-US"/>
        </w:rPr>
        <w:t>22</w:t>
      </w:r>
      <w:r w:rsidRPr="00D07ADC">
        <w:rPr>
          <w:lang w:val="en-US"/>
        </w:rPr>
        <w:t>, Journal of Baltic Studies 38 (2007), s. 61 i n.</w:t>
      </w:r>
    </w:p>
  </w:footnote>
  <w:footnote w:id="129">
    <w:p w:rsidR="00942133" w:rsidRPr="00D07ADC"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D07ADC">
        <w:t xml:space="preserve"> Chodzi o pandemię grypy, która w latach 1918</w:t>
      </w:r>
      <w:r>
        <w:t>-</w:t>
      </w:r>
      <w:r w:rsidRPr="00D07ADC">
        <w:t>1920 pochłonęła w różnych rejonach świata do 50 mln osób, a pół miliarda zostało nią dotkniętych (trzecia część ówczesnej populacji). Grozę sytuacji uwypuklała najwyższa śmiertelność ludzi w wieku 20</w:t>
      </w:r>
      <w:r>
        <w:t>-</w:t>
      </w:r>
      <w:r w:rsidRPr="00D07ADC">
        <w:t xml:space="preserve">40 lat, zob. </w:t>
      </w:r>
      <w:r w:rsidRPr="00D07ADC">
        <w:rPr>
          <w:lang w:val="en-US"/>
        </w:rPr>
        <w:t xml:space="preserve">P.A. Niall, S. Johnson, J. Mueller, </w:t>
      </w:r>
      <w:r w:rsidRPr="00D07ADC">
        <w:rPr>
          <w:i/>
          <w:lang w:val="en-US"/>
        </w:rPr>
        <w:t>Updating the Accounts: Global Mortality at the 1918</w:t>
      </w:r>
      <w:r>
        <w:rPr>
          <w:i/>
          <w:lang w:val="en-US"/>
        </w:rPr>
        <w:t>-</w:t>
      </w:r>
      <w:r w:rsidRPr="00D07ADC">
        <w:rPr>
          <w:i/>
          <w:lang w:val="en-US"/>
        </w:rPr>
        <w:t>1920. „Spanish” Influenza.Pandemic</w:t>
      </w:r>
      <w:r w:rsidRPr="00D07ADC">
        <w:rPr>
          <w:lang w:val="en-US"/>
        </w:rPr>
        <w:t>, Bulletin of the History of Medicine 76 (2002), nr 1, s. 105 i n.</w:t>
      </w:r>
    </w:p>
  </w:footnote>
  <w:footnote w:id="130">
    <w:p w:rsidR="00942133" w:rsidRPr="00D07ADC" w:rsidRDefault="00942133" w:rsidP="001E5F63">
      <w:pPr>
        <w:pStyle w:val="Tekstprzypisudolnego"/>
        <w:spacing w:line="23" w:lineRule="atLeast"/>
        <w:ind w:firstLine="0"/>
        <w:contextualSpacing/>
        <w:rPr>
          <w:lang w:val="it-IT"/>
        </w:rPr>
      </w:pPr>
      <w:r w:rsidRPr="00D07ADC">
        <w:rPr>
          <w:rStyle w:val="Odwoanieprzypisudolnego"/>
          <w:rFonts w:ascii="Times New Roman" w:hAnsi="Times New Roman"/>
          <w:sz w:val="20"/>
        </w:rPr>
        <w:footnoteRef/>
      </w:r>
      <w:r w:rsidRPr="00D07ADC">
        <w:rPr>
          <w:lang w:val="it-IT"/>
        </w:rPr>
        <w:t>J.O., P.V.C., II, 5</w:t>
      </w:r>
      <w:r w:rsidRPr="00D07ADC">
        <w:rPr>
          <w:vertAlign w:val="superscript"/>
          <w:lang w:val="it-IT"/>
        </w:rPr>
        <w:t>e</w:t>
      </w:r>
      <w:r w:rsidRPr="00D07ADC">
        <w:rPr>
          <w:lang w:val="it-IT"/>
        </w:rPr>
        <w:t xml:space="preserve"> séance, s. 21-22.</w:t>
      </w:r>
    </w:p>
  </w:footnote>
  <w:footnote w:id="131">
    <w:p w:rsidR="00942133" w:rsidRPr="00D07ADC" w:rsidRDefault="00942133" w:rsidP="001E5F63">
      <w:pPr>
        <w:pStyle w:val="Tekstprzypisudolnego"/>
        <w:spacing w:line="23" w:lineRule="atLeast"/>
        <w:ind w:firstLine="0"/>
        <w:contextualSpacing/>
        <w:rPr>
          <w:lang w:val="fr-FR"/>
        </w:rPr>
      </w:pPr>
      <w:r w:rsidRPr="00D07ADC">
        <w:rPr>
          <w:rStyle w:val="Odwoanieprzypisudolnego"/>
          <w:rFonts w:ascii="Times New Roman" w:hAnsi="Times New Roman"/>
          <w:sz w:val="20"/>
        </w:rPr>
        <w:footnoteRef/>
      </w:r>
      <w:r w:rsidRPr="00D07ADC">
        <w:rPr>
          <w:i/>
          <w:lang w:val="fr-FR"/>
        </w:rPr>
        <w:t>Société des Nations. Rensegnements épidémiologiques – Europe Orientale en 1921</w:t>
      </w:r>
      <w:r w:rsidRPr="00D07ADC">
        <w:rPr>
          <w:lang w:val="fr-FR"/>
        </w:rPr>
        <w:t>, Genève 1922, ss. 54.</w:t>
      </w:r>
    </w:p>
  </w:footnote>
  <w:footnote w:id="132">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Zob. </w:t>
      </w:r>
      <w:r w:rsidRPr="00D07ADC">
        <w:rPr>
          <w:i/>
        </w:rPr>
        <w:t>Resumé Mensuel</w:t>
      </w:r>
      <w:r w:rsidRPr="00D07ADC">
        <w:t xml:space="preserve">, vol. II, 1922, s. 99; odnotować wszakże trzeba informację w </w:t>
      </w:r>
      <w:r w:rsidRPr="00167772">
        <w:rPr>
          <w:i/>
        </w:rPr>
        <w:t>Annuaire de la Société des Nations, Première année</w:t>
      </w:r>
      <w:r w:rsidRPr="00D07ADC">
        <w:t xml:space="preserve">, s. 575, który wymienia z nazwy 30 państw uczestniczących; w opracowaniu firmowanym przez Sekcję Informacyjną Sekretariatu – </w:t>
      </w:r>
      <w:r w:rsidRPr="00D07ADC">
        <w:rPr>
          <w:i/>
        </w:rPr>
        <w:t>Health Organisation</w:t>
      </w:r>
      <w:r w:rsidRPr="00D07ADC">
        <w:t xml:space="preserve"> (Geneva 1931, s. 4) – pisze o 27 państwach europejskich uczestniczących w obradach, eksponując specjalnie współdziałanie polsko-rosyjskie, które przyczyniło się do „uratowania Europy środkowej przed zakażeniem”.</w:t>
      </w:r>
    </w:p>
  </w:footnote>
  <w:footnote w:id="133">
    <w:p w:rsidR="00942133" w:rsidRPr="00D07ADC" w:rsidRDefault="00942133" w:rsidP="001E5F63">
      <w:pPr>
        <w:pStyle w:val="Tekstprzypisudolnego"/>
        <w:spacing w:line="23" w:lineRule="atLeast"/>
        <w:ind w:firstLine="0"/>
        <w:contextualSpacing/>
        <w:rPr>
          <w:b/>
          <w:i/>
        </w:rPr>
      </w:pPr>
      <w:r w:rsidRPr="00D07ADC">
        <w:rPr>
          <w:rStyle w:val="Odwoanieprzypisudolnego"/>
          <w:rFonts w:ascii="Times New Roman" w:hAnsi="Times New Roman"/>
          <w:sz w:val="20"/>
        </w:rPr>
        <w:footnoteRef/>
      </w:r>
      <w:r w:rsidRPr="00D07ADC">
        <w:t xml:space="preserve"> Do 1910 r. działał w Instytucie Bakteriologii w Krakowie, następnie do wybuchu wojny pracował w placówkach zajmujących się praktyką i teorią w zakresie epidemiologii w Paryżu i Londynie, od 1914 r. był dyrektorem Instytutu Epidemiologicznego w Warszawie; inicjatorką i orędowniczką włączenia dr</w:t>
      </w:r>
      <w:r>
        <w:t>.</w:t>
      </w:r>
      <w:r w:rsidRPr="00D07ADC">
        <w:t xml:space="preserve"> Rajchmanna do prac LN była Rachela Crowdy – zob. M. Balińska, </w:t>
      </w:r>
      <w:r w:rsidRPr="00D07ADC">
        <w:rPr>
          <w:i/>
        </w:rPr>
        <w:t xml:space="preserve">Une vie pour l’humanitaire. Ludwik Rajchman </w:t>
      </w:r>
      <w:r w:rsidRPr="00D07ADC">
        <w:t>(</w:t>
      </w:r>
      <w:r w:rsidRPr="00D07ADC">
        <w:rPr>
          <w:i/>
        </w:rPr>
        <w:t>1881</w:t>
      </w:r>
      <w:r>
        <w:rPr>
          <w:i/>
        </w:rPr>
        <w:t>-</w:t>
      </w:r>
      <w:r w:rsidRPr="00D07ADC">
        <w:rPr>
          <w:i/>
        </w:rPr>
        <w:t>1965</w:t>
      </w:r>
      <w:r w:rsidRPr="00D07ADC">
        <w:t>)</w:t>
      </w:r>
      <w:r w:rsidRPr="00167772">
        <w:t>,</w:t>
      </w:r>
      <w:r w:rsidRPr="00D07ADC">
        <w:t xml:space="preserve"> La Découverte 1995, jest także wersja angielska wydana w 1998 r. w Budapeszcie oraz tłumaczenie polskie</w:t>
      </w:r>
      <w:r w:rsidRPr="00D07ADC">
        <w:rPr>
          <w:b/>
        </w:rPr>
        <w:t xml:space="preserve">, </w:t>
      </w:r>
      <w:r w:rsidRPr="00D07ADC">
        <w:rPr>
          <w:rStyle w:val="Pogrubienie"/>
          <w:b w:val="0"/>
          <w:i/>
        </w:rPr>
        <w:t>Ludwik Rajchman. Życie w służbie ludzkości</w:t>
      </w:r>
      <w:r w:rsidRPr="00167772">
        <w:rPr>
          <w:rStyle w:val="Pogrubienie"/>
          <w:b w:val="0"/>
        </w:rPr>
        <w:t xml:space="preserve">, </w:t>
      </w:r>
      <w:r w:rsidRPr="00D07ADC">
        <w:rPr>
          <w:rStyle w:val="Pogrubienie"/>
          <w:b w:val="0"/>
        </w:rPr>
        <w:t>Warszawa 2012.</w:t>
      </w:r>
    </w:p>
  </w:footnote>
  <w:footnote w:id="134">
    <w:p w:rsidR="00942133" w:rsidRPr="00D07ADC" w:rsidRDefault="00942133" w:rsidP="001E5F63">
      <w:pPr>
        <w:pStyle w:val="Tekstprzypisudolnego"/>
        <w:spacing w:line="23" w:lineRule="atLeast"/>
        <w:ind w:firstLine="0"/>
        <w:contextualSpacing/>
        <w:rPr>
          <w:rStyle w:val="Odwoaniedelikatne"/>
          <w:color w:val="auto"/>
          <w:u w:val="none"/>
          <w:vertAlign w:val="superscript"/>
        </w:rPr>
      </w:pPr>
      <w:r w:rsidRPr="00D07ADC">
        <w:rPr>
          <w:rStyle w:val="Odwoaniedelikatne"/>
          <w:color w:val="auto"/>
          <w:u w:val="none"/>
          <w:vertAlign w:val="superscript"/>
        </w:rPr>
        <w:footnoteRef/>
      </w:r>
      <w:r w:rsidRPr="00D07ADC">
        <w:rPr>
          <w:i/>
        </w:rPr>
        <w:t>Resumé Mensuel</w:t>
      </w:r>
      <w:r w:rsidRPr="00D07ADC">
        <w:t>, II,1922, s. 99; członkowie Komisji Epidemiologicznej w kwietniu 1922 r. odbyli podróż po Polsce, Łotwie i Rosji. Korzystając z przywilejów nietykalności dyplomatycznej – prowadzili obserwacje dotyczące sytuacji epidemiologicznej.</w:t>
      </w:r>
    </w:p>
  </w:footnote>
  <w:footnote w:id="135">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rPr>
          <w:i/>
          <w:lang w:val="fr-FR"/>
        </w:rPr>
        <w:t xml:space="preserve">Annuaire de la Société des Nations. </w:t>
      </w:r>
      <w:r w:rsidRPr="00D07ADC">
        <w:rPr>
          <w:i/>
        </w:rPr>
        <w:t>Première année</w:t>
      </w:r>
      <w:r w:rsidRPr="00D07ADC">
        <w:t>, s. 571.</w:t>
      </w:r>
    </w:p>
  </w:footnote>
  <w:footnote w:id="136">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Niemieccy epidemiolodzy i lekarze różnych specjalności byli obecni także w różnych ekspedycjach przedsiębranych w rejon Morza Śródziemnego, Morza Czarnego, Afryki, Ameryki Łacińskiej i na Dalekim Wschodzie.</w:t>
      </w:r>
    </w:p>
  </w:footnote>
  <w:footnote w:id="137">
    <w:p w:rsidR="00942133" w:rsidRPr="00D07ADC"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D07ADC">
        <w:rPr>
          <w:lang w:val="en-US"/>
        </w:rPr>
        <w:t xml:space="preserve"> E. Bendiner, </w:t>
      </w:r>
      <w:r w:rsidRPr="00D07ADC">
        <w:rPr>
          <w:i/>
          <w:lang w:val="en-US"/>
        </w:rPr>
        <w:t>Sara Josephine Baker, crusader for women and children’s health,</w:t>
      </w:r>
      <w:r>
        <w:rPr>
          <w:lang w:val="en-US"/>
        </w:rPr>
        <w:t xml:space="preserve"> Hospital Practice, US 30(</w:t>
      </w:r>
      <w:r w:rsidRPr="00D07ADC">
        <w:rPr>
          <w:lang w:val="en-US"/>
        </w:rPr>
        <w:t>1995</w:t>
      </w:r>
      <w:r>
        <w:rPr>
          <w:lang w:val="en-US"/>
        </w:rPr>
        <w:t>)</w:t>
      </w:r>
      <w:r w:rsidRPr="00D07ADC">
        <w:rPr>
          <w:lang w:val="en-US"/>
        </w:rPr>
        <w:t>, nr 9, s. 68 i n.</w:t>
      </w:r>
    </w:p>
  </w:footnote>
  <w:footnote w:id="138">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W Wielkiej Brytanii kobiety uzyskały prawa wyborcze w 1928 r., co nie było wśród mocarstw europejskich ewenementem – Francja (1944 r.) i Włochy (1946 r.) uczyniły to znacznie później. Z drugiej strony takie państwa, jak Austria, Niemcy, Polska czy Rosja uznały prawa wyborcze kobiet w 1918 r. Fakty powyższe całą debatę o równości kobiet pod sztandarem Ligi sprowadzają do właściwych wymiarów.</w:t>
      </w:r>
    </w:p>
  </w:footnote>
  <w:footnote w:id="139">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Rachel Crowdy (1884</w:t>
      </w:r>
      <w:r>
        <w:t>-</w:t>
      </w:r>
      <w:r w:rsidRPr="00D07ADC">
        <w:t xml:space="preserve">1964) należała do kobiet znanych z dokonań międzynarodowych m.in. w ramach Czerwonego Krzyża. W czasie I wojny była komendantem ochotniczych oddziałów pomocniczych (Volantary Aid Detachments), odznaczona w 1919 r. orderem Imperium. Po opuszczeniu Genewy w 1931 r. angażowała się w różne inicjatywy o charakterze pokojowym (m.in. w wojnie republikańskiej Hiszpanii 1937); podczas II wojny światowej była wśród doradców ministerstwa informacji – zob. </w:t>
      </w:r>
      <w:r w:rsidRPr="00D07ADC">
        <w:rPr>
          <w:i/>
        </w:rPr>
        <w:t>Dame Rachel Crowdy</w:t>
      </w:r>
      <w:r w:rsidRPr="00B91E1F">
        <w:t xml:space="preserve">, </w:t>
      </w:r>
      <w:r w:rsidRPr="00D07ADC">
        <w:t xml:space="preserve">The Times, </w:t>
      </w:r>
      <w:r>
        <w:t>???</w:t>
      </w:r>
      <w:r w:rsidRPr="00D07ADC">
        <w:t>12.10.1964, s. 12.</w:t>
      </w:r>
    </w:p>
  </w:footnote>
  <w:footnote w:id="140">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J.O., Procès-vertbaux du Conseil [dalej: PVC], XIX, s. 790; wśród licznych organizacji biorących w obronę kobiety i dzieci wysoką pozycję </w:t>
      </w:r>
      <w:r w:rsidRPr="00B91E1F">
        <w:t>zdob</w:t>
      </w:r>
      <w:r>
        <w:t>yły brytyjskie siostry Eglantyne</w:t>
      </w:r>
      <w:r w:rsidRPr="00B91E1F">
        <w:t xml:space="preserve"> i Dorothe Jebb,</w:t>
      </w:r>
      <w:r w:rsidRPr="00D07ADC">
        <w:t xml:space="preserve"> które w 1919 r. założyły fundację </w:t>
      </w:r>
      <w:r w:rsidRPr="00D07ADC">
        <w:rPr>
          <w:i/>
        </w:rPr>
        <w:t>Save the Children</w:t>
      </w:r>
      <w:r w:rsidRPr="00D07ADC">
        <w:t xml:space="preserve"> z celem międzynarodowej walki o poprawę losu dzieci. Dość niespodziewanie na konto funduszu wpłynęły znaczne środki, które przeznaczono na pomoc dla dzieci w Niemczech, Austrii, Grecji i Rosji. W 1923 r. w ramach tej fundacji opracowano Deklarację Praw Dziecka, która pod nazwą Deklaracji Genewskiej została przyjęta przez V Zgromadzenie 16 września 1924 r.; zob. J.O., Sup. spéc. 21, s. 24; na temat Funduszu i działalności rodziny Jebb pisze m.in. C. Mulley, </w:t>
      </w:r>
      <w:r w:rsidRPr="00D07ADC">
        <w:rPr>
          <w:i/>
        </w:rPr>
        <w:t>The Woman Who Saved the Children. A Biography of Eglantyne Jebb</w:t>
      </w:r>
      <w:r>
        <w:t>,</w:t>
      </w:r>
      <w:r w:rsidRPr="00D07ADC">
        <w:t xml:space="preserve"> Oneword Publications 2009.</w:t>
      </w:r>
    </w:p>
  </w:footnote>
  <w:footnote w:id="141">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W komisji były reprezentowane Dania, Hiszpania, Francja, Wielka Brytania, Japonia, Polska, Rumunia, Urugwaj i Włochy, a od 1925 r. także Belgia. </w:t>
      </w:r>
      <w:r w:rsidRPr="00D07ADC">
        <w:rPr>
          <w:lang w:val="fr-FR"/>
        </w:rPr>
        <w:t xml:space="preserve">W </w:t>
      </w:r>
      <w:r w:rsidRPr="00D07ADC">
        <w:rPr>
          <w:i/>
          <w:lang w:val="fr-FR"/>
        </w:rPr>
        <w:t xml:space="preserve">Rapport du Comité spécial d’expert sur la traite des femmes et des enfants. </w:t>
      </w:r>
      <w:r w:rsidRPr="00D07ADC">
        <w:t>(Genève, le 17 février 1927, vol.1, s. 20) wymienia się następujące państwa o największej emigracji kobiet: Niemcy, Austria, Hiszpania, Francja, Grecja, Węgry, Włochy, Polska, Rumunia i Turcja.</w:t>
      </w:r>
    </w:p>
  </w:footnote>
  <w:footnote w:id="142">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J.O., P.V.C., XIX, s. 790; Rada, akceptując tekst Konwencji, zobowiązała Sekretarza Generalnego do upowszechnienia jej i uzyskania jak największej liczby ratyfikacji. Procedurę ratyfikacyjną w Niemczech zakończono 8 lipca 1924 r., kilka miesięcy przed Polską i kilkanaście przed Francją i Szwajcarią.</w:t>
      </w:r>
    </w:p>
  </w:footnote>
  <w:footnote w:id="143">
    <w:p w:rsidR="00942133" w:rsidRPr="00D07ADC"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D07ADC">
        <w:t xml:space="preserve"> S. Posner, </w:t>
      </w:r>
      <w:r w:rsidRPr="00D07ADC">
        <w:rPr>
          <w:i/>
        </w:rPr>
        <w:t>Zagadnienia społeczne w Lidze Narodów</w:t>
      </w:r>
      <w:r w:rsidRPr="00D07ADC">
        <w:t xml:space="preserve">, Kraków 1925, s. 94 (odbitka z nie znanego mi czasopisma „Liga Narodów”); odnotowania wymaga duża aktywność w tej debacie Franciszka Sokala, członka Rady Administracyjnej MOP, co m.in. wiązało się ze złą opinią kobiet z ziem polskich. W niektórych krajach jak (Argentyna, Brazylia, Urugwaj) określenie „polka” było synonimem kobiety lekkich obyczajów; działająca w Buenos Aires „centrala” zajmująca się „instalacją” przybyłych z Europy kobiet nosiła nazwę </w:t>
      </w:r>
      <w:r w:rsidRPr="00D07ADC">
        <w:rPr>
          <w:i/>
        </w:rPr>
        <w:t>Varsovia</w:t>
      </w:r>
      <w:r w:rsidRPr="00D07ADC">
        <w:t xml:space="preserve">, W. Chodźko, </w:t>
      </w:r>
      <w:r w:rsidRPr="00D07ADC">
        <w:rPr>
          <w:i/>
        </w:rPr>
        <w:t>Handel kobietami</w:t>
      </w:r>
      <w:r w:rsidRPr="00D07ADC">
        <w:t xml:space="preserve">, Warszawa 1935, s. 13; resumè problemu zob. </w:t>
      </w:r>
      <w:r w:rsidRPr="00D07ADC">
        <w:rPr>
          <w:lang w:val="en-US"/>
        </w:rPr>
        <w:t xml:space="preserve">J.R. Pliley, </w:t>
      </w:r>
      <w:r w:rsidRPr="00D07ADC">
        <w:rPr>
          <w:i/>
          <w:lang w:val="en-US"/>
        </w:rPr>
        <w:t>Claims to Protection: The Rise and Fall of Feminist Abolitionism in the League of Nations’ Committee on the Traffic in Women and Children 1919</w:t>
      </w:r>
      <w:r>
        <w:rPr>
          <w:i/>
          <w:lang w:val="en-US"/>
        </w:rPr>
        <w:t>-</w:t>
      </w:r>
      <w:r w:rsidRPr="00D07ADC">
        <w:rPr>
          <w:i/>
          <w:lang w:val="en-US"/>
        </w:rPr>
        <w:t>1936</w:t>
      </w:r>
      <w:r w:rsidRPr="00D07ADC">
        <w:rPr>
          <w:lang w:val="en-US"/>
        </w:rPr>
        <w:t>, Journal of Women’s History 22 (2010), nr 4, s. 90-113.</w:t>
      </w:r>
    </w:p>
  </w:footnote>
  <w:footnote w:id="144">
    <w:p w:rsidR="00942133" w:rsidRPr="00D07ADC"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D07ADC">
        <w:rPr>
          <w:lang w:val="en-US"/>
        </w:rPr>
        <w:t xml:space="preserve"> J.H. Harris, </w:t>
      </w:r>
      <w:r w:rsidRPr="00D07ADC">
        <w:rPr>
          <w:i/>
          <w:lang w:val="en-US"/>
        </w:rPr>
        <w:t>Slavery or „Secret Trust”?</w:t>
      </w:r>
      <w:r w:rsidRPr="00B91E1F">
        <w:rPr>
          <w:lang w:val="en-US"/>
        </w:rPr>
        <w:t>,</w:t>
      </w:r>
      <w:r w:rsidRPr="00D07ADC">
        <w:rPr>
          <w:lang w:val="en-US"/>
        </w:rPr>
        <w:t xml:space="preserve"> s. 32 i n.; S. Paddle, </w:t>
      </w:r>
      <w:r w:rsidRPr="00D07ADC">
        <w:rPr>
          <w:i/>
          <w:lang w:val="en-US"/>
        </w:rPr>
        <w:t>The Limit of Sympathy: International Feminists and the Chinese ‘Slave Girl</w:t>
      </w:r>
      <w:r w:rsidRPr="00D07ADC">
        <w:rPr>
          <w:lang w:val="en-US"/>
        </w:rPr>
        <w:t>’, Journal of Colonialism and Colonial History 4 (2003), n</w:t>
      </w:r>
      <w:r>
        <w:rPr>
          <w:lang w:val="en-US"/>
        </w:rPr>
        <w:t>r</w:t>
      </w:r>
      <w:r w:rsidRPr="00D07ADC">
        <w:rPr>
          <w:lang w:val="en-US"/>
        </w:rPr>
        <w:t xml:space="preserve"> 3.</w:t>
      </w:r>
    </w:p>
  </w:footnote>
  <w:footnote w:id="145">
    <w:p w:rsidR="00942133" w:rsidRPr="00D07ADC"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D07ADC">
        <w:rPr>
          <w:lang w:val="fr-FR"/>
        </w:rPr>
        <w:t xml:space="preserve">Société des Nations. </w:t>
      </w:r>
      <w:r w:rsidRPr="00D07ADC">
        <w:rPr>
          <w:i/>
          <w:lang w:val="fr-FR"/>
        </w:rPr>
        <w:t>Convention internationale pour la Répression de la Circulation et du Trafic des Publications obscènes.</w:t>
      </w:r>
      <w:r w:rsidRPr="00D07ADC">
        <w:rPr>
          <w:lang w:val="fr-FR"/>
        </w:rPr>
        <w:t xml:space="preserve"> Ouverte a la signature a Genève du 12 septembre 1923 au 31 mars 1924 (Druk Ligi Narodów C. </w:t>
      </w:r>
      <w:smartTag w:uri="urn:schemas-microsoft-com:office:smarttags" w:element="metricconverter">
        <w:smartTagPr>
          <w:attr w:name="ProductID" w:val="630. M"/>
        </w:smartTagPr>
        <w:r w:rsidRPr="00D07ADC">
          <w:rPr>
            <w:lang w:val="fr-FR"/>
          </w:rPr>
          <w:t xml:space="preserve">630. </w:t>
        </w:r>
        <w:r w:rsidRPr="00D07ADC">
          <w:rPr>
            <w:lang w:val="en-US"/>
          </w:rPr>
          <w:t>M</w:t>
        </w:r>
      </w:smartTag>
      <w:r w:rsidRPr="00D07ADC">
        <w:rPr>
          <w:lang w:val="en-US"/>
        </w:rPr>
        <w:t>. 236. 1923. IV).</w:t>
      </w:r>
    </w:p>
  </w:footnote>
  <w:footnote w:id="146">
    <w:p w:rsidR="00942133" w:rsidRPr="00D07ADC"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D07ADC">
        <w:rPr>
          <w:lang w:val="en-US"/>
        </w:rPr>
        <w:t xml:space="preserve">P. Knepper, </w:t>
      </w:r>
      <w:r w:rsidRPr="00D07ADC">
        <w:rPr>
          <w:i/>
          <w:lang w:val="en-US"/>
        </w:rPr>
        <w:t>Measuring the Threat of Global Crime: Insights From Research by the League of Nations Into the Traffic in Women</w:t>
      </w:r>
      <w:r w:rsidRPr="00D07ADC">
        <w:rPr>
          <w:rFonts w:eastAsia="MTSY"/>
          <w:lang w:val="en-US"/>
        </w:rPr>
        <w:t xml:space="preserve">, </w:t>
      </w:r>
      <w:r w:rsidRPr="00D07ADC">
        <w:rPr>
          <w:lang w:val="en-US"/>
        </w:rPr>
        <w:t>Criminology 50</w:t>
      </w:r>
      <w:r>
        <w:rPr>
          <w:lang w:val="en-US"/>
        </w:rPr>
        <w:t xml:space="preserve"> (2012)</w:t>
      </w:r>
      <w:r w:rsidRPr="00D07ADC">
        <w:rPr>
          <w:lang w:val="en-US"/>
        </w:rPr>
        <w:t>, n</w:t>
      </w:r>
      <w:r>
        <w:rPr>
          <w:lang w:val="en-US"/>
        </w:rPr>
        <w:t>r</w:t>
      </w:r>
      <w:r w:rsidRPr="00D07ADC">
        <w:rPr>
          <w:lang w:val="en-US"/>
        </w:rPr>
        <w:t xml:space="preserve"> 3, s. 778</w:t>
      </w:r>
      <w:r>
        <w:rPr>
          <w:lang w:val="en-US"/>
        </w:rPr>
        <w:t>.</w:t>
      </w:r>
    </w:p>
  </w:footnote>
  <w:footnote w:id="147">
    <w:p w:rsidR="00942133" w:rsidRPr="00D07ADC" w:rsidRDefault="00942133" w:rsidP="001E5F63">
      <w:pPr>
        <w:autoSpaceDE w:val="0"/>
        <w:autoSpaceDN w:val="0"/>
        <w:adjustRightInd w:val="0"/>
        <w:spacing w:line="23" w:lineRule="atLeast"/>
        <w:ind w:firstLine="0"/>
        <w:contextualSpacing/>
        <w:rPr>
          <w:rFonts w:eastAsia="MTSY"/>
          <w:sz w:val="20"/>
          <w:szCs w:val="20"/>
          <w:lang w:val="en-US"/>
        </w:rPr>
      </w:pPr>
      <w:r w:rsidRPr="00B91E1F">
        <w:rPr>
          <w:rStyle w:val="Odwoanieprzypisudolnego"/>
          <w:rFonts w:ascii="Times New Roman" w:hAnsi="Times New Roman"/>
          <w:sz w:val="20"/>
          <w:szCs w:val="20"/>
        </w:rPr>
        <w:footnoteRef/>
      </w:r>
      <w:r w:rsidRPr="00B91E1F">
        <w:rPr>
          <w:sz w:val="20"/>
          <w:szCs w:val="20"/>
          <w:lang w:val="en-US"/>
        </w:rPr>
        <w:t xml:space="preserve"> Tamże; tegoż,</w:t>
      </w:r>
      <w:r w:rsidRPr="00D07ADC">
        <w:rPr>
          <w:i/>
          <w:iCs/>
          <w:sz w:val="20"/>
          <w:szCs w:val="20"/>
          <w:lang w:val="en-US"/>
        </w:rPr>
        <w:t>International Crime in the Twentieth Century: The League of Nations Era, 1919</w:t>
      </w:r>
      <w:r>
        <w:rPr>
          <w:i/>
          <w:iCs/>
          <w:sz w:val="20"/>
          <w:szCs w:val="20"/>
          <w:lang w:val="en-US"/>
        </w:rPr>
        <w:t>-</w:t>
      </w:r>
      <w:r w:rsidRPr="00D07ADC">
        <w:rPr>
          <w:i/>
          <w:iCs/>
          <w:sz w:val="20"/>
          <w:szCs w:val="20"/>
          <w:lang w:val="en-US"/>
        </w:rPr>
        <w:t>1939</w:t>
      </w:r>
      <w:r w:rsidRPr="00D07ADC">
        <w:rPr>
          <w:sz w:val="20"/>
          <w:szCs w:val="20"/>
          <w:lang w:val="en-US"/>
        </w:rPr>
        <w:t>, London 2011.</w:t>
      </w:r>
    </w:p>
    <w:p w:rsidR="00942133" w:rsidRPr="00D07ADC" w:rsidRDefault="00942133" w:rsidP="001E5F63">
      <w:pPr>
        <w:pStyle w:val="Tekstprzypisudolnego"/>
        <w:spacing w:line="23" w:lineRule="atLeast"/>
        <w:ind w:firstLine="0"/>
        <w:contextualSpacing/>
        <w:rPr>
          <w:lang w:val="en-US"/>
        </w:rPr>
      </w:pPr>
    </w:p>
  </w:footnote>
  <w:footnote w:id="148">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J.O., P.V.C., XXIII, s. 2002 i tamże Annex 441.</w:t>
      </w:r>
    </w:p>
  </w:footnote>
  <w:footnote w:id="149">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Zob. K. Michałek, </w:t>
      </w:r>
      <w:r w:rsidRPr="00D07ADC">
        <w:rPr>
          <w:i/>
        </w:rPr>
        <w:t>Ustanowienie „ery prohibicyjnej” w Stanach Zjednoczonych</w:t>
      </w:r>
      <w:r w:rsidRPr="00D07ADC">
        <w:t xml:space="preserve">, s. 407 i n. </w:t>
      </w:r>
    </w:p>
  </w:footnote>
  <w:footnote w:id="150">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Zob. W. Rojek, </w:t>
      </w:r>
      <w:r w:rsidRPr="00D07ADC">
        <w:rPr>
          <w:i/>
        </w:rPr>
        <w:t>Ekspansja mocarstw w Chinach i jej wpływ na rozwój stosunków międzynarodowych w latach 1895-1914</w:t>
      </w:r>
      <w:r w:rsidRPr="00D07ADC">
        <w:t>, Kraków 1990.</w:t>
      </w:r>
    </w:p>
  </w:footnote>
  <w:footnote w:id="151">
    <w:p w:rsidR="00942133" w:rsidRPr="00D07ADC" w:rsidRDefault="00942133" w:rsidP="001E5F63">
      <w:pPr>
        <w:autoSpaceDE w:val="0"/>
        <w:autoSpaceDN w:val="0"/>
        <w:adjustRightInd w:val="0"/>
        <w:spacing w:line="23" w:lineRule="atLeast"/>
        <w:ind w:firstLine="0"/>
        <w:contextualSpacing/>
        <w:rPr>
          <w:sz w:val="20"/>
          <w:szCs w:val="20"/>
          <w:lang w:val="en-US"/>
        </w:rPr>
      </w:pPr>
      <w:r w:rsidRPr="00D07ADC">
        <w:rPr>
          <w:rStyle w:val="Odwoanieprzypisudolnego"/>
          <w:rFonts w:ascii="Times New Roman" w:hAnsi="Times New Roman"/>
          <w:sz w:val="20"/>
          <w:szCs w:val="20"/>
        </w:rPr>
        <w:footnoteRef/>
      </w:r>
      <w:r w:rsidRPr="00D07ADC">
        <w:rPr>
          <w:sz w:val="20"/>
          <w:szCs w:val="20"/>
          <w:lang w:val="en-US"/>
        </w:rPr>
        <w:t xml:space="preserve"> S. Posner, </w:t>
      </w:r>
      <w:r w:rsidRPr="00D07ADC">
        <w:rPr>
          <w:i/>
          <w:sz w:val="20"/>
          <w:szCs w:val="20"/>
          <w:lang w:val="en-US"/>
        </w:rPr>
        <w:t>Zagadnienia</w:t>
      </w:r>
      <w:r w:rsidRPr="00D07ADC">
        <w:rPr>
          <w:sz w:val="20"/>
          <w:szCs w:val="20"/>
          <w:lang w:val="en-US"/>
        </w:rPr>
        <w:t xml:space="preserve">, s. 86-87; W.O. Walker, </w:t>
      </w:r>
      <w:r w:rsidRPr="00D07ADC">
        <w:rPr>
          <w:i/>
          <w:iCs/>
          <w:sz w:val="20"/>
          <w:szCs w:val="20"/>
          <w:lang w:val="en-US"/>
        </w:rPr>
        <w:t>Opium and Foreign Policy: The Anglo-American Search for Order in Asia, 1912</w:t>
      </w:r>
      <w:r>
        <w:rPr>
          <w:i/>
          <w:iCs/>
          <w:sz w:val="20"/>
          <w:szCs w:val="20"/>
          <w:lang w:val="en-US"/>
        </w:rPr>
        <w:t>-</w:t>
      </w:r>
      <w:r w:rsidRPr="00D07ADC">
        <w:rPr>
          <w:i/>
          <w:iCs/>
          <w:sz w:val="20"/>
          <w:szCs w:val="20"/>
          <w:lang w:val="en-US"/>
        </w:rPr>
        <w:t>1954</w:t>
      </w:r>
      <w:r w:rsidRPr="00D07ADC">
        <w:rPr>
          <w:sz w:val="20"/>
          <w:szCs w:val="20"/>
          <w:lang w:val="en-US"/>
        </w:rPr>
        <w:t xml:space="preserve">, Chapel Hill NC 1991, </w:t>
      </w:r>
      <w:r>
        <w:rPr>
          <w:sz w:val="20"/>
          <w:szCs w:val="20"/>
          <w:lang w:val="en-US"/>
        </w:rPr>
        <w:t xml:space="preserve">s. </w:t>
      </w:r>
      <w:r w:rsidRPr="00D07ADC">
        <w:rPr>
          <w:sz w:val="20"/>
          <w:szCs w:val="20"/>
          <w:lang w:val="en-US"/>
        </w:rPr>
        <w:t>71 i n.</w:t>
      </w:r>
    </w:p>
    <w:p w:rsidR="00942133" w:rsidRPr="00D07ADC" w:rsidRDefault="00942133" w:rsidP="001E5F63">
      <w:pPr>
        <w:pStyle w:val="Tekstprzypisudolnego"/>
        <w:spacing w:line="23" w:lineRule="atLeast"/>
        <w:ind w:firstLine="0"/>
        <w:contextualSpacing/>
      </w:pPr>
      <w:r w:rsidRPr="00D07ADC">
        <w:t xml:space="preserve">. </w:t>
      </w:r>
    </w:p>
  </w:footnote>
  <w:footnote w:id="152">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Jej wkład w prace CICI został dobrze omówiony przez J. Piskurewicza, </w:t>
      </w:r>
      <w:r w:rsidRPr="00D07ADC">
        <w:rPr>
          <w:i/>
        </w:rPr>
        <w:t>Między nauką a polityką. Maria Skłodowska-Curie w laboratorium i Lidze Narodów</w:t>
      </w:r>
      <w:r w:rsidRPr="00B91E1F">
        <w:t xml:space="preserve">, </w:t>
      </w:r>
      <w:r w:rsidRPr="00D07ADC">
        <w:t xml:space="preserve">Lublin 2007. Na temat istotnej pomocy ze strony prof. Oskara Haleckiego, zob. A.M. Brzeziński, </w:t>
      </w:r>
      <w:r w:rsidRPr="00D07ADC">
        <w:rPr>
          <w:i/>
        </w:rPr>
        <w:t xml:space="preserve">Oskar Halecki – Sekretarz Komisji Międzynarodowej Współpracy Intelektualnej Ligi Narodów </w:t>
      </w:r>
      <w:r w:rsidRPr="00D07ADC">
        <w:t>(</w:t>
      </w:r>
      <w:r w:rsidRPr="00D07ADC">
        <w:rPr>
          <w:i/>
        </w:rPr>
        <w:t>1922</w:t>
      </w:r>
      <w:r>
        <w:rPr>
          <w:i/>
        </w:rPr>
        <w:t>-</w:t>
      </w:r>
      <w:r w:rsidRPr="00D07ADC">
        <w:rPr>
          <w:i/>
        </w:rPr>
        <w:t>1924</w:t>
      </w:r>
      <w:r w:rsidRPr="00D07ADC">
        <w:t>), Kwartalnik Historii Nauki i Techniki 2010, nr 1,s. 7 i n.</w:t>
      </w:r>
    </w:p>
  </w:footnote>
  <w:footnote w:id="153">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W 1923 r. narodowe komisje powstały w Austrii, Bułgarii, Czechosłowacji, Estonii, Finlandii, Francji, Grecji, Holandii, Jugosławii, Litwie, Norwegii, Polsce, Rumunii, Szwajcarii, na Węgrzech i w Wielkiej Brytanii.</w:t>
      </w:r>
    </w:p>
  </w:footnote>
  <w:footnote w:id="154">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A.M. Brzeziński, </w:t>
      </w:r>
      <w:r w:rsidRPr="00D07ADC">
        <w:rPr>
          <w:i/>
        </w:rPr>
        <w:t>Polska Komisja</w:t>
      </w:r>
      <w:r w:rsidRPr="00D07ADC">
        <w:t>, s. 41.</w:t>
      </w:r>
    </w:p>
  </w:footnote>
  <w:footnote w:id="155">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Szerzej S. Sierpowski, </w:t>
      </w:r>
      <w:r w:rsidRPr="00D07ADC">
        <w:rPr>
          <w:i/>
        </w:rPr>
        <w:t>Liga Narodów 1919</w:t>
      </w:r>
      <w:r>
        <w:rPr>
          <w:i/>
        </w:rPr>
        <w:t>-</w:t>
      </w:r>
      <w:r w:rsidRPr="00D07ADC">
        <w:rPr>
          <w:i/>
        </w:rPr>
        <w:t>1926</w:t>
      </w:r>
      <w:r w:rsidRPr="00D07ADC">
        <w:t>, s. 309 i n.</w:t>
      </w:r>
    </w:p>
  </w:footnote>
  <w:footnote w:id="156">
    <w:p w:rsidR="00942133" w:rsidRPr="00D07ADC" w:rsidRDefault="00942133" w:rsidP="001E5F63">
      <w:pPr>
        <w:pStyle w:val="Tekstprzypisudolnego"/>
        <w:spacing w:line="23" w:lineRule="atLeast"/>
        <w:ind w:firstLine="0"/>
        <w:contextualSpacing/>
        <w:rPr>
          <w:lang w:val="de-DE"/>
        </w:rPr>
      </w:pPr>
      <w:r w:rsidRPr="00D07ADC">
        <w:rPr>
          <w:rStyle w:val="Odwoanieprzypisudolnego"/>
          <w:rFonts w:ascii="Times New Roman" w:hAnsi="Times New Roman"/>
          <w:sz w:val="20"/>
        </w:rPr>
        <w:footnoteRef/>
      </w:r>
      <w:r w:rsidRPr="00D07ADC">
        <w:rPr>
          <w:lang w:val="de-DE"/>
        </w:rPr>
        <w:t xml:space="preserve"> J. Wintzer, </w:t>
      </w:r>
      <w:r w:rsidRPr="00D07ADC">
        <w:rPr>
          <w:i/>
          <w:iCs/>
          <w:lang w:val="de-DE"/>
        </w:rPr>
        <w:t>Deutschland und der Völkerbund</w:t>
      </w:r>
      <w:r w:rsidRPr="00B91E1F">
        <w:rPr>
          <w:iCs/>
          <w:lang w:val="de-DE"/>
        </w:rPr>
        <w:t xml:space="preserve">, </w:t>
      </w:r>
      <w:r w:rsidRPr="00B91E1F">
        <w:rPr>
          <w:lang w:val="de-DE"/>
        </w:rPr>
        <w:t>s</w:t>
      </w:r>
      <w:r w:rsidRPr="00D07ADC">
        <w:rPr>
          <w:lang w:val="de-DE"/>
        </w:rPr>
        <w:t>. 208 i n.</w:t>
      </w:r>
    </w:p>
  </w:footnote>
  <w:footnote w:id="157">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Węgry deklarację w sprawie bandery przyjęły w 1928 r. (Dz.U. 1928, nr 81 poz. 721),natomiast Niemcy w 1931 r. (Dz.U. 1932, nr 21 poz. 160).</w:t>
      </w:r>
    </w:p>
  </w:footnote>
  <w:footnote w:id="158">
    <w:p w:rsidR="00942133" w:rsidRPr="00D07ADC" w:rsidRDefault="00942133" w:rsidP="001E5F63">
      <w:pPr>
        <w:pStyle w:val="Tekstprzypisudolnego"/>
        <w:spacing w:line="23" w:lineRule="atLeast"/>
        <w:ind w:firstLine="0"/>
        <w:contextualSpacing/>
        <w:rPr>
          <w:lang w:val="fr-FR"/>
        </w:rPr>
      </w:pPr>
      <w:r w:rsidRPr="00D07ADC">
        <w:rPr>
          <w:rStyle w:val="Odwoanieprzypisudolnego"/>
          <w:rFonts w:ascii="Times New Roman" w:hAnsi="Times New Roman"/>
          <w:sz w:val="20"/>
        </w:rPr>
        <w:footnoteRef/>
      </w:r>
      <w:r w:rsidRPr="00D07ADC">
        <w:t xml:space="preserve"> Skalę problemu uwypukla udział w konferencji takich niechętnych Lidze państw, jak USA, Meksyk, Egipt, Maroko czy Tunis – zob. </w:t>
      </w:r>
      <w:r w:rsidRPr="00D07ADC">
        <w:rPr>
          <w:i/>
          <w:lang w:val="fr-FR"/>
        </w:rPr>
        <w:t>Annuaire de la Société des Nations Première année</w:t>
      </w:r>
      <w:r w:rsidRPr="00D07ADC">
        <w:rPr>
          <w:lang w:val="fr-FR"/>
        </w:rPr>
        <w:t xml:space="preserve">, s. 508, szerzej M. Fior, </w:t>
      </w:r>
      <w:r w:rsidRPr="00D07ADC">
        <w:rPr>
          <w:i/>
          <w:lang w:val="fr-FR"/>
        </w:rPr>
        <w:t xml:space="preserve">Institution globale, transition et pouvair. La Société des Nations et la reconstruction de l’Europe </w:t>
      </w:r>
      <w:r w:rsidRPr="00D07ADC">
        <w:rPr>
          <w:lang w:val="fr-FR"/>
        </w:rPr>
        <w:t>(</w:t>
      </w:r>
      <w:r w:rsidRPr="00D07ADC">
        <w:rPr>
          <w:i/>
          <w:lang w:val="fr-FR"/>
        </w:rPr>
        <w:t>1918-1931</w:t>
      </w:r>
      <w:r w:rsidRPr="00D07ADC">
        <w:rPr>
          <w:lang w:val="fr-FR"/>
        </w:rPr>
        <w:t>), Neuchâtel 2006.</w:t>
      </w:r>
    </w:p>
  </w:footnote>
  <w:footnote w:id="159">
    <w:p w:rsidR="00942133" w:rsidRPr="00D07ADC"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D07ADC">
        <w:rPr>
          <w:i/>
          <w:lang w:val="en-US"/>
        </w:rPr>
        <w:t>Genoa, Rapallo and European Reconstruction in 1922</w:t>
      </w:r>
      <w:r w:rsidRPr="00D07ADC">
        <w:rPr>
          <w:lang w:val="en-US"/>
        </w:rPr>
        <w:t>, red. C. Fink, A. Frohn, J. Heideking, Cambridge Unive</w:t>
      </w:r>
      <w:r>
        <w:rPr>
          <w:lang w:val="en-US"/>
        </w:rPr>
        <w:t>r</w:t>
      </w:r>
      <w:r w:rsidRPr="00D07ADC">
        <w:rPr>
          <w:lang w:val="en-US"/>
        </w:rPr>
        <w:t>sity Press 1991.</w:t>
      </w:r>
    </w:p>
  </w:footnote>
  <w:footnote w:id="160">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S. Sierpowski, </w:t>
      </w:r>
      <w:r w:rsidRPr="00D07ADC">
        <w:rPr>
          <w:i/>
        </w:rPr>
        <w:t>Źródła</w:t>
      </w:r>
      <w:r w:rsidRPr="00B91E1F">
        <w:t>,</w:t>
      </w:r>
      <w:r w:rsidRPr="00D07ADC">
        <w:t xml:space="preserve"> t. I, s. 122.</w:t>
      </w:r>
    </w:p>
  </w:footnote>
  <w:footnote w:id="161">
    <w:p w:rsidR="00942133" w:rsidRPr="00D07ADC"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D07ADC">
        <w:rPr>
          <w:lang w:val="en-US"/>
        </w:rPr>
        <w:t xml:space="preserve"> S. Weinberger, </w:t>
      </w:r>
      <w:r w:rsidRPr="00D07ADC">
        <w:rPr>
          <w:i/>
          <w:lang w:val="en-US"/>
        </w:rPr>
        <w:t>The Wimbledon paradox and the World Court</w:t>
      </w:r>
      <w:r w:rsidRPr="00D07ADC">
        <w:rPr>
          <w:lang w:val="en-US"/>
        </w:rPr>
        <w:t>, Emory International Law Review 10 (1996), s. 397 i n.</w:t>
      </w:r>
    </w:p>
  </w:footnote>
  <w:footnote w:id="162">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Organ pomocniczy Rady złożony z jej przewodniczącego i dwóch członków, nie będących stroną w danym postępowaniu mniejszościowym.</w:t>
      </w:r>
    </w:p>
  </w:footnote>
  <w:footnote w:id="163">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Obszernie J. Krasuski, </w:t>
      </w:r>
      <w:r w:rsidRPr="00D07ADC">
        <w:rPr>
          <w:i/>
        </w:rPr>
        <w:t>Stosunki polsko-niemieckie w latach 1919-1932</w:t>
      </w:r>
      <w:r w:rsidRPr="00D07ADC">
        <w:t>, Poznań 1975, s. 125 i n.</w:t>
      </w:r>
    </w:p>
  </w:footnote>
  <w:footnote w:id="164">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Nie stroniono od wskazywania na koneksje Stresemanna ze środowiskami żydowskimi, w których znalazł się przez ślub w 1903 r. z Käthe Kleefeld z rodziny bogatych przemysłowców berlińskich.</w:t>
      </w:r>
    </w:p>
  </w:footnote>
  <w:footnote w:id="165">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Szerzej zob. T. Kotłowski, </w:t>
      </w:r>
      <w:r w:rsidRPr="00D07ADC">
        <w:rPr>
          <w:i/>
        </w:rPr>
        <w:t>Kryzys 1923 roku w Niemczech</w:t>
      </w:r>
      <w:r w:rsidRPr="00D07ADC">
        <w:t>, Poznań 1998.</w:t>
      </w:r>
    </w:p>
  </w:footnote>
  <w:footnote w:id="166">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A. Bógdał-Brzezińska, </w:t>
      </w:r>
      <w:r w:rsidRPr="00D07ADC">
        <w:rPr>
          <w:i/>
        </w:rPr>
        <w:t>Nieślubna córka świętego Mikołaja. Liga Narodów w krzywym zwierciadle teorii</w:t>
      </w:r>
      <w:r w:rsidRPr="00D07ADC">
        <w:t xml:space="preserve">, [w:] </w:t>
      </w:r>
      <w:r w:rsidRPr="00B91E1F">
        <w:rPr>
          <w:i/>
        </w:rPr>
        <w:t>Liga Narodów wybranych</w:t>
      </w:r>
      <w:r w:rsidRPr="00D07ADC">
        <w:t>, red. M. F. Gawrycki, A. Bógdał-Brzezińska, Warszawa 2010, s. 207-208.</w:t>
      </w:r>
    </w:p>
  </w:footnote>
  <w:footnote w:id="167">
    <w:p w:rsidR="00942133" w:rsidRPr="00241D7B" w:rsidRDefault="00942133" w:rsidP="001E5F63">
      <w:pPr>
        <w:shd w:val="clear" w:color="auto" w:fill="FFFFFF"/>
        <w:tabs>
          <w:tab w:val="left" w:pos="576"/>
        </w:tabs>
        <w:suppressAutoHyphens/>
        <w:spacing w:line="23" w:lineRule="atLeast"/>
        <w:ind w:firstLine="0"/>
        <w:contextualSpacing/>
        <w:rPr>
          <w:sz w:val="20"/>
          <w:szCs w:val="20"/>
        </w:rPr>
      </w:pPr>
      <w:r w:rsidRPr="00D07ADC">
        <w:rPr>
          <w:rStyle w:val="Odwoanieprzypisudolnego"/>
          <w:rFonts w:ascii="Times New Roman" w:hAnsi="Times New Roman"/>
          <w:sz w:val="20"/>
          <w:szCs w:val="20"/>
        </w:rPr>
        <w:footnoteRef/>
      </w:r>
      <w:r w:rsidRPr="00241D7B">
        <w:rPr>
          <w:sz w:val="20"/>
          <w:szCs w:val="20"/>
        </w:rPr>
        <w:t xml:space="preserve"> M.M. Lee, </w:t>
      </w:r>
      <w:r w:rsidRPr="00241D7B">
        <w:rPr>
          <w:i/>
          <w:sz w:val="20"/>
          <w:szCs w:val="20"/>
        </w:rPr>
        <w:t>Failure in Geneva</w:t>
      </w:r>
      <w:r w:rsidRPr="00241D7B">
        <w:rPr>
          <w:sz w:val="20"/>
          <w:szCs w:val="20"/>
        </w:rPr>
        <w:t>, s. 3-4.</w:t>
      </w:r>
    </w:p>
  </w:footnote>
  <w:footnote w:id="168">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rPr>
          <w:lang w:val="de-DE"/>
        </w:rPr>
        <w:t xml:space="preserve"> B.W. von Bülow, </w:t>
      </w:r>
      <w:r w:rsidRPr="00D07ADC">
        <w:rPr>
          <w:i/>
          <w:lang w:val="de-DE"/>
        </w:rPr>
        <w:t xml:space="preserve">Der Versailler Völkerbund. </w:t>
      </w:r>
      <w:r w:rsidRPr="00D07ADC">
        <w:rPr>
          <w:i/>
        </w:rPr>
        <w:t>Eine Vorläufige Bilanz</w:t>
      </w:r>
      <w:r w:rsidRPr="00D07ADC">
        <w:t xml:space="preserve">, Stuttgart 1923. Dzieło von Bülowa było zachętą dla inicjatyw lokalnych przybliżających w sposób przystępny problematykę ligową. W M. Gladbach w ramach drukowanej od przedwojnia serii Staatsbürger Bibliothek znany prawnik o renomie międzynarodowej Hans Wehberg opublikował specjalną broszurę obejmującą wydarzenia do początku 1924 r. widzianych z niemieckiego punktu widzenia. Tekst wyposażony w aneks zawierający Pakt Ligi, podstawową literaturę (ale kilkadziesiąt pozycji) i indeks może być zaliczony do grupy solidnych opracowań, H. Wehberg, </w:t>
      </w:r>
      <w:r w:rsidRPr="00D07ADC">
        <w:rPr>
          <w:i/>
        </w:rPr>
        <w:t>Die Völkerbundbewegung</w:t>
      </w:r>
      <w:r w:rsidRPr="00D07ADC">
        <w:t>, M. Gladbach 1924, ss. 64; nr 115 Staatsburger Bibliothek.</w:t>
      </w:r>
    </w:p>
  </w:footnote>
  <w:footnote w:id="169">
    <w:p w:rsidR="00942133" w:rsidRPr="00D07ADC" w:rsidRDefault="00942133" w:rsidP="001E5F63">
      <w:pPr>
        <w:pStyle w:val="Tekstprzypisudolnego"/>
        <w:spacing w:line="23" w:lineRule="atLeast"/>
        <w:ind w:firstLine="0"/>
        <w:contextualSpacing/>
        <w:rPr>
          <w:lang w:val="fr-FR"/>
        </w:rPr>
      </w:pPr>
      <w:r w:rsidRPr="00D07ADC">
        <w:rPr>
          <w:rStyle w:val="Odwoanieprzypisudolnego"/>
          <w:rFonts w:ascii="Times New Roman" w:hAnsi="Times New Roman"/>
          <w:sz w:val="20"/>
        </w:rPr>
        <w:footnoteRef/>
      </w:r>
      <w:r w:rsidRPr="00D07ADC">
        <w:t xml:space="preserve"> AAN, AB, sygn. 1529, k. 31, Chargé d’affaires do MSZ, Berlin 12 stycznia 1927 r.; Ch.M. Kimmich, </w:t>
      </w:r>
      <w:r w:rsidRPr="00D07ADC">
        <w:rPr>
          <w:i/>
        </w:rPr>
        <w:t>Germany</w:t>
      </w:r>
      <w:r w:rsidRPr="00D07ADC">
        <w:t>, s. 43-44; do najbliższych ws</w:t>
      </w:r>
      <w:r>
        <w:t>półpracowników von Bülowa należa</w:t>
      </w:r>
      <w:r w:rsidRPr="00D07ADC">
        <w:t xml:space="preserve">ł Walter Poensgen, a także Helmut von Tiedmann i Erlich Holtze, zob. </w:t>
      </w:r>
      <w:r w:rsidRPr="00B91E1F">
        <w:rPr>
          <w:i/>
          <w:lang w:val="fr-FR"/>
        </w:rPr>
        <w:t>Annuarie de la Société des Nations. Première année</w:t>
      </w:r>
      <w:r w:rsidRPr="00D07ADC">
        <w:rPr>
          <w:lang w:val="fr-FR"/>
        </w:rPr>
        <w:t>, s. 685.</w:t>
      </w:r>
    </w:p>
  </w:footnote>
  <w:footnote w:id="170">
    <w:p w:rsidR="00942133" w:rsidRPr="00D07ADC" w:rsidRDefault="00942133" w:rsidP="001E5F63">
      <w:pPr>
        <w:pStyle w:val="Tekstprzypisudolnego"/>
        <w:spacing w:line="23" w:lineRule="atLeast"/>
        <w:ind w:firstLine="0"/>
        <w:contextualSpacing/>
        <w:rPr>
          <w:lang w:val="de-DE"/>
        </w:rPr>
      </w:pPr>
      <w:r w:rsidRPr="00D07ADC">
        <w:rPr>
          <w:rStyle w:val="Odwoanieprzypisudolnego"/>
          <w:rFonts w:ascii="Times New Roman" w:hAnsi="Times New Roman"/>
          <w:sz w:val="20"/>
        </w:rPr>
        <w:footnoteRef/>
      </w:r>
      <w:r w:rsidRPr="00D07ADC">
        <w:rPr>
          <w:lang w:val="fr-FR"/>
        </w:rPr>
        <w:t xml:space="preserve">AAN, AB, sygn. </w:t>
      </w:r>
      <w:r w:rsidRPr="00D07ADC">
        <w:rPr>
          <w:lang w:val="de-DE"/>
        </w:rPr>
        <w:t>1529, k. 32.</w:t>
      </w:r>
    </w:p>
  </w:footnote>
  <w:footnote w:id="171">
    <w:p w:rsidR="00942133" w:rsidRPr="00D07ADC" w:rsidRDefault="00942133" w:rsidP="001E5F63">
      <w:pPr>
        <w:pStyle w:val="Tekstprzypisudolnego"/>
        <w:spacing w:line="23" w:lineRule="atLeast"/>
        <w:ind w:firstLine="0"/>
        <w:contextualSpacing/>
        <w:rPr>
          <w:lang w:val="de-DE"/>
        </w:rPr>
      </w:pPr>
      <w:r w:rsidRPr="00D07ADC">
        <w:rPr>
          <w:rStyle w:val="Odwoanieprzypisudolnego"/>
          <w:rFonts w:ascii="Times New Roman" w:hAnsi="Times New Roman"/>
          <w:sz w:val="20"/>
        </w:rPr>
        <w:footnoteRef/>
      </w:r>
      <w:r w:rsidRPr="00D07ADC">
        <w:rPr>
          <w:lang w:val="de-DE"/>
        </w:rPr>
        <w:t xml:space="preserve"> J. Wintzer, </w:t>
      </w:r>
      <w:r w:rsidRPr="00D07ADC">
        <w:rPr>
          <w:i/>
          <w:iCs/>
          <w:lang w:val="de-DE"/>
        </w:rPr>
        <w:t>Deutschland und der Völkerbund</w:t>
      </w:r>
      <w:r w:rsidRPr="00D07ADC">
        <w:rPr>
          <w:iCs/>
          <w:lang w:val="de-DE"/>
        </w:rPr>
        <w:t xml:space="preserve">, </w:t>
      </w:r>
      <w:r w:rsidRPr="00D07ADC">
        <w:rPr>
          <w:lang w:val="de-DE"/>
        </w:rPr>
        <w:t>s. 49, 127.</w:t>
      </w:r>
    </w:p>
  </w:footnote>
  <w:footnote w:id="172">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rPr>
          <w:lang w:val="de-DE"/>
        </w:rPr>
        <w:t xml:space="preserve"> W ankiecie „Friedenswarte” wśród zwolenników byli m.in.: Edward Bernstein (socjalista), Georg Bernhard (red</w:t>
      </w:r>
      <w:r>
        <w:rPr>
          <w:lang w:val="de-DE"/>
        </w:rPr>
        <w:t>aktor</w:t>
      </w:r>
      <w:r w:rsidRPr="00D07ADC">
        <w:rPr>
          <w:lang w:val="de-DE"/>
        </w:rPr>
        <w:t xml:space="preserve"> naczelny „Vossische Zeitung”), generałowie von Schönaich i von Dimling, Herman Müler – były kanclerz, W. Heile – poseł do Reichstagu, prof. G. Radbruch – były minister sprawiedliwości Rzeszy, liczna grupa profesorów ze znanym Walterem Schückingiem na czele. </w:t>
      </w:r>
      <w:r w:rsidRPr="00D07ADC">
        <w:t xml:space="preserve">Pomijając różnice w szczegółowych sprawach, zwolennicy akcesu opowiadali się za przyjęciem bez warunków wstępnych i zastrzeżeń, chociaż z uzgodnioną kanałami dyplomatycznymi gwarancją stałego miejsca w Radzie. </w:t>
      </w:r>
    </w:p>
  </w:footnote>
  <w:footnote w:id="173">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AAN, AP, sygn. 189, k. 5-6, poseł RP w Berlinie do MSZ, Berlin b. daty, lecz lipiec 1923 r.</w:t>
      </w:r>
    </w:p>
  </w:footnote>
  <w:footnote w:id="174">
    <w:p w:rsidR="00942133" w:rsidRPr="00D07ADC" w:rsidRDefault="00942133" w:rsidP="001E5F63">
      <w:pPr>
        <w:pStyle w:val="Tekstprzypisudolnego"/>
        <w:spacing w:line="23" w:lineRule="atLeast"/>
        <w:ind w:firstLine="0"/>
        <w:contextualSpacing/>
        <w:rPr>
          <w:lang w:val="fr-FR"/>
        </w:rPr>
      </w:pPr>
      <w:r w:rsidRPr="00D07ADC">
        <w:rPr>
          <w:rStyle w:val="Odwoanieprzypisudolnego"/>
          <w:rFonts w:ascii="Times New Roman" w:hAnsi="Times New Roman"/>
          <w:sz w:val="20"/>
        </w:rPr>
        <w:footnoteRef/>
      </w:r>
      <w:r w:rsidRPr="00D07ADC">
        <w:t xml:space="preserve"> SPD należała do najbardziej proligowych sił politycznych w Niemczech. Jej postulaty i żądania wyrażone w programie przyjętym podczas zjazdu w Heidelbergu 13</w:t>
      </w:r>
      <w:r>
        <w:t>-</w:t>
      </w:r>
      <w:r w:rsidRPr="00D07ADC">
        <w:t xml:space="preserve">18 września 1925 r. zawierały hasła dominujące w słownictwie ligowym. Tak więc „z całą mocą” SPD przeciwstawiała się każdemu zaostrzeniu przeciwieństw między narodami i każdemu zagrożeniu pokoju. Wszelkie konflikty międzynarodowe miały być rozstrzygane przez sądy rozjemcze. Żądano międzynarodowego rozbrojenia, utworzenia europejskiej jedności gospodarczej w formie Stanów Zjednoczonych Europy, „demokratyzacji Ligi Narodów i ukształtowanie jej w skuteczne narzędzie polityki pokoju” – tekst zob. </w:t>
      </w:r>
      <w:r w:rsidRPr="00D07ADC">
        <w:rPr>
          <w:lang w:val="fr-FR"/>
        </w:rPr>
        <w:t xml:space="preserve">S. Sierpowski, </w:t>
      </w:r>
      <w:r w:rsidRPr="00D07ADC">
        <w:rPr>
          <w:i/>
          <w:lang w:val="fr-FR"/>
        </w:rPr>
        <w:t>Źródła</w:t>
      </w:r>
      <w:r w:rsidRPr="00D07ADC">
        <w:rPr>
          <w:lang w:val="fr-FR"/>
        </w:rPr>
        <w:t>, t. I, s. 498-499.</w:t>
      </w:r>
    </w:p>
  </w:footnote>
  <w:footnote w:id="175">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rPr>
          <w:lang w:val="fr-FR"/>
        </w:rPr>
        <w:t xml:space="preserve">Por. szerzej J. de Lespinois, </w:t>
      </w:r>
      <w:r w:rsidRPr="00D07ADC">
        <w:rPr>
          <w:i/>
          <w:lang w:val="fr-FR"/>
        </w:rPr>
        <w:t>Sécurité et désarmement 1922</w:t>
      </w:r>
      <w:r>
        <w:rPr>
          <w:i/>
          <w:lang w:val="fr-FR"/>
        </w:rPr>
        <w:t>-</w:t>
      </w:r>
      <w:r w:rsidRPr="00D07ADC">
        <w:rPr>
          <w:i/>
          <w:lang w:val="fr-FR"/>
        </w:rPr>
        <w:t>1924</w:t>
      </w:r>
      <w:r w:rsidRPr="00D07ADC">
        <w:rPr>
          <w:lang w:val="fr-FR"/>
        </w:rPr>
        <w:t xml:space="preserve">, </w:t>
      </w:r>
      <w:r>
        <w:rPr>
          <w:lang w:val="fr-FR"/>
        </w:rPr>
        <w:t>[</w:t>
      </w:r>
      <w:r w:rsidRPr="00D07ADC">
        <w:rPr>
          <w:lang w:val="fr-FR"/>
        </w:rPr>
        <w:t>w:</w:t>
      </w:r>
      <w:r>
        <w:rPr>
          <w:lang w:val="fr-FR"/>
        </w:rPr>
        <w:t xml:space="preserve">] </w:t>
      </w:r>
      <w:r w:rsidRPr="00273B13">
        <w:rPr>
          <w:i/>
          <w:lang w:val="fr-FR"/>
        </w:rPr>
        <w:t>Aristide Briand,</w:t>
      </w:r>
      <w:r>
        <w:rPr>
          <w:i/>
          <w:lang w:val="fr-FR"/>
        </w:rPr>
        <w:t>l</w:t>
      </w:r>
      <w:r w:rsidRPr="006E1AE0">
        <w:rPr>
          <w:i/>
          <w:lang w:val="fr-FR"/>
        </w:rPr>
        <w:t>a Société des Nations et d’Europe1919-1932</w:t>
      </w:r>
      <w:r w:rsidRPr="00D07ADC">
        <w:rPr>
          <w:lang w:val="fr-FR"/>
        </w:rPr>
        <w:t xml:space="preserve">, red. </w:t>
      </w:r>
      <w:r w:rsidRPr="00D07ADC">
        <w:t>J. Bariéty, Strasbourg 2007, s. 92 i n.; w języku polskim zob. m.in. prace Waldemara Michowicza.</w:t>
      </w:r>
    </w:p>
  </w:footnote>
  <w:footnote w:id="176">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Więcej S. Sierpowski, </w:t>
      </w:r>
      <w:r w:rsidRPr="00D07ADC">
        <w:rPr>
          <w:i/>
        </w:rPr>
        <w:t>Liga Narodów w latach 1919</w:t>
      </w:r>
      <w:r>
        <w:rPr>
          <w:i/>
        </w:rPr>
        <w:t>-</w:t>
      </w:r>
      <w:r w:rsidRPr="00D07ADC">
        <w:rPr>
          <w:i/>
        </w:rPr>
        <w:t>1926</w:t>
      </w:r>
      <w:r w:rsidRPr="006E1AE0">
        <w:t>,</w:t>
      </w:r>
      <w:r w:rsidRPr="00D07ADC">
        <w:t xml:space="preserve"> s. 259 i n.</w:t>
      </w:r>
    </w:p>
  </w:footnote>
  <w:footnote w:id="177">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Patric O. Cohrs (</w:t>
      </w:r>
      <w:r w:rsidRPr="00D07ADC">
        <w:rPr>
          <w:i/>
        </w:rPr>
        <w:t>The Unfinished Peace after World War I. America, Britain and the Stabilisation of Europe, 1919</w:t>
      </w:r>
      <w:r>
        <w:rPr>
          <w:i/>
        </w:rPr>
        <w:t>-</w:t>
      </w:r>
      <w:r w:rsidRPr="00D07ADC">
        <w:rPr>
          <w:i/>
        </w:rPr>
        <w:t>1932</w:t>
      </w:r>
      <w:r w:rsidRPr="00D07ADC">
        <w:t>, Cambridge University Press 2006, s. 630) rozszerza rolę bankierów, przypisując im istotną rolę w przezwyciężeniu kryzysu w stosunkach francusko-niemieckich oraz tworzeniu dalszych porozumień. Susan Pedersen (</w:t>
      </w:r>
      <w:r w:rsidRPr="00D07ADC">
        <w:rPr>
          <w:i/>
        </w:rPr>
        <w:t>Back to League of Nations</w:t>
      </w:r>
      <w:r w:rsidRPr="00D07ADC">
        <w:t>, s. 1099, przyp. 18) z kolei podkreśla ważną rolę urzędników Ligi, w tym Drummonda, którzy wzmacniali koncyliacyjność Niemców.</w:t>
      </w:r>
    </w:p>
  </w:footnote>
  <w:footnote w:id="178">
    <w:p w:rsidR="00942133" w:rsidRPr="00D07ADC"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D07ADC">
        <w:rPr>
          <w:lang w:val="en-US"/>
        </w:rPr>
        <w:t xml:space="preserve">Z. Steiner, </w:t>
      </w:r>
      <w:r w:rsidRPr="00D07ADC">
        <w:rPr>
          <w:i/>
          <w:lang w:val="en-US"/>
        </w:rPr>
        <w:t>The Lights that Failed. European International History 1919</w:t>
      </w:r>
      <w:r>
        <w:rPr>
          <w:i/>
          <w:lang w:val="en-US"/>
        </w:rPr>
        <w:t>-</w:t>
      </w:r>
      <w:r w:rsidRPr="00D07ADC">
        <w:rPr>
          <w:i/>
          <w:lang w:val="en-US"/>
        </w:rPr>
        <w:t>1933</w:t>
      </w:r>
      <w:r w:rsidRPr="006E1AE0">
        <w:rPr>
          <w:lang w:val="en-US"/>
        </w:rPr>
        <w:t xml:space="preserve">, </w:t>
      </w:r>
      <w:r w:rsidRPr="00D07ADC">
        <w:rPr>
          <w:lang w:val="en-US"/>
        </w:rPr>
        <w:t>Oxford University Press 2006, s. 244.</w:t>
      </w:r>
    </w:p>
  </w:footnote>
  <w:footnote w:id="179">
    <w:p w:rsidR="00942133" w:rsidRPr="00D07ADC" w:rsidRDefault="00942133" w:rsidP="001E5F63">
      <w:pPr>
        <w:pStyle w:val="Tekstprzypisudolnego"/>
        <w:spacing w:line="23" w:lineRule="atLeast"/>
        <w:ind w:firstLine="0"/>
        <w:contextualSpacing/>
        <w:rPr>
          <w:lang w:val="fr-FR"/>
        </w:rPr>
      </w:pPr>
      <w:r w:rsidRPr="00D07ADC">
        <w:rPr>
          <w:rStyle w:val="Odwoanieprzypisudolnego"/>
          <w:rFonts w:ascii="Times New Roman" w:hAnsi="Times New Roman"/>
          <w:sz w:val="20"/>
        </w:rPr>
        <w:footnoteRef/>
      </w:r>
      <w:r w:rsidRPr="00D07ADC">
        <w:t xml:space="preserve"> Znany historyk francuski J.B. Duroselle część esencjonalną planu Dawesa określił jako „dziwną i technicznie absurdalną. Niemcy płaciły odszkodowania aliantom, ci zwracali długi wojenne Amerykanom, którzy pożyczali Niemcom pieniądze, służące w ostatecznym rachunku do płacenia odszkodowań”. </w:t>
      </w:r>
      <w:r w:rsidRPr="00D07ADC">
        <w:rPr>
          <w:lang w:val="fr-FR"/>
        </w:rPr>
        <w:t xml:space="preserve">J.B. Duroselle, </w:t>
      </w:r>
      <w:r w:rsidRPr="00D07ADC">
        <w:rPr>
          <w:i/>
          <w:lang w:val="fr-FR"/>
        </w:rPr>
        <w:t>De Wilson à Roosevelt. Politique extérieure des Etats-Unis 1913-1945</w:t>
      </w:r>
      <w:r w:rsidRPr="00D07ADC">
        <w:rPr>
          <w:lang w:val="fr-FR"/>
        </w:rPr>
        <w:t>, Paris 1960, s. 192.</w:t>
      </w:r>
    </w:p>
  </w:footnote>
  <w:footnote w:id="180">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J. Kiwerska, </w:t>
      </w:r>
      <w:r w:rsidRPr="00D07ADC">
        <w:rPr>
          <w:i/>
        </w:rPr>
        <w:t>Niemcy w polityce Stanów Zjednoczonych</w:t>
      </w:r>
      <w:r w:rsidRPr="00D07ADC">
        <w:t xml:space="preserve">, s. 235; szerzej tejże </w:t>
      </w:r>
      <w:r w:rsidRPr="00D07ADC">
        <w:rPr>
          <w:i/>
        </w:rPr>
        <w:t>Między izolacjonizmem a zaangażowaniem</w:t>
      </w:r>
      <w:r w:rsidRPr="00D07ADC">
        <w:t>, s. 183 i n.</w:t>
      </w:r>
    </w:p>
  </w:footnote>
  <w:footnote w:id="181">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J. Krasuski, </w:t>
      </w:r>
      <w:r w:rsidRPr="00D07ADC">
        <w:rPr>
          <w:i/>
        </w:rPr>
        <w:t>Stosunki</w:t>
      </w:r>
      <w:r w:rsidRPr="00D07ADC">
        <w:t xml:space="preserve">, s. 186; odmienne podejście liderów państwa do polityki zagranicznej było złośliwie komentowane przez samych Francuzów, np. George Clemencau: „Poincaré niczego nie zna i niczego nie rozumie, a Briand niczego nie zna, ale wszystko rozumie!” – przytacza G. Tabouis, </w:t>
      </w:r>
      <w:r w:rsidRPr="00D07ADC">
        <w:rPr>
          <w:i/>
        </w:rPr>
        <w:t>Vingt ans de „suspense” diplomatuque</w:t>
      </w:r>
      <w:r w:rsidRPr="00D07ADC">
        <w:t>, Paris 1958, (tłum. ros. Moskva 1960), s. 81.</w:t>
      </w:r>
    </w:p>
  </w:footnote>
  <w:footnote w:id="182">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A. Harasimowicz, </w:t>
      </w:r>
      <w:r w:rsidRPr="00D07ADC">
        <w:rPr>
          <w:i/>
        </w:rPr>
        <w:t>Polityka zagraniczna pierwszego rządu Partii Pracy w Wielkiej Brytanii w 1924 r</w:t>
      </w:r>
      <w:r w:rsidRPr="00D07ADC">
        <w:t>., Łódź 1981.</w:t>
      </w:r>
    </w:p>
  </w:footnote>
  <w:footnote w:id="183">
    <w:p w:rsidR="00942133" w:rsidRPr="00D07ADC"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D07ADC">
        <w:rPr>
          <w:lang w:val="en-US"/>
        </w:rPr>
        <w:t xml:space="preserve">Zob.m.in. Z. Steiner, </w:t>
      </w:r>
      <w:r w:rsidRPr="00D07ADC">
        <w:rPr>
          <w:i/>
          <w:lang w:val="en-US"/>
        </w:rPr>
        <w:t>The Lights that Failed</w:t>
      </w:r>
      <w:r w:rsidRPr="00D07ADC">
        <w:rPr>
          <w:lang w:val="en-US"/>
        </w:rPr>
        <w:t>, s. 28 i n., passim.</w:t>
      </w:r>
    </w:p>
  </w:footnote>
  <w:footnote w:id="184">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Lord Robert Cecil,jeden z aktywnych brytyjskich rzeczników idei ligowej już u jej narodzin przestrzegał Paula Mantoux – dyrektora sekcji politycznej Sekretariatu, aby Rada Ligi nie stała się jakimś podkomitetem Rady Najwyższej Sprzymierzonych czy też jakąś konferencją pokojową w permanencji. A tak w ogóle, to „lepiej zapobiegać konfliktom niż je później rozwiązywać” – ASDN, Fonds Mantoux, p. 31 – notatka Paula Mantoux z czerwca 1920 r. bez daty dziennej.</w:t>
      </w:r>
    </w:p>
  </w:footnote>
  <w:footnote w:id="185">
    <w:p w:rsidR="00942133" w:rsidRPr="00D07ADC"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D07ADC">
        <w:t xml:space="preserve"> Udane podsumowanie dorobku historiografii zob. </w:t>
      </w:r>
      <w:r w:rsidRPr="00D07ADC">
        <w:rPr>
          <w:lang w:val="en-US"/>
        </w:rPr>
        <w:t xml:space="preserve">J. Wright, </w:t>
      </w:r>
      <w:r w:rsidRPr="00D07ADC">
        <w:rPr>
          <w:i/>
          <w:lang w:val="en-US"/>
        </w:rPr>
        <w:t>Gustav Stresemann: Weimar’s Greatest Statesman</w:t>
      </w:r>
      <w:r w:rsidRPr="00D07ADC">
        <w:rPr>
          <w:lang w:val="en-US"/>
        </w:rPr>
        <w:t>, Oxford University Press 2002.</w:t>
      </w:r>
    </w:p>
  </w:footnote>
  <w:footnote w:id="186">
    <w:p w:rsidR="00942133" w:rsidRPr="00D07ADC" w:rsidRDefault="00942133" w:rsidP="001E5F63">
      <w:pPr>
        <w:shd w:val="clear" w:color="auto" w:fill="FFFFFF"/>
        <w:suppressAutoHyphens/>
        <w:spacing w:line="23" w:lineRule="atLeast"/>
        <w:ind w:firstLine="0"/>
        <w:contextualSpacing/>
        <w:rPr>
          <w:sz w:val="20"/>
          <w:szCs w:val="20"/>
          <w:lang w:val="fr-FR"/>
        </w:rPr>
      </w:pPr>
      <w:r w:rsidRPr="00D07ADC">
        <w:rPr>
          <w:rStyle w:val="Odwoanieprzypisudolnego"/>
          <w:rFonts w:ascii="Times New Roman" w:hAnsi="Times New Roman"/>
          <w:sz w:val="20"/>
          <w:szCs w:val="20"/>
        </w:rPr>
        <w:footnoteRef/>
      </w:r>
      <w:r>
        <w:rPr>
          <w:sz w:val="20"/>
          <w:szCs w:val="20"/>
          <w:lang w:val="fr-FR"/>
        </w:rPr>
        <w:t>J.</w:t>
      </w:r>
      <w:r w:rsidRPr="00D07ADC">
        <w:rPr>
          <w:sz w:val="20"/>
          <w:szCs w:val="20"/>
          <w:lang w:val="fr-FR"/>
        </w:rPr>
        <w:t>O</w:t>
      </w:r>
      <w:r w:rsidRPr="006E1AE0">
        <w:rPr>
          <w:sz w:val="20"/>
          <w:szCs w:val="20"/>
          <w:lang w:val="fr-FR"/>
        </w:rPr>
        <w:t xml:space="preserve">., Seances plénière, 1924, </w:t>
      </w:r>
      <w:r>
        <w:rPr>
          <w:sz w:val="20"/>
          <w:szCs w:val="20"/>
          <w:lang w:val="fr-FR"/>
        </w:rPr>
        <w:t>s. 42</w:t>
      </w:r>
      <w:r w:rsidRPr="006E1AE0">
        <w:rPr>
          <w:sz w:val="20"/>
          <w:szCs w:val="20"/>
          <w:lang w:val="fr-FR"/>
        </w:rPr>
        <w:t>-43.</w:t>
      </w:r>
    </w:p>
  </w:footnote>
  <w:footnote w:id="187">
    <w:p w:rsidR="00942133" w:rsidRPr="00D07ADC" w:rsidRDefault="00942133" w:rsidP="001E5F63">
      <w:pPr>
        <w:shd w:val="clear" w:color="auto" w:fill="FFFFFF"/>
        <w:tabs>
          <w:tab w:val="left" w:pos="542"/>
        </w:tabs>
        <w:suppressAutoHyphens/>
        <w:spacing w:line="23" w:lineRule="atLeast"/>
        <w:ind w:firstLine="0"/>
        <w:contextualSpacing/>
        <w:rPr>
          <w:sz w:val="20"/>
          <w:szCs w:val="20"/>
        </w:rPr>
      </w:pPr>
      <w:r w:rsidRPr="00D07ADC">
        <w:rPr>
          <w:rStyle w:val="Odwoanieprzypisudolnego"/>
          <w:rFonts w:ascii="Times New Roman" w:hAnsi="Times New Roman"/>
          <w:sz w:val="20"/>
          <w:szCs w:val="20"/>
        </w:rPr>
        <w:footnoteRef/>
      </w:r>
      <w:r w:rsidRPr="00D07ADC">
        <w:rPr>
          <w:sz w:val="20"/>
          <w:szCs w:val="20"/>
        </w:rPr>
        <w:t xml:space="preserve"> ANN, AB, sygn. 1353, k. 24 (K. Olszowski do min. </w:t>
      </w:r>
      <w:r w:rsidRPr="00D07ADC">
        <w:rPr>
          <w:bCs/>
          <w:sz w:val="20"/>
          <w:szCs w:val="20"/>
        </w:rPr>
        <w:t xml:space="preserve">M. Seydy, </w:t>
      </w:r>
      <w:r w:rsidRPr="00D07ADC">
        <w:rPr>
          <w:sz w:val="20"/>
          <w:szCs w:val="20"/>
        </w:rPr>
        <w:t>Berlin 11 VIII 1923); tamże, k. 25 (Instrukcja Naczelnika Wydziału Północnego, MSZ, Warszawa 18 VIII 1923 r.).</w:t>
      </w:r>
    </w:p>
  </w:footnote>
  <w:footnote w:id="188">
    <w:p w:rsidR="00942133" w:rsidRPr="00D07ADC" w:rsidRDefault="00942133" w:rsidP="001E5F63">
      <w:pPr>
        <w:pStyle w:val="Tekstprzypisudolnego"/>
        <w:spacing w:line="23" w:lineRule="atLeast"/>
        <w:ind w:firstLine="0"/>
        <w:contextualSpacing/>
        <w:rPr>
          <w:i/>
          <w:lang w:val="de-DE"/>
        </w:rPr>
      </w:pPr>
      <w:r w:rsidRPr="00D07ADC">
        <w:rPr>
          <w:rStyle w:val="Odwoanieprzypisudolnego"/>
          <w:rFonts w:ascii="Times New Roman" w:hAnsi="Times New Roman"/>
          <w:sz w:val="20"/>
        </w:rPr>
        <w:footnoteRef/>
      </w:r>
      <w:r w:rsidRPr="00D07ADC">
        <w:rPr>
          <w:lang w:val="de-DE"/>
        </w:rPr>
        <w:t xml:space="preserve"> Ch. Kimmich, </w:t>
      </w:r>
      <w:r w:rsidRPr="00D07ADC">
        <w:rPr>
          <w:i/>
          <w:lang w:val="de-DE"/>
        </w:rPr>
        <w:t>Germany</w:t>
      </w:r>
      <w:r w:rsidRPr="00D07ADC">
        <w:rPr>
          <w:lang w:val="de-DE"/>
        </w:rPr>
        <w:t xml:space="preserve">,s. 36; J. Wintzer, </w:t>
      </w:r>
      <w:r w:rsidRPr="00D07ADC">
        <w:rPr>
          <w:i/>
          <w:iCs/>
          <w:lang w:val="de-DE"/>
        </w:rPr>
        <w:t>Deutschland und der Völkerbund</w:t>
      </w:r>
      <w:r w:rsidRPr="00D07ADC">
        <w:rPr>
          <w:iCs/>
          <w:lang w:val="de-DE"/>
        </w:rPr>
        <w:t>,</w:t>
      </w:r>
      <w:r w:rsidRPr="00D07ADC">
        <w:rPr>
          <w:lang w:val="de-DE"/>
        </w:rPr>
        <w:t xml:space="preserve"> s.135.</w:t>
      </w:r>
    </w:p>
  </w:footnote>
  <w:footnote w:id="189">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Francuzi, z udziałem wskrzesiciela nowożytnych olimpiad Pierre de Coubertina „pozbywali” się ważnych rywali, którzy w 1912 r. byli lepsi o 11 medali (Niemcy zdobyli 25). W Paryżu z 38 medalami Francuzi awansowali na drugie miejsce po bezkonkurencyjnych Stanach Zjednoczonych. Ich 99 medali miało też swoją wymowę społeczno-polityczną, aczkolwiek nieporównywalną </w:t>
      </w:r>
      <w:r w:rsidRPr="006E1AE0">
        <w:t>do współczesności.</w:t>
      </w:r>
    </w:p>
  </w:footnote>
  <w:footnote w:id="190">
    <w:p w:rsidR="00942133" w:rsidRPr="00D07ADC"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D07ADC">
        <w:t xml:space="preserve"> Dla Anny Cienciały min. Austen Chamberlain to „największy brytyjski mąż stanu” okresu międzywojennego, który lepiej rozumiał mentalność i potrzeby Francji, a jednocześnie nie ufał Niemcom A.M. Cienciała, </w:t>
      </w:r>
      <w:r w:rsidRPr="00D07ADC">
        <w:rPr>
          <w:i/>
        </w:rPr>
        <w:t>Nastawienie Austena Chamberlaina do Polski w latach 1924</w:t>
      </w:r>
      <w:r>
        <w:rPr>
          <w:i/>
        </w:rPr>
        <w:t>-</w:t>
      </w:r>
      <w:r w:rsidRPr="00D07ADC">
        <w:rPr>
          <w:i/>
        </w:rPr>
        <w:t>1933</w:t>
      </w:r>
      <w:r w:rsidRPr="00D07ADC">
        <w:t xml:space="preserve">, [w:] </w:t>
      </w:r>
      <w:r w:rsidRPr="00D07ADC">
        <w:rPr>
          <w:i/>
        </w:rPr>
        <w:t xml:space="preserve">Polska. </w:t>
      </w:r>
      <w:r w:rsidRPr="00D07ADC">
        <w:rPr>
          <w:i/>
          <w:lang w:val="en-US"/>
        </w:rPr>
        <w:t>Niemcy.Europa</w:t>
      </w:r>
      <w:r w:rsidRPr="00D07ADC">
        <w:rPr>
          <w:lang w:val="en-US"/>
        </w:rPr>
        <w:t>, red. A. Czubiński, Poznań 1977, s. 480, 494.</w:t>
      </w:r>
    </w:p>
  </w:footnote>
  <w:footnote w:id="191">
    <w:p w:rsidR="00942133" w:rsidRPr="00D07ADC"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D07ADC">
        <w:rPr>
          <w:lang w:val="en-US"/>
        </w:rPr>
        <w:t xml:space="preserve"> Szerzej S. Sierpowski, </w:t>
      </w:r>
      <w:r w:rsidRPr="00D07ADC">
        <w:rPr>
          <w:i/>
          <w:lang w:val="en-US"/>
        </w:rPr>
        <w:t>Liga Narodów w latach 1919-1926</w:t>
      </w:r>
      <w:r w:rsidRPr="00D07ADC">
        <w:rPr>
          <w:lang w:val="en-US"/>
        </w:rPr>
        <w:t xml:space="preserve">, s. 320 i n.; P. Clavin, J.W. Wessels, </w:t>
      </w:r>
      <w:r w:rsidRPr="00D07ADC">
        <w:rPr>
          <w:i/>
          <w:lang w:val="en-US"/>
        </w:rPr>
        <w:t>Transnationalism and the League of Nations: Understanding the Work of Its Economic and Financial Organisation</w:t>
      </w:r>
      <w:r w:rsidRPr="00D07ADC">
        <w:rPr>
          <w:lang w:val="en-US"/>
        </w:rPr>
        <w:t xml:space="preserve">, </w:t>
      </w:r>
      <w:r w:rsidRPr="00D07ADC">
        <w:rPr>
          <w:iCs/>
          <w:lang w:val="en-US"/>
        </w:rPr>
        <w:t>Contemporary European History</w:t>
      </w:r>
      <w:r w:rsidRPr="00D07ADC">
        <w:rPr>
          <w:lang w:val="en-US"/>
        </w:rPr>
        <w:t>14 (2005), 4, s. 465-492</w:t>
      </w:r>
    </w:p>
  </w:footnote>
  <w:footnote w:id="192">
    <w:p w:rsidR="00942133" w:rsidRPr="00D07ADC" w:rsidRDefault="00942133" w:rsidP="001E5F63">
      <w:pPr>
        <w:pStyle w:val="Tekstprzypisudolnego"/>
        <w:spacing w:line="23" w:lineRule="atLeast"/>
        <w:ind w:firstLine="0"/>
        <w:contextualSpacing/>
        <w:rPr>
          <w:lang w:val="de-DE"/>
        </w:rPr>
      </w:pPr>
      <w:r w:rsidRPr="00D07ADC">
        <w:rPr>
          <w:rStyle w:val="Odwoanieprzypisudolnego"/>
          <w:rFonts w:ascii="Times New Roman" w:hAnsi="Times New Roman"/>
          <w:sz w:val="20"/>
        </w:rPr>
        <w:footnoteRef/>
      </w:r>
      <w:r w:rsidRPr="00D07ADC">
        <w:t xml:space="preserve"> O planie Dawesa wzmiankował raport reprezentanta Brazylii Mello Franco przedstawiony podczas 34 sesji Rady 9 czerwca 1925 r. Mówiono wówczas o dobrowolnie przez Niemcy przyjętych zobowiązaniach wypełnienia płatności reparacyjnych (J.O., P.V.C. XXXIV, s. 862, 948). Jest to jedyna wzmianka merytoryczna w niemal tysiąc stron liczącym </w:t>
      </w:r>
      <w:r w:rsidRPr="00D07ADC">
        <w:rPr>
          <w:i/>
        </w:rPr>
        <w:t xml:space="preserve">Annuaire de la Société des Nations. </w:t>
      </w:r>
      <w:r w:rsidRPr="00D07ADC">
        <w:rPr>
          <w:i/>
          <w:lang w:val="de-DE"/>
        </w:rPr>
        <w:t>Première année</w:t>
      </w:r>
      <w:r w:rsidRPr="00D07ADC">
        <w:rPr>
          <w:lang w:val="de-DE"/>
        </w:rPr>
        <w:t>, s. 359.</w:t>
      </w:r>
    </w:p>
  </w:footnote>
  <w:footnote w:id="193">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rPr>
          <w:color w:val="000000"/>
          <w:lang w:val="de-DE"/>
        </w:rPr>
        <w:t xml:space="preserve">V. von Rheinbaben, </w:t>
      </w:r>
      <w:r w:rsidRPr="00D07ADC">
        <w:rPr>
          <w:i/>
          <w:color w:val="000000"/>
          <w:lang w:val="de-DE"/>
        </w:rPr>
        <w:t>Von Versailles zu Freiheit</w:t>
      </w:r>
      <w:r w:rsidRPr="00D07ADC">
        <w:rPr>
          <w:color w:val="000000"/>
          <w:lang w:val="de-DE"/>
        </w:rPr>
        <w:t xml:space="preserve">, Hamburg 1928, s. 147; obszerniej zob. </w:t>
      </w:r>
      <w:r w:rsidRPr="00D07ADC">
        <w:rPr>
          <w:color w:val="000000"/>
        </w:rPr>
        <w:t xml:space="preserve">J. Wintzer, </w:t>
      </w:r>
      <w:r w:rsidRPr="00D07ADC">
        <w:rPr>
          <w:i/>
          <w:iCs/>
        </w:rPr>
        <w:t>Deutschland und der Völkerbund</w:t>
      </w:r>
      <w:r w:rsidRPr="00D07ADC">
        <w:rPr>
          <w:iCs/>
        </w:rPr>
        <w:t xml:space="preserve">, s. </w:t>
      </w:r>
      <w:r w:rsidRPr="00D07ADC">
        <w:rPr>
          <w:color w:val="000000"/>
          <w:spacing w:val="8"/>
        </w:rPr>
        <w:t>129 i n.</w:t>
      </w:r>
    </w:p>
  </w:footnote>
  <w:footnote w:id="194">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Do kwestii dotyczących Zagłębia Saary, przedstawionych m.in. w pracy </w:t>
      </w:r>
      <w:r w:rsidRPr="00D07ADC">
        <w:rPr>
          <w:i/>
        </w:rPr>
        <w:t>Liga Narodów w latach 1919-1926</w:t>
      </w:r>
      <w:r w:rsidRPr="00D07ADC">
        <w:t>, s. 144 i n. trzeba dodać istotną z niemieckiego punktu widzenia skargę z 11 sierpnia 1924 r. o faworyzowaniu w Zagłębiu nauczania w języku francuskim. Chociaż badania nie potwierdziły zasadności tej skargi, co Rada skonstatowała 11 grudnia 1924 r. (J.O., P.V.C. XXXII, s. 247), to jednak głównie przedstawiciele Wielkiej Brytanii oraz Szwecji podtrzymywali pogląd, że administrowanie tym obszarem przez Zarząd pod francuskim przewodnictwem nie jest bez zarzutu.</w:t>
      </w:r>
    </w:p>
  </w:footnote>
  <w:footnote w:id="195">
    <w:p w:rsidR="00942133" w:rsidRPr="00D07ADC" w:rsidRDefault="00942133" w:rsidP="001E5F63">
      <w:pPr>
        <w:shd w:val="clear" w:color="auto" w:fill="FFFFFF"/>
        <w:suppressAutoHyphens/>
        <w:spacing w:line="23" w:lineRule="atLeast"/>
        <w:ind w:firstLine="0"/>
        <w:contextualSpacing/>
        <w:rPr>
          <w:sz w:val="20"/>
          <w:szCs w:val="20"/>
        </w:rPr>
      </w:pPr>
      <w:r w:rsidRPr="00D07ADC">
        <w:rPr>
          <w:rStyle w:val="Odwoanieprzypisudolnego"/>
          <w:rFonts w:ascii="Times New Roman" w:hAnsi="Times New Roman"/>
          <w:sz w:val="20"/>
          <w:szCs w:val="20"/>
        </w:rPr>
        <w:footnoteRef/>
      </w:r>
      <w:r w:rsidRPr="00D07ADC">
        <w:rPr>
          <w:sz w:val="20"/>
          <w:szCs w:val="20"/>
        </w:rPr>
        <w:t xml:space="preserve"> D. i J. Michalowie,</w:t>
      </w:r>
      <w:r w:rsidRPr="00D07ADC">
        <w:rPr>
          <w:i/>
          <w:sz w:val="20"/>
          <w:szCs w:val="20"/>
        </w:rPr>
        <w:t>Hemingway reporter</w:t>
      </w:r>
      <w:r w:rsidRPr="00D07ADC">
        <w:rPr>
          <w:sz w:val="20"/>
          <w:szCs w:val="20"/>
        </w:rPr>
        <w:t>,Katowice 1986,s. 12.</w:t>
      </w:r>
    </w:p>
  </w:footnote>
  <w:footnote w:id="196">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Szerzej S. Sierpowski</w:t>
      </w:r>
      <w:r w:rsidRPr="00D07ADC">
        <w:rPr>
          <w:i/>
        </w:rPr>
        <w:t>, Problem kolonialny w marszu Niemiec do Ligi Narodów</w:t>
      </w:r>
      <w:r w:rsidRPr="00D07ADC">
        <w:t xml:space="preserve">, [w:] </w:t>
      </w:r>
      <w:r w:rsidRPr="00D07ADC">
        <w:rPr>
          <w:i/>
        </w:rPr>
        <w:t>W kręgu idei, polityki i wojska</w:t>
      </w:r>
      <w:r w:rsidRPr="00D07ADC">
        <w:t>, red. T. Sikorski, H. Walczak</w:t>
      </w:r>
      <w:r>
        <w:t>,</w:t>
      </w:r>
      <w:r w:rsidRPr="00D07ADC">
        <w:t xml:space="preserve"> A. Wątor, Szczecin 2009, s. 317 i n.</w:t>
      </w:r>
    </w:p>
  </w:footnote>
  <w:footnote w:id="197">
    <w:p w:rsidR="00942133" w:rsidRPr="00D07ADC" w:rsidRDefault="00942133" w:rsidP="001E5F63">
      <w:pPr>
        <w:autoSpaceDE w:val="0"/>
        <w:autoSpaceDN w:val="0"/>
        <w:adjustRightInd w:val="0"/>
        <w:spacing w:line="23" w:lineRule="atLeast"/>
        <w:ind w:firstLine="0"/>
        <w:contextualSpacing/>
        <w:rPr>
          <w:color w:val="000000"/>
          <w:sz w:val="20"/>
          <w:szCs w:val="20"/>
        </w:rPr>
      </w:pPr>
      <w:r w:rsidRPr="00D07ADC">
        <w:rPr>
          <w:rStyle w:val="Odwoanieprzypisudolnego"/>
          <w:rFonts w:ascii="Times New Roman" w:hAnsi="Times New Roman"/>
          <w:sz w:val="20"/>
          <w:szCs w:val="20"/>
        </w:rPr>
        <w:footnoteRef/>
      </w:r>
      <w:r w:rsidRPr="00D07ADC">
        <w:rPr>
          <w:sz w:val="20"/>
          <w:szCs w:val="20"/>
        </w:rPr>
        <w:t xml:space="preserve"> System ochrony obejmował w sumie 16 państw, w tym Polskę, która jako pierwsza, na kilka godzin przed podpisaniem traktatu wersalskiego została zobowiązana do jego przyjęcia. Literatura na ten temat jest olbrzymia, a i oceny, zależne od punktu widzenia, wyjątkowo trudne do synchronizacji, por. m.in. S. Sierpowski, </w:t>
      </w:r>
      <w:r w:rsidRPr="00D07ADC">
        <w:rPr>
          <w:i/>
          <w:sz w:val="20"/>
          <w:szCs w:val="20"/>
        </w:rPr>
        <w:t>Mniejszości narodowe jako instrument polityki międzynarodowej 1919</w:t>
      </w:r>
      <w:r>
        <w:rPr>
          <w:i/>
          <w:sz w:val="20"/>
          <w:szCs w:val="20"/>
        </w:rPr>
        <w:t>-</w:t>
      </w:r>
      <w:r w:rsidRPr="00D07ADC">
        <w:rPr>
          <w:i/>
          <w:sz w:val="20"/>
          <w:szCs w:val="20"/>
        </w:rPr>
        <w:t>1939</w:t>
      </w:r>
      <w:r w:rsidRPr="00D07ADC">
        <w:rPr>
          <w:sz w:val="20"/>
          <w:szCs w:val="20"/>
        </w:rPr>
        <w:t>, Poznań 1986;</w:t>
      </w:r>
      <w:r w:rsidRPr="00D07ADC">
        <w:rPr>
          <w:color w:val="000000"/>
          <w:sz w:val="20"/>
          <w:szCs w:val="20"/>
        </w:rPr>
        <w:t xml:space="preserve"> C. Fink, </w:t>
      </w:r>
      <w:r w:rsidRPr="00D07ADC">
        <w:rPr>
          <w:i/>
          <w:iCs/>
          <w:color w:val="000000"/>
          <w:sz w:val="20"/>
          <w:szCs w:val="20"/>
        </w:rPr>
        <w:t>Defending the Rights of Others: The Great Powers, the Jews, and International Minority Protection, 1878-1938</w:t>
      </w:r>
      <w:r w:rsidRPr="00D07ADC">
        <w:rPr>
          <w:iCs/>
          <w:color w:val="000000"/>
          <w:sz w:val="20"/>
          <w:szCs w:val="20"/>
        </w:rPr>
        <w:t xml:space="preserve">, </w:t>
      </w:r>
      <w:r w:rsidRPr="00D07ADC">
        <w:rPr>
          <w:color w:val="000000"/>
          <w:sz w:val="20"/>
          <w:szCs w:val="20"/>
        </w:rPr>
        <w:t>New York-Cambridge 2004.</w:t>
      </w:r>
    </w:p>
    <w:p w:rsidR="00942133" w:rsidRPr="00D07ADC" w:rsidRDefault="00942133" w:rsidP="001E5F63">
      <w:pPr>
        <w:autoSpaceDE w:val="0"/>
        <w:autoSpaceDN w:val="0"/>
        <w:adjustRightInd w:val="0"/>
        <w:spacing w:line="23" w:lineRule="atLeast"/>
        <w:ind w:firstLine="0"/>
        <w:contextualSpacing/>
        <w:rPr>
          <w:color w:val="000000"/>
          <w:sz w:val="20"/>
          <w:szCs w:val="20"/>
        </w:rPr>
      </w:pPr>
    </w:p>
    <w:p w:rsidR="00942133" w:rsidRPr="00D07ADC" w:rsidRDefault="00942133" w:rsidP="001E5F63">
      <w:pPr>
        <w:pStyle w:val="Tekstprzypisudolnego"/>
        <w:spacing w:line="23" w:lineRule="atLeast"/>
        <w:ind w:firstLine="0"/>
        <w:contextualSpacing/>
      </w:pPr>
    </w:p>
  </w:footnote>
  <w:footnote w:id="198">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Szerzej S. Sierpowski, </w:t>
      </w:r>
      <w:r w:rsidRPr="00D07ADC">
        <w:rPr>
          <w:i/>
        </w:rPr>
        <w:t>Liga Narodów w latach 1919</w:t>
      </w:r>
      <w:r>
        <w:rPr>
          <w:i/>
        </w:rPr>
        <w:t>-</w:t>
      </w:r>
      <w:r w:rsidRPr="00D07ADC">
        <w:rPr>
          <w:i/>
        </w:rPr>
        <w:t>1926</w:t>
      </w:r>
      <w:r w:rsidRPr="00D07ADC">
        <w:t>, s. 206 i n.</w:t>
      </w:r>
    </w:p>
  </w:footnote>
  <w:footnote w:id="199">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Podsycane przez zainteresowane rządy kontrowersje w łonie mniejszości, reprezentujących kilkanaście grup z kilku państw, spowodowały, że organizowane od 1925 r. w Genewie kongresy mniejszościowe nie odegrały takiej roli propagandowej i faktycznej</w:t>
      </w:r>
      <w:r>
        <w:t>,</w:t>
      </w:r>
      <w:r w:rsidRPr="00D07ADC">
        <w:t xml:space="preserve"> jakiej się spodziewano, zob. R. Michaelsen</w:t>
      </w:r>
      <w:r w:rsidRPr="00D07ADC">
        <w:rPr>
          <w:i/>
        </w:rPr>
        <w:t>, Der Europäische Nationalitäten Kongress 1925</w:t>
      </w:r>
      <w:r>
        <w:rPr>
          <w:i/>
        </w:rPr>
        <w:t>-</w:t>
      </w:r>
      <w:r w:rsidRPr="00D07ADC">
        <w:rPr>
          <w:i/>
        </w:rPr>
        <w:t>1928</w:t>
      </w:r>
      <w:r w:rsidRPr="006E1AE0">
        <w:t xml:space="preserve">, </w:t>
      </w:r>
      <w:r w:rsidRPr="00D07ADC">
        <w:t xml:space="preserve">Frankfurt 1984; S. Sierpowski, </w:t>
      </w:r>
      <w:r w:rsidRPr="00D07ADC">
        <w:rPr>
          <w:i/>
        </w:rPr>
        <w:t xml:space="preserve">Polsko-niemieckie spory na forum kongresów mniejszościowych </w:t>
      </w:r>
      <w:r w:rsidRPr="00D07ADC">
        <w:t>(</w:t>
      </w:r>
      <w:r w:rsidRPr="00D07ADC">
        <w:rPr>
          <w:i/>
        </w:rPr>
        <w:t>1925</w:t>
      </w:r>
      <w:r>
        <w:rPr>
          <w:i/>
        </w:rPr>
        <w:t>-</w:t>
      </w:r>
      <w:r w:rsidRPr="00D07ADC">
        <w:rPr>
          <w:i/>
        </w:rPr>
        <w:t>1927</w:t>
      </w:r>
      <w:r w:rsidRPr="00D07ADC">
        <w:t xml:space="preserve">) [w:] </w:t>
      </w:r>
      <w:r w:rsidRPr="00D07ADC">
        <w:rPr>
          <w:i/>
        </w:rPr>
        <w:t>Polacy i Niemcy. Dziesięć wieków sąsiedztwa</w:t>
      </w:r>
      <w:r w:rsidRPr="00D07ADC">
        <w:t>, red. A. Czubiński, Warszawa 1987, s. 323 i n.</w:t>
      </w:r>
    </w:p>
  </w:footnote>
  <w:footnote w:id="200">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Zob. m.in. P. Mikietyński, </w:t>
      </w:r>
      <w:r w:rsidRPr="00D07ADC">
        <w:rPr>
          <w:i/>
        </w:rPr>
        <w:t xml:space="preserve">Niemiecka droga ku Mitteleuropie. Polityka II Rzeszy wobec Królestwa Polskiego </w:t>
      </w:r>
      <w:r w:rsidRPr="00D07ADC">
        <w:t>(</w:t>
      </w:r>
      <w:r w:rsidRPr="00D07ADC">
        <w:rPr>
          <w:i/>
        </w:rPr>
        <w:t>1914</w:t>
      </w:r>
      <w:r>
        <w:rPr>
          <w:i/>
        </w:rPr>
        <w:t>-</w:t>
      </w:r>
      <w:r w:rsidRPr="00D07ADC">
        <w:rPr>
          <w:i/>
        </w:rPr>
        <w:t>1916</w:t>
      </w:r>
      <w:r w:rsidRPr="00D07ADC">
        <w:t>), Kraków 2009.</w:t>
      </w:r>
    </w:p>
  </w:footnote>
  <w:footnote w:id="201">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Por. m.in. S. Sierpowski, </w:t>
      </w:r>
      <w:r w:rsidRPr="00D07ADC">
        <w:rPr>
          <w:i/>
        </w:rPr>
        <w:t>Mniejszość niemiecka na tle aktywności mniejszościowej Ligi Narodów</w:t>
      </w:r>
      <w:r w:rsidRPr="00D07ADC">
        <w:t xml:space="preserve">, [w:] </w:t>
      </w:r>
      <w:r w:rsidRPr="00D07ADC">
        <w:rPr>
          <w:i/>
        </w:rPr>
        <w:t>Polska – Polacy – mniejszości narodowe</w:t>
      </w:r>
      <w:r w:rsidRPr="00D07ADC">
        <w:t>, red. W. Wrzesiński, Wrocław 1992, s. 77 i n.</w:t>
      </w:r>
    </w:p>
  </w:footnote>
  <w:footnote w:id="202">
    <w:p w:rsidR="00942133" w:rsidRPr="000F486B" w:rsidRDefault="00942133" w:rsidP="001E5F63">
      <w:pPr>
        <w:spacing w:line="23" w:lineRule="atLeast"/>
        <w:ind w:firstLine="0"/>
        <w:contextualSpacing/>
      </w:pPr>
      <w:r w:rsidRPr="00D07ADC">
        <w:rPr>
          <w:rStyle w:val="Odwoanieprzypisudolnego"/>
          <w:rFonts w:ascii="Times New Roman" w:hAnsi="Times New Roman"/>
          <w:sz w:val="20"/>
          <w:szCs w:val="20"/>
        </w:rPr>
        <w:footnoteRef/>
      </w:r>
      <w:r w:rsidRPr="002F5343">
        <w:rPr>
          <w:sz w:val="20"/>
          <w:szCs w:val="20"/>
        </w:rPr>
        <w:t xml:space="preserve"> B. Knauss, </w:t>
      </w:r>
      <w:r w:rsidRPr="002F5343">
        <w:rPr>
          <w:i/>
          <w:sz w:val="20"/>
          <w:szCs w:val="20"/>
        </w:rPr>
        <w:t xml:space="preserve">Politik ohne Waffen. </w:t>
      </w:r>
      <w:r w:rsidRPr="000F486B">
        <w:rPr>
          <w:i/>
          <w:sz w:val="20"/>
          <w:szCs w:val="20"/>
        </w:rPr>
        <w:t>Dargestellt an der Diplomatie Stresemann</w:t>
      </w:r>
      <w:r w:rsidRPr="000F486B">
        <w:rPr>
          <w:sz w:val="20"/>
          <w:szCs w:val="20"/>
        </w:rPr>
        <w:t xml:space="preserve">, Zeitschrift für Politik 10 (1963), s. 253; P. Towle, </w:t>
      </w:r>
      <w:r w:rsidRPr="000F486B">
        <w:rPr>
          <w:i/>
          <w:sz w:val="20"/>
          <w:szCs w:val="20"/>
        </w:rPr>
        <w:t>Forced Disarmament in the 1920s and After</w:t>
      </w:r>
      <w:r w:rsidRPr="000F486B">
        <w:rPr>
          <w:sz w:val="20"/>
          <w:szCs w:val="20"/>
        </w:rPr>
        <w:t xml:space="preserve">, </w:t>
      </w:r>
      <w:r w:rsidRPr="000F486B">
        <w:rPr>
          <w:iCs/>
          <w:sz w:val="20"/>
          <w:szCs w:val="20"/>
        </w:rPr>
        <w:t>Journal of Strategic Studies</w:t>
      </w:r>
      <w:r w:rsidRPr="000F486B">
        <w:rPr>
          <w:sz w:val="20"/>
          <w:szCs w:val="20"/>
        </w:rPr>
        <w:t>29 (2006), 2, s. 323-344.</w:t>
      </w:r>
    </w:p>
  </w:footnote>
  <w:footnote w:id="203">
    <w:p w:rsidR="00942133" w:rsidRPr="00D07ADC"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D07ADC">
        <w:t xml:space="preserve"> To wówczas – pisze A. Czubiński – wokół Hindenburga rozpętano wielką akcję propagandową. Budowano jego pomniki i sławiono jako męża opatrznościowego. Napisano około półtora miliona wierszy sławiących zwycięstwa niemieckie i zohydzających przeciwnika wojennego, por. </w:t>
      </w:r>
      <w:r w:rsidRPr="00D07ADC">
        <w:rPr>
          <w:lang w:val="en-US"/>
        </w:rPr>
        <w:t xml:space="preserve">A. Czubiński, </w:t>
      </w:r>
      <w:r w:rsidRPr="00D07ADC">
        <w:rPr>
          <w:i/>
          <w:lang w:val="en-US"/>
        </w:rPr>
        <w:t>Studia ostatnie</w:t>
      </w:r>
      <w:r w:rsidRPr="00D07ADC">
        <w:rPr>
          <w:lang w:val="en-US"/>
        </w:rPr>
        <w:t>, s. 38, 112.</w:t>
      </w:r>
    </w:p>
  </w:footnote>
  <w:footnote w:id="204">
    <w:p w:rsidR="00942133" w:rsidRPr="00D07ADC"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D07ADC">
        <w:rPr>
          <w:lang w:val="en-US"/>
        </w:rPr>
        <w:t xml:space="preserve"> J. Wright, </w:t>
      </w:r>
      <w:r w:rsidRPr="00D07ADC">
        <w:rPr>
          <w:i/>
          <w:lang w:val="en-US"/>
        </w:rPr>
        <w:t>Gustav Stresemann: Weimar’s Greatest Statesman</w:t>
      </w:r>
      <w:r w:rsidRPr="00D07ADC">
        <w:rPr>
          <w:lang w:val="en-US"/>
        </w:rPr>
        <w:t xml:space="preserve">, s. 296. </w:t>
      </w:r>
    </w:p>
  </w:footnote>
  <w:footnote w:id="205">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T. Kotłowski, </w:t>
      </w:r>
      <w:r w:rsidRPr="00D07ADC">
        <w:rPr>
          <w:i/>
        </w:rPr>
        <w:t>Wybory prezydenckie w Niemczech w 1925 roku</w:t>
      </w:r>
      <w:r w:rsidRPr="00D07ADC">
        <w:t>, Studia Historica Slavo-Germanica 16 (1991), s. 159 i n.</w:t>
      </w:r>
    </w:p>
  </w:footnote>
  <w:footnote w:id="206">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ASDN, Fonds Paul Mantoux, p. 31, Mantoux do Comerta 29.04.1925; należy zauważyć, że Comert, dyplomata o dużej eksperiencji międzynarodowej, zaliczany był zdaniem Franciszka Sokala do tych urzędników Sekretariatu, na którego instytucje krajowe wpływu nie miały, zob. AAN, AB, sygn. 1307, k. 176 (Sokal do p. Ministra, Genewa 28 stycznia 1926 r.).</w:t>
      </w:r>
    </w:p>
  </w:footnote>
  <w:footnote w:id="207">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Ch. Kimmich, </w:t>
      </w:r>
      <w:r w:rsidRPr="00D07ADC">
        <w:rPr>
          <w:i/>
        </w:rPr>
        <w:t>Germany</w:t>
      </w:r>
      <w:r w:rsidRPr="00D07ADC">
        <w:t>, s. 76-77.</w:t>
      </w:r>
    </w:p>
  </w:footnote>
  <w:footnote w:id="208">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Jerzy Krasuski (</w:t>
      </w:r>
      <w:r w:rsidRPr="00D07ADC">
        <w:rPr>
          <w:i/>
        </w:rPr>
        <w:t>Stosunki polsko-niemieckie</w:t>
      </w:r>
      <w:r w:rsidRPr="00D07ADC">
        <w:t xml:space="preserve">, s. 185) widział w polityce Herriota-Brianda „kapitulanctwo pokryte frazeologią pacyfistyczną”, szerzej zob. </w:t>
      </w:r>
      <w:r w:rsidRPr="00D07ADC">
        <w:rPr>
          <w:lang w:val="fr-FR"/>
        </w:rPr>
        <w:t xml:space="preserve">N. Ingram, </w:t>
      </w:r>
      <w:r w:rsidRPr="00D07ADC">
        <w:rPr>
          <w:i/>
          <w:lang w:val="fr-FR"/>
        </w:rPr>
        <w:t>Les pacifistes et Aristide Briand</w:t>
      </w:r>
      <w:r w:rsidRPr="00D07ADC">
        <w:rPr>
          <w:lang w:val="fr-FR"/>
        </w:rPr>
        <w:t xml:space="preserve">, [w:] </w:t>
      </w:r>
      <w:r w:rsidRPr="00273B13">
        <w:rPr>
          <w:i/>
          <w:lang w:val="fr-FR"/>
        </w:rPr>
        <w:t>Aristide Briand,</w:t>
      </w:r>
      <w:r w:rsidRPr="00D07ADC">
        <w:rPr>
          <w:i/>
          <w:lang w:val="fr-FR"/>
        </w:rPr>
        <w:t>la Société des Nations et l’Europe 1919-1932</w:t>
      </w:r>
      <w:r w:rsidRPr="00D07ADC">
        <w:rPr>
          <w:lang w:val="fr-FR"/>
        </w:rPr>
        <w:t xml:space="preserve">, red. </w:t>
      </w:r>
      <w:r w:rsidRPr="00D07ADC">
        <w:t>J. Bariéty, Strasbourg 2007, s. 200 i n.</w:t>
      </w:r>
    </w:p>
  </w:footnote>
  <w:footnote w:id="209">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Ostrożnie należy podejść do preferowanego przez Wiesława Balceraka łączenia polityki lokarneńskiej z Ligą, uwidocznionego także ostatnio w książce </w:t>
      </w:r>
      <w:r w:rsidRPr="00D07ADC">
        <w:rPr>
          <w:i/>
        </w:rPr>
        <w:t>Liga Nadziei</w:t>
      </w:r>
      <w:r w:rsidRPr="00D07ADC">
        <w:t xml:space="preserve">, gdzie widnieje nawet podrozdział </w:t>
      </w:r>
      <w:r w:rsidRPr="00D07ADC">
        <w:rPr>
          <w:i/>
        </w:rPr>
        <w:t>Genewsko-lokarneńska prosperity</w:t>
      </w:r>
      <w:r w:rsidRPr="00D07ADC">
        <w:t xml:space="preserve"> (s. 102 i n.). Istotę problemu można sprowadzić do tego, że Locarno było zaprzeczeniem i dywersją wobec fundamentów Ligi, co staram się poniżej pokazać.</w:t>
      </w:r>
    </w:p>
  </w:footnote>
  <w:footnote w:id="210">
    <w:p w:rsidR="00942133" w:rsidRPr="00D07ADC"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D07ADC">
        <w:rPr>
          <w:lang w:val="en-US"/>
        </w:rPr>
        <w:t xml:space="preserve"> Analizuje D. Kennedy, </w:t>
      </w:r>
      <w:r w:rsidRPr="00D07ADC">
        <w:rPr>
          <w:i/>
          <w:lang w:val="en-US"/>
        </w:rPr>
        <w:t>The Move to Institutions</w:t>
      </w:r>
      <w:r w:rsidRPr="00D07ADC">
        <w:rPr>
          <w:lang w:val="en-US"/>
        </w:rPr>
        <w:t>, Cardozo Law Review 8</w:t>
      </w:r>
      <w:r>
        <w:rPr>
          <w:lang w:val="en-US"/>
        </w:rPr>
        <w:t xml:space="preserve"> (1987)</w:t>
      </w:r>
      <w:r w:rsidRPr="00D07ADC">
        <w:rPr>
          <w:lang w:val="en-US"/>
        </w:rPr>
        <w:t>, n</w:t>
      </w:r>
      <w:r>
        <w:rPr>
          <w:lang w:val="en-US"/>
        </w:rPr>
        <w:t>r</w:t>
      </w:r>
      <w:r w:rsidRPr="00D07ADC">
        <w:rPr>
          <w:lang w:val="en-US"/>
        </w:rPr>
        <w:t xml:space="preserve"> 5, s. 980 i n. (http://www.law.harvard.edu.faculty/dkennedy, [dostęp: 27 grudnia 2007]).</w:t>
      </w:r>
    </w:p>
  </w:footnote>
  <w:footnote w:id="211">
    <w:p w:rsidR="00942133" w:rsidRPr="00D07ADC" w:rsidRDefault="00942133" w:rsidP="001E5F63">
      <w:pPr>
        <w:pStyle w:val="Tekstprzypisudolnego"/>
        <w:spacing w:line="23" w:lineRule="atLeast"/>
        <w:ind w:firstLine="0"/>
        <w:contextualSpacing/>
        <w:rPr>
          <w:lang w:val="de-DE"/>
        </w:rPr>
      </w:pPr>
      <w:r w:rsidRPr="00D07ADC">
        <w:rPr>
          <w:rStyle w:val="Odwoanieprzypisudolnego"/>
          <w:rFonts w:ascii="Times New Roman" w:hAnsi="Times New Roman"/>
          <w:sz w:val="20"/>
        </w:rPr>
        <w:footnoteRef/>
      </w:r>
      <w:r w:rsidRPr="00D07ADC">
        <w:rPr>
          <w:lang w:val="de-DE"/>
        </w:rPr>
        <w:t xml:space="preserve"> B.W. von Bülow, </w:t>
      </w:r>
      <w:r w:rsidRPr="00D07ADC">
        <w:rPr>
          <w:i/>
          <w:lang w:val="de-DE"/>
        </w:rPr>
        <w:t>Der Versailler Völkerbund</w:t>
      </w:r>
      <w:r w:rsidRPr="00D07ADC">
        <w:rPr>
          <w:lang w:val="de-DE"/>
        </w:rPr>
        <w:t>, passim.</w:t>
      </w:r>
    </w:p>
  </w:footnote>
  <w:footnote w:id="212">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Poza stałymi członkami – Belgia, Brazylia, Czechosłowacja, Hiszpania, Szwecja i Urugwaj – w sumie 10 państw.</w:t>
      </w:r>
    </w:p>
  </w:footnote>
  <w:footnote w:id="213">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Tekst polski zob. S. Sierpowski, </w:t>
      </w:r>
      <w:r w:rsidRPr="00D07ADC">
        <w:rPr>
          <w:i/>
        </w:rPr>
        <w:t>Źródła</w:t>
      </w:r>
      <w:r w:rsidRPr="00D07ADC">
        <w:t>, t. I, s. 452- 453.</w:t>
      </w:r>
    </w:p>
  </w:footnote>
  <w:footnote w:id="214">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Tamże, s. 447-450.</w:t>
      </w:r>
    </w:p>
  </w:footnote>
  <w:footnote w:id="215">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B. Winiarski, </w:t>
      </w:r>
      <w:r w:rsidRPr="00D07ADC">
        <w:rPr>
          <w:i/>
        </w:rPr>
        <w:t>Bezpieczeństwo</w:t>
      </w:r>
      <w:r w:rsidRPr="00D07ADC">
        <w:t>, s. 112.</w:t>
      </w:r>
    </w:p>
  </w:footnote>
  <w:footnote w:id="216">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Tekst zob. S. Sierpowski, </w:t>
      </w:r>
      <w:r w:rsidRPr="00D07ADC">
        <w:rPr>
          <w:i/>
        </w:rPr>
        <w:t>Źródła</w:t>
      </w:r>
      <w:r w:rsidRPr="00D07ADC">
        <w:t xml:space="preserve">, t. I, s. 475-476; interesujące uwagi w kontekście stosunków francusko-niemieckich kreśli R. Blessing, </w:t>
      </w:r>
      <w:r w:rsidRPr="00D07ADC">
        <w:rPr>
          <w:i/>
        </w:rPr>
        <w:t>Der mögliche Frieden</w:t>
      </w:r>
      <w:r w:rsidRPr="00D07ADC">
        <w:t>, s. 198 i n.</w:t>
      </w:r>
    </w:p>
  </w:footnote>
  <w:footnote w:id="217">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Droga do postanowień lokarneńskich, przebieg obrad oraz skutki należą do ważnych fragmentów historii europejskiej. Ich przełomowe znaczenie doceniano i dostrzegano, ale ani wówczas ani później nie znaleziono konsensusu w jego ocenie zob. m.in. M. Gonsiorowski, </w:t>
      </w:r>
      <w:r w:rsidRPr="00D07ADC">
        <w:rPr>
          <w:i/>
        </w:rPr>
        <w:t>Société des Nations et problème de la pais</w:t>
      </w:r>
      <w:r w:rsidRPr="00D07ADC">
        <w:t xml:space="preserve">, Paris 1927 vol. </w:t>
      </w:r>
      <w:r w:rsidRPr="00D07ADC">
        <w:rPr>
          <w:lang w:val="de-AT"/>
        </w:rPr>
        <w:t xml:space="preserve">II, s. 486 i n.; S. Sierpowski, </w:t>
      </w:r>
      <w:r w:rsidRPr="00D07ADC">
        <w:rPr>
          <w:lang w:val="de-DE"/>
        </w:rPr>
        <w:t xml:space="preserve">A. Czubiński, </w:t>
      </w:r>
      <w:r w:rsidRPr="00D07ADC">
        <w:rPr>
          <w:i/>
          <w:lang w:val="de-DE"/>
        </w:rPr>
        <w:t>Der Völkerbund und das Locarno</w:t>
      </w:r>
      <w:r w:rsidRPr="00D07ADC">
        <w:rPr>
          <w:i/>
          <w:lang w:val="de-DE"/>
        </w:rPr>
        <w:noBreakHyphen/>
        <w:t>System</w:t>
      </w:r>
      <w:r w:rsidRPr="00D07ADC">
        <w:rPr>
          <w:lang w:val="de-DE"/>
        </w:rPr>
        <w:t xml:space="preserve">, [w:] </w:t>
      </w:r>
      <w:r w:rsidRPr="00D07ADC">
        <w:rPr>
          <w:i/>
          <w:lang w:val="de-DE"/>
        </w:rPr>
        <w:t>Locarno und Osteuropa</w:t>
      </w:r>
      <w:r w:rsidRPr="00D07ADC">
        <w:rPr>
          <w:lang w:val="de-DE"/>
        </w:rPr>
        <w:t>, r</w:t>
      </w:r>
      <w:r w:rsidRPr="00D07ADC">
        <w:rPr>
          <w:lang w:val="de-AT"/>
        </w:rPr>
        <w:t xml:space="preserve">ed. </w:t>
      </w:r>
      <w:r w:rsidRPr="00D07ADC">
        <w:t xml:space="preserve">R. Schattkowsky, Marburg 1994, s. 29 i n.Problem jest obecny w każdej syntezie i setkach monografii osiągalnych (lub nieosiągalnych) w różnych językach. Do klasycznych zalicza się J. Jacobson, </w:t>
      </w:r>
      <w:r w:rsidRPr="00D07ADC">
        <w:rPr>
          <w:i/>
        </w:rPr>
        <w:t>Locarno Diplomacy. Germany and the West 1925</w:t>
      </w:r>
      <w:r>
        <w:rPr>
          <w:i/>
        </w:rPr>
        <w:t>-</w:t>
      </w:r>
      <w:r w:rsidRPr="00D07ADC">
        <w:rPr>
          <w:i/>
        </w:rPr>
        <w:t>1929</w:t>
      </w:r>
      <w:r w:rsidRPr="00D07ADC">
        <w:t xml:space="preserve">, Princeton 1972, 1978; </w:t>
      </w:r>
      <w:r w:rsidRPr="00D07ADC">
        <w:rPr>
          <w:i/>
        </w:rPr>
        <w:t>Protokoły obrad konferencji w Locarno. Zapis delegacji francuskiej</w:t>
      </w:r>
      <w:r w:rsidRPr="00D07ADC">
        <w:t xml:space="preserve"> udostępnił po polsku J. Łaptos (Kraków 1982); z monografii w języku polskim na uwagę zasługują W. Balcerak, </w:t>
      </w:r>
      <w:r w:rsidRPr="00D07ADC">
        <w:rPr>
          <w:i/>
        </w:rPr>
        <w:t>Polityka zagraniczna Polski w dobie Locarna</w:t>
      </w:r>
      <w:r w:rsidRPr="00D07ADC">
        <w:t xml:space="preserve">, Wrocław 1967; H. Korczyk, </w:t>
      </w:r>
      <w:r w:rsidRPr="00D07ADC">
        <w:rPr>
          <w:i/>
        </w:rPr>
        <w:t>Działania i recepcja Locarna 1927</w:t>
      </w:r>
      <w:r>
        <w:rPr>
          <w:i/>
        </w:rPr>
        <w:t>-</w:t>
      </w:r>
      <w:r w:rsidRPr="00D07ADC">
        <w:rPr>
          <w:i/>
        </w:rPr>
        <w:t>1936</w:t>
      </w:r>
      <w:r w:rsidRPr="006E1AE0">
        <w:t>,</w:t>
      </w:r>
      <w:r w:rsidRPr="00D07ADC">
        <w:t xml:space="preserve"> Warszawa 1999; </w:t>
      </w:r>
      <w:r w:rsidRPr="00D07ADC">
        <w:rPr>
          <w:i/>
        </w:rPr>
        <w:t>Locarno z perspektywy siedemdziesięciu lat</w:t>
      </w:r>
      <w:r w:rsidRPr="00D07ADC">
        <w:t>, red. M. Baumgart, Szczecin 1998.</w:t>
      </w:r>
    </w:p>
  </w:footnote>
  <w:footnote w:id="218">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Zróżnicowany status uczestników negocjacji nie był żadną nowością w stosunkach międzynarodowych. Sławny kongres berliński z 1878 r. z udziałem 6 mocarstw europejskich i Turcji obejmował także Grecję i Rumunię, które miały „jedynie prawo przedstawienia własnych postulatów”, zob. W. Rojek, </w:t>
      </w:r>
      <w:r w:rsidRPr="00D07ADC">
        <w:rPr>
          <w:i/>
        </w:rPr>
        <w:t>Historia nowoczesnych stosunków międzynarodowych</w:t>
      </w:r>
      <w:r w:rsidRPr="00D07ADC">
        <w:t xml:space="preserve">, Warszawa 2010, s. 32. Podobnie można powiedzieć o nie mniej sławnych konferencjach, dzielących na dodatek zwycięzców, poczynając od paryskiej w 1919 r. </w:t>
      </w:r>
    </w:p>
  </w:footnote>
  <w:footnote w:id="219">
    <w:p w:rsidR="00942133" w:rsidRPr="00D07ADC" w:rsidRDefault="00942133" w:rsidP="001E5F63">
      <w:pPr>
        <w:pStyle w:val="Tekstprzypisudolnego"/>
        <w:spacing w:line="23" w:lineRule="atLeast"/>
        <w:ind w:firstLine="0"/>
        <w:contextualSpacing/>
        <w:rPr>
          <w:lang w:val="fr-FR"/>
        </w:rPr>
      </w:pPr>
      <w:r w:rsidRPr="00D07ADC">
        <w:rPr>
          <w:rStyle w:val="Odwoanieprzypisudolnego"/>
          <w:rFonts w:ascii="Times New Roman" w:hAnsi="Times New Roman"/>
          <w:sz w:val="20"/>
        </w:rPr>
        <w:footnoteRef/>
      </w:r>
      <w:r w:rsidRPr="00D07ADC">
        <w:rPr>
          <w:lang w:val="fr-FR"/>
        </w:rPr>
        <w:t>ASDN, Fonds Martin, Conversations 2ème série: 1925, s. 253.</w:t>
      </w:r>
    </w:p>
  </w:footnote>
  <w:footnote w:id="220">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AAN, Delegacja RP przy LN, sygn. 122, k. 186-7 (Aide Memoire z rozmowy 29 września 1925 r.); więcej zob. W. Balcerak, </w:t>
      </w:r>
      <w:r w:rsidRPr="00D07ADC">
        <w:rPr>
          <w:i/>
        </w:rPr>
        <w:t>Polityka zagraniczna</w:t>
      </w:r>
      <w:r w:rsidRPr="00D07ADC">
        <w:t xml:space="preserve">, s. 156 i n.; S. Nowinowski, </w:t>
      </w:r>
      <w:r w:rsidRPr="00D07ADC">
        <w:rPr>
          <w:i/>
        </w:rPr>
        <w:t>Konstatacje i nadzieje</w:t>
      </w:r>
      <w:r w:rsidRPr="00D07ADC">
        <w:t xml:space="preserve">, s. 212 i n.; H. Korczyk, </w:t>
      </w:r>
      <w:r w:rsidRPr="00D07ADC">
        <w:rPr>
          <w:i/>
        </w:rPr>
        <w:t>Przyjęcie</w:t>
      </w:r>
      <w:r w:rsidRPr="00D07ADC">
        <w:t>, s. 50 i n.</w:t>
      </w:r>
    </w:p>
  </w:footnote>
  <w:footnote w:id="221">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G. Stresemann, </w:t>
      </w:r>
      <w:r w:rsidRPr="00D07ADC">
        <w:rPr>
          <w:i/>
        </w:rPr>
        <w:t>Vermächtniss. Der Nachlass in drei Bänden</w:t>
      </w:r>
      <w:r w:rsidRPr="00D07ADC">
        <w:t>, Berlin 1932</w:t>
      </w:r>
      <w:r w:rsidRPr="00D07ADC">
        <w:rPr>
          <w:i/>
        </w:rPr>
        <w:t>,</w:t>
      </w:r>
      <w:r w:rsidRPr="00D07ADC">
        <w:t xml:space="preserve">t. II, s. 553; analizuje P. Madajczyk, </w:t>
      </w:r>
      <w:r w:rsidRPr="00D07ADC">
        <w:rPr>
          <w:i/>
        </w:rPr>
        <w:t xml:space="preserve">Polityka i koncepcje polityczne Gustawa Stresemanna wobec Polski </w:t>
      </w:r>
      <w:r w:rsidRPr="00D07ADC">
        <w:t>(</w:t>
      </w:r>
      <w:r w:rsidRPr="00D07ADC">
        <w:rPr>
          <w:i/>
        </w:rPr>
        <w:t>1915-1929</w:t>
      </w:r>
      <w:r w:rsidRPr="00D07ADC">
        <w:t>)</w:t>
      </w:r>
      <w:r w:rsidRPr="006E1AE0">
        <w:t xml:space="preserve">, </w:t>
      </w:r>
      <w:r w:rsidRPr="00D07ADC">
        <w:t>Warszawa 1991, s. 80 i n.</w:t>
      </w:r>
    </w:p>
  </w:footnote>
  <w:footnote w:id="222">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Lekceważąc współgwaranta włoskiego, należy podkreślić zasadniczą niechęć Mussoliniego, podówczas premiera i ministra spraw zagranicznych do „operacji” lokarneńskiej. Obawy dotyczące istnienia „granic drugiej klasy” wiązały się z podnoszonymi w Niemczech aspiracjami do Brenneru i całej Górnej Adygi. Udobruchały go obietnice brytyjskie o wspólnym gwarantowaniu granicy dwóch mocarstw kontynentalnych oraz deklaracje Stresemanna o poszanowaniu samodzielności Austrii. Mussolini w Locarno był tylko 16 października celem podpisania porozumień w sumie 11 godzin; dokument ratyfikowano w drodze dekretu królewskiego; Pokojowych Nagród Nobla bardzo zazdrościł; zob. B. Koszel, </w:t>
      </w:r>
      <w:r w:rsidRPr="00D07ADC">
        <w:rPr>
          <w:i/>
        </w:rPr>
        <w:t>Niemcy w polityce Włoch w latach dwudziestych XX wieku</w:t>
      </w:r>
      <w:r w:rsidRPr="00D07ADC">
        <w:t xml:space="preserve">, [w:] </w:t>
      </w:r>
      <w:r w:rsidRPr="00D07ADC">
        <w:rPr>
          <w:i/>
        </w:rPr>
        <w:t>Niemcy w polityce międzynarodowej</w:t>
      </w:r>
      <w:r w:rsidRPr="00D07ADC">
        <w:t>, t. I, s. 280 i n.; E. Di Nolfo</w:t>
      </w:r>
      <w:r w:rsidRPr="00D07ADC">
        <w:rPr>
          <w:i/>
        </w:rPr>
        <w:t xml:space="preserve">, Mussolini e la politica estera italiana </w:t>
      </w:r>
      <w:r w:rsidRPr="00D07ADC">
        <w:t>(</w:t>
      </w:r>
      <w:r w:rsidRPr="00D07ADC">
        <w:rPr>
          <w:i/>
        </w:rPr>
        <w:t>1919-1933</w:t>
      </w:r>
      <w:r w:rsidRPr="00D07ADC">
        <w:t>), Padova 1960, s. 135 i n.</w:t>
      </w:r>
    </w:p>
  </w:footnote>
  <w:footnote w:id="223">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Tekst zob. S. Sierpowski, </w:t>
      </w:r>
      <w:r w:rsidRPr="00D07ADC">
        <w:rPr>
          <w:i/>
        </w:rPr>
        <w:t>Źródła</w:t>
      </w:r>
      <w:r w:rsidRPr="00D07ADC">
        <w:t>, t. I, s. 502, 508.</w:t>
      </w:r>
    </w:p>
  </w:footnote>
  <w:footnote w:id="224">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Zob. więcej P. Kraszewski, </w:t>
      </w:r>
      <w:r w:rsidRPr="00D07ADC">
        <w:rPr>
          <w:i/>
        </w:rPr>
        <w:t>Polityka Wielkiej Brytanii wobec Niemiec</w:t>
      </w:r>
      <w:r w:rsidRPr="00D07ADC">
        <w:t xml:space="preserve">, s. 303 i n.; M. Nowak-Kiełbikowa, </w:t>
      </w:r>
      <w:r w:rsidRPr="00D07ADC">
        <w:rPr>
          <w:i/>
        </w:rPr>
        <w:t>Polska – Wielka Brytania w dobie zabiegów o zbiorowe bezpieczeństwo w Europie 1923-1937</w:t>
      </w:r>
      <w:r w:rsidRPr="00D07ADC">
        <w:t>, Warszawa 1989, s. 47 i n.</w:t>
      </w:r>
    </w:p>
  </w:footnote>
  <w:footnote w:id="225">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Tekst zob. S. Sierpowski, </w:t>
      </w:r>
      <w:r w:rsidRPr="00D07ADC">
        <w:rPr>
          <w:i/>
        </w:rPr>
        <w:t>Źródła</w:t>
      </w:r>
      <w:r w:rsidRPr="00D07ADC">
        <w:t>, t. I, s. 584. W konferencji uczestniczyli przedstawiciele Wielkiej Brytanii, Kanady, Australii, Nowej Zelandii, Południowej Afryki, Irlandii, Nowej Funlandii i Indii.</w:t>
      </w:r>
    </w:p>
  </w:footnote>
  <w:footnote w:id="226">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H. Batowski, </w:t>
      </w:r>
      <w:r w:rsidRPr="00D07ADC">
        <w:rPr>
          <w:i/>
        </w:rPr>
        <w:t>Ekspansja niemiecka w Europie Środkowej w latach 1919</w:t>
      </w:r>
      <w:r>
        <w:rPr>
          <w:i/>
        </w:rPr>
        <w:t>-</w:t>
      </w:r>
      <w:r w:rsidRPr="00D07ADC">
        <w:rPr>
          <w:i/>
        </w:rPr>
        <w:t>1939</w:t>
      </w:r>
      <w:r w:rsidRPr="00D07ADC">
        <w:t>, Dzieje Najnowsze 1-2 (1971), s. 57.</w:t>
      </w:r>
    </w:p>
  </w:footnote>
  <w:footnote w:id="227">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J. Krasuski, </w:t>
      </w:r>
      <w:r w:rsidRPr="00D07ADC">
        <w:rPr>
          <w:i/>
        </w:rPr>
        <w:t>Stosunki polsko-niemieckie</w:t>
      </w:r>
      <w:r w:rsidRPr="00D07ADC">
        <w:t xml:space="preserve">, s. 211; utrzymujący się w historiografii i publicystyce francuskiej i filofrancuskiej mit „pielgrzyma pokoju” – o czym pisze np. </w:t>
      </w:r>
      <w:r w:rsidRPr="00D07ADC">
        <w:rPr>
          <w:lang w:val="fr-FR"/>
        </w:rPr>
        <w:t xml:space="preserve">M. Vaïse, </w:t>
      </w:r>
      <w:r w:rsidRPr="00D07ADC">
        <w:rPr>
          <w:i/>
          <w:lang w:val="fr-FR"/>
        </w:rPr>
        <w:t>Oubliè, Briand</w:t>
      </w:r>
      <w:r w:rsidRPr="00D07ADC">
        <w:rPr>
          <w:lang w:val="fr-FR"/>
        </w:rPr>
        <w:t xml:space="preserve">? [w:] </w:t>
      </w:r>
      <w:r>
        <w:rPr>
          <w:i/>
          <w:lang w:val="fr-FR"/>
        </w:rPr>
        <w:t>Aristide Briand, l</w:t>
      </w:r>
      <w:r w:rsidRPr="00D07ADC">
        <w:rPr>
          <w:i/>
          <w:lang w:val="fr-FR"/>
        </w:rPr>
        <w:t>a Société de Nations et l’Europe1919-1932</w:t>
      </w:r>
      <w:r w:rsidRPr="00D07ADC">
        <w:rPr>
          <w:lang w:val="fr-FR"/>
        </w:rPr>
        <w:t xml:space="preserve">, red. </w:t>
      </w:r>
      <w:r w:rsidRPr="00D07ADC">
        <w:t xml:space="preserve">J. Bariéty, Strasbourg 2007, s. 448 i n., bywa podważany przypominaniem sytuacji raczej jednoznacznych, kiedy np. 11 marca 1917 r. jako premier Francji pisemnie przyznał Rosji całkowitą swobodę w określeniu jej zachodnich granic, zob. J. Pajewski, </w:t>
      </w:r>
      <w:r w:rsidRPr="00D07ADC">
        <w:rPr>
          <w:i/>
        </w:rPr>
        <w:t>Wokół sprawy polskiej.– Lozanna – Londyn 1914</w:t>
      </w:r>
      <w:r>
        <w:rPr>
          <w:i/>
        </w:rPr>
        <w:t>-</w:t>
      </w:r>
      <w:r w:rsidRPr="00D07ADC">
        <w:rPr>
          <w:i/>
        </w:rPr>
        <w:t>1918</w:t>
      </w:r>
      <w:r w:rsidRPr="00D07ADC">
        <w:t xml:space="preserve">, Poznań 1970, s. 57-58; informacja ta awansowała do rangi podręcznikowej, zob. W Rojek, </w:t>
      </w:r>
      <w:r w:rsidRPr="00D07ADC">
        <w:rPr>
          <w:i/>
        </w:rPr>
        <w:t>Historia nowoczesnych</w:t>
      </w:r>
      <w:r w:rsidRPr="00D07ADC">
        <w:t>, s. 133.</w:t>
      </w:r>
    </w:p>
  </w:footnote>
  <w:footnote w:id="228">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Szczegóły zob. m.in. H. Korczyk, </w:t>
      </w:r>
      <w:r w:rsidRPr="00D07ADC">
        <w:rPr>
          <w:i/>
        </w:rPr>
        <w:t>Przyjęcie</w:t>
      </w:r>
      <w:r w:rsidRPr="00D07ADC">
        <w:t xml:space="preserve">, s. </w:t>
      </w:r>
      <w:smartTag w:uri="urn:schemas-microsoft-com:office:smarttags" w:element="metricconverter">
        <w:smartTagPr>
          <w:attr w:name="ProductID" w:val="128 in"/>
        </w:smartTagPr>
        <w:r w:rsidRPr="00D07ADC">
          <w:t>128 in</w:t>
        </w:r>
      </w:smartTag>
      <w:r w:rsidRPr="00D07ADC">
        <w:t>.</w:t>
      </w:r>
    </w:p>
  </w:footnote>
  <w:footnote w:id="229">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J. Gawroński, </w:t>
      </w:r>
      <w:r w:rsidRPr="00D07ADC">
        <w:rPr>
          <w:i/>
        </w:rPr>
        <w:t>Moja misja w Wiedniu</w:t>
      </w:r>
      <w:r w:rsidRPr="00D07ADC">
        <w:t xml:space="preserve">, Warszawa 1965, s. 394; M. Baumgart, </w:t>
      </w:r>
      <w:r w:rsidRPr="00D07ADC">
        <w:rPr>
          <w:i/>
        </w:rPr>
        <w:t>Aleksander Skrzyński</w:t>
      </w:r>
      <w:r w:rsidRPr="00D07ADC">
        <w:t xml:space="preserve">, [w:] </w:t>
      </w:r>
      <w:r w:rsidRPr="00273B13">
        <w:rPr>
          <w:i/>
        </w:rPr>
        <w:t>Ministrowie spraw zagranicznych</w:t>
      </w:r>
      <w:r w:rsidRPr="00D07ADC">
        <w:t xml:space="preserve"> (</w:t>
      </w:r>
      <w:r w:rsidRPr="00273B13">
        <w:rPr>
          <w:i/>
        </w:rPr>
        <w:t>1919-1939</w:t>
      </w:r>
      <w:r w:rsidRPr="00D07ADC">
        <w:t xml:space="preserve">), red. J. Pajewski, Szczecin 1993, s. 146 i n. </w:t>
      </w:r>
    </w:p>
  </w:footnote>
  <w:footnote w:id="230">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Cyt. za T. Piszczkowski, </w:t>
      </w:r>
      <w:r w:rsidRPr="00D07ADC">
        <w:rPr>
          <w:i/>
        </w:rPr>
        <w:t>Anglia a Polska 1914</w:t>
      </w:r>
      <w:r>
        <w:rPr>
          <w:i/>
        </w:rPr>
        <w:t>-</w:t>
      </w:r>
      <w:r w:rsidRPr="00D07ADC">
        <w:rPr>
          <w:i/>
        </w:rPr>
        <w:t>1939 w świetle dokumentów brytyjskich</w:t>
      </w:r>
      <w:r w:rsidRPr="00D07ADC">
        <w:t xml:space="preserve">, Londyn 1975, s. 280 (raport Williama Max-Mullera z 16 stycznia 1926); szerzej P. Wandycz, </w:t>
      </w:r>
      <w:r w:rsidRPr="00D07ADC">
        <w:rPr>
          <w:i/>
        </w:rPr>
        <w:t>Aleksander Skrzyński, minister spraw zagranicznych II RP</w:t>
      </w:r>
      <w:r w:rsidRPr="00D07ADC">
        <w:t>, Warszawa 2006.</w:t>
      </w:r>
    </w:p>
  </w:footnote>
  <w:footnote w:id="231">
    <w:p w:rsidR="00942133" w:rsidRPr="00D07ADC"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D07ADC">
        <w:rPr>
          <w:lang w:val="en-US"/>
        </w:rPr>
        <w:t xml:space="preserve"> Z. Steiner, </w:t>
      </w:r>
      <w:r w:rsidRPr="00D07ADC">
        <w:rPr>
          <w:i/>
          <w:lang w:val="en-US"/>
        </w:rPr>
        <w:t>The Lights that Failed</w:t>
      </w:r>
      <w:r w:rsidRPr="00D07ADC">
        <w:rPr>
          <w:lang w:val="en-US"/>
        </w:rPr>
        <w:t>, s. 815-816.</w:t>
      </w:r>
    </w:p>
  </w:footnote>
  <w:footnote w:id="232">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K. Fiedor, </w:t>
      </w:r>
      <w:r w:rsidRPr="00D07ADC">
        <w:rPr>
          <w:i/>
        </w:rPr>
        <w:t>„Dyktat wersalski” w propagandzie Republiki Weimarskiej</w:t>
      </w:r>
      <w:r w:rsidRPr="00D07ADC">
        <w:t xml:space="preserve">, [w:] </w:t>
      </w:r>
      <w:r w:rsidRPr="00D07ADC">
        <w:rPr>
          <w:i/>
        </w:rPr>
        <w:t>Niemcy w polityce międzynarodowej</w:t>
      </w:r>
      <w:r w:rsidRPr="00D07ADC">
        <w:t>, t. I, s. 117.</w:t>
      </w:r>
    </w:p>
  </w:footnote>
  <w:footnote w:id="233">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Tamże; J. Jacobson,</w:t>
      </w:r>
      <w:r w:rsidRPr="00D07ADC">
        <w:rPr>
          <w:i/>
        </w:rPr>
        <w:t xml:space="preserve"> Locarno Diplomacy</w:t>
      </w:r>
      <w:r w:rsidRPr="00D07ADC">
        <w:t xml:space="preserve">, s. 63 i n.; H. Korczyk, </w:t>
      </w:r>
      <w:r w:rsidRPr="00D07ADC">
        <w:rPr>
          <w:i/>
        </w:rPr>
        <w:t>Przyjęcie</w:t>
      </w:r>
      <w:r w:rsidRPr="00D07ADC">
        <w:t>, s. 77 i n.</w:t>
      </w:r>
    </w:p>
  </w:footnote>
  <w:footnote w:id="234">
    <w:p w:rsidR="00942133" w:rsidRPr="00D07ADC" w:rsidRDefault="00942133" w:rsidP="001E5F63">
      <w:pPr>
        <w:pStyle w:val="Tekstprzypisudolnego"/>
        <w:spacing w:line="23" w:lineRule="atLeast"/>
        <w:ind w:firstLine="0"/>
        <w:contextualSpacing/>
        <w:rPr>
          <w:lang w:val="de-AT"/>
        </w:rPr>
      </w:pPr>
      <w:r w:rsidRPr="00D07ADC">
        <w:rPr>
          <w:rStyle w:val="Odwoanieprzypisudolnego"/>
          <w:rFonts w:ascii="Times New Roman" w:hAnsi="Times New Roman"/>
          <w:sz w:val="20"/>
        </w:rPr>
        <w:footnoteRef/>
      </w:r>
      <w:r w:rsidRPr="00D07ADC">
        <w:rPr>
          <w:lang w:val="de-AT"/>
        </w:rPr>
        <w:t xml:space="preserve"> Ch. Kimmich, </w:t>
      </w:r>
      <w:r w:rsidRPr="00D07ADC">
        <w:rPr>
          <w:i/>
          <w:lang w:val="de-AT"/>
        </w:rPr>
        <w:t>Germany</w:t>
      </w:r>
      <w:r w:rsidRPr="00D07ADC">
        <w:rPr>
          <w:lang w:val="de-AT"/>
        </w:rPr>
        <w:t>, s. 76-77.</w:t>
      </w:r>
    </w:p>
  </w:footnote>
  <w:footnote w:id="235">
    <w:p w:rsidR="00942133" w:rsidRPr="00D07ADC" w:rsidRDefault="00942133" w:rsidP="001E5F63">
      <w:pPr>
        <w:pStyle w:val="Tekstprzypisudolnego"/>
        <w:spacing w:line="23" w:lineRule="atLeast"/>
        <w:ind w:firstLine="0"/>
        <w:contextualSpacing/>
        <w:rPr>
          <w:lang w:val="fr-FR"/>
        </w:rPr>
      </w:pPr>
      <w:r w:rsidRPr="00D07ADC">
        <w:rPr>
          <w:rStyle w:val="Odwoanieprzypisudolnego"/>
          <w:rFonts w:ascii="Times New Roman" w:hAnsi="Times New Roman"/>
          <w:sz w:val="20"/>
        </w:rPr>
        <w:footnoteRef/>
      </w:r>
      <w:r w:rsidRPr="00D07ADC">
        <w:rPr>
          <w:lang w:val="de-AT"/>
        </w:rPr>
        <w:t xml:space="preserve"> AAN, AB, sygn. </w:t>
      </w:r>
      <w:r w:rsidRPr="00D07ADC">
        <w:rPr>
          <w:lang w:val="fr-FR"/>
        </w:rPr>
        <w:t>1314, k. 110 (Charge d’Affaires do p. Ministra, Berlin 25.09.1925).</w:t>
      </w:r>
    </w:p>
  </w:footnote>
  <w:footnote w:id="236">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G. Stresemann, </w:t>
      </w:r>
      <w:r w:rsidRPr="00D07ADC">
        <w:rPr>
          <w:i/>
        </w:rPr>
        <w:t>Vermächtnis</w:t>
      </w:r>
      <w:r w:rsidRPr="00D07ADC">
        <w:t xml:space="preserve">, t. II, s. 233 i 243; J. Krasuski, </w:t>
      </w:r>
      <w:r w:rsidRPr="00D07ADC">
        <w:rPr>
          <w:i/>
        </w:rPr>
        <w:t>Stosunki</w:t>
      </w:r>
      <w:r w:rsidRPr="00D07ADC">
        <w:t>, s. 192 i n. W liście do następcy tronu z 9 września 1925 r. rezygnację z Alzacji i Lotaryngii uzasadnił Stresemann tym, że „nie istnieje możliwość wojny z Francją”, j.w., t. II, s. 555.</w:t>
      </w:r>
    </w:p>
  </w:footnote>
  <w:footnote w:id="237">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Szerzej omawia m.in. W. Grzankowski, </w:t>
      </w:r>
      <w:r w:rsidRPr="00D07ADC">
        <w:rPr>
          <w:i/>
        </w:rPr>
        <w:t>Zagadnienie sankcji międzynarodowych Ligi Narodów</w:t>
      </w:r>
      <w:r w:rsidRPr="00B35E01">
        <w:t>, Warszawa 1932,</w:t>
      </w:r>
      <w:r w:rsidRPr="00D07ADC">
        <w:t xml:space="preserve"> passim, zwłaszcza s. 57 i n.</w:t>
      </w:r>
    </w:p>
  </w:footnote>
  <w:footnote w:id="238">
    <w:p w:rsidR="00942133" w:rsidRPr="00D07ADC" w:rsidRDefault="00942133" w:rsidP="001E5F63">
      <w:pPr>
        <w:pStyle w:val="Tekstprzypisudolnego"/>
        <w:spacing w:line="23" w:lineRule="atLeast"/>
        <w:ind w:firstLine="0"/>
        <w:contextualSpacing/>
        <w:rPr>
          <w:lang w:val="fr-FR"/>
        </w:rPr>
      </w:pPr>
      <w:r w:rsidRPr="00D07ADC">
        <w:rPr>
          <w:rStyle w:val="Odwoanieprzypisudolnego"/>
          <w:rFonts w:ascii="Times New Roman" w:hAnsi="Times New Roman"/>
          <w:sz w:val="20"/>
        </w:rPr>
        <w:footnoteRef/>
      </w:r>
      <w:r w:rsidRPr="00D07ADC">
        <w:rPr>
          <w:lang w:val="fr-FR"/>
        </w:rPr>
        <w:t xml:space="preserve">G. Scelle, </w:t>
      </w:r>
      <w:r w:rsidRPr="00D07ADC">
        <w:rPr>
          <w:i/>
          <w:lang w:val="fr-FR"/>
        </w:rPr>
        <w:t>Une crise</w:t>
      </w:r>
      <w:r w:rsidRPr="00D07ADC">
        <w:rPr>
          <w:lang w:val="fr-FR"/>
        </w:rPr>
        <w:t>, s. 36.</w:t>
      </w:r>
    </w:p>
  </w:footnote>
  <w:footnote w:id="239">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Formalny ruch w tej sprawie wszczęły Hiszpania i Brazylia podczas prywatnej (a więc zamknięte dla prasy i publiczności) sesji Rady 30 września 1921 r. Najpierw Quiñones de León postulował powiększenie składu Rady o jedno miejsce stałe i jedno niestałe, poczynając od 1 stycznia 1923 r. Wniosek delegata z Brazylii szedł dalej i postulował zwiększenie stałych miejsc dla Hiszpanii i Brazylii oraz dwóch niestałych z wyboru Zgromadzenia w 1922 r. </w:t>
      </w:r>
      <w:r>
        <w:t>–</w:t>
      </w:r>
      <w:r w:rsidRPr="00D07ADC">
        <w:t xml:space="preserve"> ASDN, 14/9887/2385, R. 6228.</w:t>
      </w:r>
    </w:p>
  </w:footnote>
  <w:footnote w:id="240">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M.F. Gawrycki, </w:t>
      </w:r>
      <w:r w:rsidRPr="00D07ADC">
        <w:rPr>
          <w:i/>
        </w:rPr>
        <w:t>Etyka campradora</w:t>
      </w:r>
      <w:r w:rsidRPr="00D07ADC">
        <w:t>, s. 84.</w:t>
      </w:r>
    </w:p>
  </w:footnote>
  <w:footnote w:id="241">
    <w:p w:rsidR="00942133" w:rsidRPr="00D07ADC" w:rsidRDefault="00942133" w:rsidP="001E5F63">
      <w:pPr>
        <w:pStyle w:val="Tekstprzypisudolnego"/>
        <w:spacing w:line="23" w:lineRule="atLeast"/>
        <w:ind w:firstLine="0"/>
        <w:contextualSpacing/>
        <w:rPr>
          <w:lang w:val="fr-FR"/>
        </w:rPr>
      </w:pPr>
      <w:r w:rsidRPr="00D07ADC">
        <w:rPr>
          <w:rStyle w:val="Odwoanieprzypisudolnego"/>
          <w:rFonts w:ascii="Times New Roman" w:hAnsi="Times New Roman"/>
          <w:sz w:val="20"/>
        </w:rPr>
        <w:footnoteRef/>
      </w:r>
      <w:r w:rsidRPr="00D07ADC">
        <w:rPr>
          <w:lang w:val="fr-FR"/>
        </w:rPr>
        <w:t xml:space="preserve">M. Perez-Guerrero, </w:t>
      </w:r>
      <w:r w:rsidRPr="00D07ADC">
        <w:rPr>
          <w:i/>
          <w:lang w:val="fr-FR"/>
        </w:rPr>
        <w:t>Les relations de Etats de l’Amerique latin avec la Société des Nations</w:t>
      </w:r>
      <w:r w:rsidRPr="00D07ADC">
        <w:rPr>
          <w:lang w:val="fr-FR"/>
        </w:rPr>
        <w:t>, s. 27.</w:t>
      </w:r>
    </w:p>
  </w:footnote>
  <w:footnote w:id="242">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rPr>
          <w:lang w:val="en-US"/>
        </w:rPr>
        <w:t xml:space="preserve">Zob. więcej S. Sierpowski, </w:t>
      </w:r>
      <w:r w:rsidRPr="00D07ADC">
        <w:rPr>
          <w:i/>
          <w:lang w:val="en-US"/>
        </w:rPr>
        <w:t>Między wojnami</w:t>
      </w:r>
      <w:r w:rsidRPr="00D07ADC">
        <w:rPr>
          <w:lang w:val="en-US"/>
        </w:rPr>
        <w:t xml:space="preserve">, t. II, s. 68 i n., </w:t>
      </w:r>
      <w:r w:rsidRPr="00D07ADC">
        <w:rPr>
          <w:i/>
          <w:lang w:val="en-US"/>
        </w:rPr>
        <w:t>The Globalization of U.S.-Latin American Relations: Democracy, Intervention and Human Rights</w:t>
      </w:r>
      <w:r w:rsidRPr="00D07ADC">
        <w:rPr>
          <w:lang w:val="en-US"/>
        </w:rPr>
        <w:t xml:space="preserve">, red. </w:t>
      </w:r>
      <w:r w:rsidRPr="00D07ADC">
        <w:t>V.E. Bouvier, Vesport CT 2002.</w:t>
      </w:r>
    </w:p>
  </w:footnote>
  <w:footnote w:id="243">
    <w:p w:rsidR="00942133" w:rsidRPr="00D07ADC" w:rsidRDefault="00942133" w:rsidP="001E5F63">
      <w:pPr>
        <w:pStyle w:val="Tekstprzypisudolnego"/>
        <w:spacing w:line="23" w:lineRule="atLeast"/>
        <w:ind w:firstLine="0"/>
        <w:contextualSpacing/>
        <w:rPr>
          <w:lang w:val="it-IT"/>
        </w:rPr>
      </w:pPr>
      <w:r w:rsidRPr="00D07ADC">
        <w:rPr>
          <w:rStyle w:val="Odwoanieprzypisudolnego"/>
          <w:rFonts w:ascii="Times New Roman" w:hAnsi="Times New Roman"/>
          <w:sz w:val="20"/>
        </w:rPr>
        <w:footnoteRef/>
      </w:r>
      <w:r w:rsidRPr="00D07ADC">
        <w:t xml:space="preserve"> Przewodniczącym III Zgromadzenia (1922 r.) był Augustin Edwards z Chile, IV (1923 r.) </w:t>
      </w:r>
      <w:r w:rsidRPr="00D07ADC">
        <w:rPr>
          <w:lang w:val="it-IT"/>
        </w:rPr>
        <w:t>Cosme de la Torriente y Perazza z Kuby, VIII (1927 r.) Alberto Guani z Urugwaju, X (1929 r.) Gustavo Guerrero z Salwadoru.</w:t>
      </w:r>
    </w:p>
  </w:footnote>
  <w:footnote w:id="244">
    <w:p w:rsidR="00942133" w:rsidRPr="00D07ADC" w:rsidRDefault="00942133" w:rsidP="001E5F63">
      <w:pPr>
        <w:pStyle w:val="Tekstprzypisudolnego"/>
        <w:spacing w:line="23" w:lineRule="atLeast"/>
        <w:ind w:firstLine="0"/>
        <w:contextualSpacing/>
        <w:rPr>
          <w:lang w:val="it-IT"/>
        </w:rPr>
      </w:pPr>
      <w:r w:rsidRPr="00D07ADC">
        <w:rPr>
          <w:rStyle w:val="Odwoanieprzypisudolnego"/>
          <w:rFonts w:ascii="Times New Roman" w:hAnsi="Times New Roman"/>
          <w:sz w:val="20"/>
        </w:rPr>
        <w:footnoteRef/>
      </w:r>
      <w:r w:rsidRPr="00D07ADC">
        <w:rPr>
          <w:lang w:val="it-IT"/>
        </w:rPr>
        <w:t xml:space="preserve">E.V. Garcia, </w:t>
      </w:r>
      <w:r w:rsidRPr="00D07ADC">
        <w:rPr>
          <w:i/>
          <w:lang w:val="it-IT"/>
        </w:rPr>
        <w:t>Entre América e Europa: politica extera brasilèíra na década de 1920</w:t>
      </w:r>
      <w:r w:rsidRPr="00D07ADC">
        <w:rPr>
          <w:lang w:val="it-IT"/>
        </w:rPr>
        <w:t>, Brasília/DF 2006, s. 48 i n.</w:t>
      </w:r>
    </w:p>
  </w:footnote>
  <w:footnote w:id="245">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Względność tego zaszeregowania jest spora jeśli uwzględnić opinię posła polskiego Władysława Mazurkiewicza, który latem 1926 r. pisał, że kongres argentyński przedstawia „obraz opłakany, obraz nędzy i rozpaczy, będąc niezdolnym do żadnej twórczej pracy i nikt naprawdę nie jest w stanie powiedzieć czego można odeń oczekiwać” – zob. AAN, Delegacja RP przy LN, sygn. 3, k. 67 (Raport W. Mazurkiewicza bez daty i miejsca); zob. R. Stemplowski, </w:t>
      </w:r>
      <w:r w:rsidRPr="00D07ADC">
        <w:rPr>
          <w:i/>
        </w:rPr>
        <w:t>Zależność i wyzwanie. Argentyna wobec rywalizacji mocarstw anglosaskich i III Rzeszy</w:t>
      </w:r>
      <w:r w:rsidRPr="00D07ADC">
        <w:t>, Warszawa 1975.</w:t>
      </w:r>
    </w:p>
  </w:footnote>
  <w:footnote w:id="246">
    <w:p w:rsidR="00942133" w:rsidRPr="000F486B"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0F486B">
        <w:rPr>
          <w:lang w:val="en-US"/>
        </w:rPr>
        <w:t xml:space="preserve"> J. Barros, </w:t>
      </w:r>
      <w:r w:rsidRPr="000F486B">
        <w:rPr>
          <w:i/>
          <w:lang w:val="en-US"/>
        </w:rPr>
        <w:t>Office Without Power: Secretary-General sir Eric Drummond 1919-1933</w:t>
      </w:r>
      <w:r w:rsidRPr="000F486B">
        <w:rPr>
          <w:lang w:val="en-US"/>
        </w:rPr>
        <w:t>, s. 209 i n.</w:t>
      </w:r>
    </w:p>
  </w:footnote>
  <w:footnote w:id="247">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Wiązało się to z zaangażowaniem ambasadora Quiñonesa de León w rozwiązanie sporu o Górny Śląsk. Zasiedziały w Paryżu frankofil (tak pisał radca poselstwa Józef Wielowiejski do polskiego ministra spraw zagranicznych na przełomie sierpnia i września 1921 r.) był na Quai d’Orsay chwalony przez wszystkich „stosownie do instrukcji” za „uratowanie Ligi przed kompromitacją”. Działalność ta przyczyniła się do wzmocnienia prestiżu Hiszpanii, która będzie „mogła z powodzeniem pretendować o place permanents”, AAN, MSZ, sygn. 21, k. 44.</w:t>
      </w:r>
    </w:p>
  </w:footnote>
  <w:footnote w:id="248">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F. Walters, </w:t>
      </w:r>
      <w:r w:rsidRPr="00D07ADC">
        <w:rPr>
          <w:i/>
        </w:rPr>
        <w:t>AHistory</w:t>
      </w:r>
      <w:r w:rsidRPr="00D07ADC">
        <w:t xml:space="preserve">, s. 305; H. Korczyk, </w:t>
      </w:r>
      <w:r w:rsidRPr="00D07ADC">
        <w:rPr>
          <w:i/>
        </w:rPr>
        <w:t>Przyjęcie</w:t>
      </w:r>
      <w:r w:rsidRPr="00D07ADC">
        <w:t>, s. 96 i n.; Lord Cecil (</w:t>
      </w:r>
      <w:r w:rsidRPr="00D07ADC">
        <w:rPr>
          <w:i/>
        </w:rPr>
        <w:t>A Great Experiment</w:t>
      </w:r>
      <w:r w:rsidRPr="00D07ADC">
        <w:t>, s. 174) nie odnotowuje szczególnej zasługi ambasadora Hiszpanii, podając opinię STSM w Hadze, która upoważniała Radę do powzięcia jednomyślnej decyzji z pominięciem stron będących w sporze. W papierach Paula Mantoux zdeponowanych w ASDN znajduje się bardzo szczegółowy, liczący 345 stron „Journal privé du colonel A. Paulis”, ukazujący codzienność pracy komisji.</w:t>
      </w:r>
    </w:p>
  </w:footnote>
  <w:footnote w:id="249">
    <w:p w:rsidR="00942133" w:rsidRPr="00D07ADC" w:rsidRDefault="00942133" w:rsidP="001E5F63">
      <w:pPr>
        <w:pStyle w:val="Tekstprzypisudolnego"/>
        <w:spacing w:line="23" w:lineRule="atLeast"/>
        <w:ind w:firstLine="0"/>
        <w:contextualSpacing/>
        <w:rPr>
          <w:lang w:val="fr-FR"/>
        </w:rPr>
      </w:pPr>
      <w:r w:rsidRPr="00D07ADC">
        <w:rPr>
          <w:rStyle w:val="Odwoanieprzypisudolnego"/>
          <w:rFonts w:ascii="Times New Roman" w:hAnsi="Times New Roman"/>
          <w:sz w:val="20"/>
        </w:rPr>
        <w:footnoteRef/>
      </w:r>
      <w:r w:rsidRPr="00D07ADC">
        <w:rPr>
          <w:i/>
          <w:lang w:val="fr-FR"/>
        </w:rPr>
        <w:t>Rapport sur le voyage d’etudes de la Commission du Paludisme en Espag</w:t>
      </w:r>
      <w:r>
        <w:rPr>
          <w:i/>
          <w:lang w:val="fr-FR"/>
        </w:rPr>
        <w:t>n</w:t>
      </w:r>
      <w:r w:rsidRPr="00D07ADC">
        <w:rPr>
          <w:i/>
          <w:lang w:val="fr-FR"/>
        </w:rPr>
        <w:t>e</w:t>
      </w:r>
      <w:r w:rsidRPr="00D07ADC">
        <w:rPr>
          <w:lang w:val="fr-FR"/>
        </w:rPr>
        <w:t>, Genève 1926.</w:t>
      </w:r>
    </w:p>
  </w:footnote>
  <w:footnote w:id="250">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AAN, AB, sygn. 1307, k. 143-148 (Instrukcja MSZ, Warszawa 19.02.1926).</w:t>
      </w:r>
    </w:p>
  </w:footnote>
  <w:footnote w:id="251">
    <w:p w:rsidR="00942133" w:rsidRPr="00D07ADC" w:rsidRDefault="00942133" w:rsidP="001E5F63">
      <w:pPr>
        <w:pStyle w:val="Tekstprzypisudolnego"/>
        <w:spacing w:line="23" w:lineRule="atLeast"/>
        <w:ind w:firstLine="0"/>
        <w:contextualSpacing/>
        <w:rPr>
          <w:i/>
          <w:lang w:val="en-US"/>
        </w:rPr>
      </w:pPr>
      <w:r w:rsidRPr="00D07ADC">
        <w:rPr>
          <w:rStyle w:val="Odwoanieprzypisudolnego"/>
          <w:rFonts w:ascii="Times New Roman" w:hAnsi="Times New Roman"/>
          <w:sz w:val="20"/>
        </w:rPr>
        <w:footnoteRef/>
      </w:r>
      <w:r w:rsidRPr="00D07ADC">
        <w:rPr>
          <w:lang w:val="en-US"/>
        </w:rPr>
        <w:t xml:space="preserve"> Tekst znalazł także miejsce w</w:t>
      </w:r>
      <w:r>
        <w:rPr>
          <w:lang w:val="en-US"/>
        </w:rPr>
        <w:t xml:space="preserve"> </w:t>
      </w:r>
      <w:hyperlink r:id="rId1" w:history="1">
        <w:r w:rsidRPr="00D07ADC">
          <w:rPr>
            <w:i/>
            <w:lang w:val="en-US"/>
          </w:rPr>
          <w:t xml:space="preserve">Survey of international affairs, </w:t>
        </w:r>
      </w:hyperlink>
      <w:r w:rsidRPr="00D07ADC">
        <w:rPr>
          <w:i/>
          <w:lang w:val="en-US"/>
        </w:rPr>
        <w:t xml:space="preserve">by </w:t>
      </w:r>
      <w:hyperlink r:id="rId2" w:history="1">
        <w:r w:rsidRPr="00D07ADC">
          <w:rPr>
            <w:i/>
            <w:lang w:val="en-US"/>
          </w:rPr>
          <w:t>Arnold Joseph Toynbee</w:t>
        </w:r>
      </w:hyperlink>
      <w:r w:rsidRPr="00D07ADC">
        <w:rPr>
          <w:lang w:val="en-US"/>
        </w:rPr>
        <w:t>, 1926, s. 26.</w:t>
      </w:r>
    </w:p>
  </w:footnote>
  <w:footnote w:id="252">
    <w:p w:rsidR="00942133" w:rsidRPr="00D07ADC" w:rsidRDefault="00942133" w:rsidP="001E5F63">
      <w:pPr>
        <w:pStyle w:val="Tekstprzypisudolnego"/>
        <w:spacing w:line="23" w:lineRule="atLeast"/>
        <w:ind w:firstLine="0"/>
        <w:contextualSpacing/>
        <w:rPr>
          <w:lang w:val="fr-FR"/>
        </w:rPr>
      </w:pPr>
      <w:r w:rsidRPr="00D07ADC">
        <w:rPr>
          <w:rStyle w:val="Odwoanieprzypisudolnego"/>
          <w:rFonts w:ascii="Times New Roman" w:hAnsi="Times New Roman"/>
          <w:sz w:val="20"/>
        </w:rPr>
        <w:footnoteRef/>
      </w:r>
      <w:r w:rsidRPr="00D07ADC">
        <w:rPr>
          <w:lang w:val="fr-FR"/>
        </w:rPr>
        <w:t>ASDN, 27/51066/49486/R. 1439, Dossier secret gardé à la Chambre forte de la Bibliothèque</w:t>
      </w:r>
      <w:r>
        <w:rPr>
          <w:lang w:val="fr-FR"/>
        </w:rPr>
        <w:t>…</w:t>
      </w:r>
      <w:r w:rsidRPr="00D07ADC">
        <w:rPr>
          <w:lang w:val="fr-FR"/>
        </w:rPr>
        <w:t xml:space="preserve">, le 16 avril 1926. </w:t>
      </w:r>
      <w:r w:rsidRPr="00D07ADC">
        <w:t xml:space="preserve">W gąszczu sprzecznych dążeń społecznych w Chinach do wrogów Ligi należeli komuniści. Jeden z wybijających się polityków tej formacji – Mao Tse-tung pisał w marcu 1926 r., że w ówczesnym świecie ścierały się dwie potężne siły rewolucji i kontrrewolucji. Pierwsza z nich była skupiona pod sztandarem czerwonym i wokół III Międzynarodówki, druga pod sztandarem białym, który „wzniosła Liga Narodów, nawołująca wszystkie kontrrewolucyjne siły świata do zjednoczenia się pod jej sztandarem” – zob. </w:t>
      </w:r>
      <w:r w:rsidRPr="00D07ADC">
        <w:rPr>
          <w:lang w:val="fr-FR"/>
        </w:rPr>
        <w:t xml:space="preserve">S. Sierpowski, </w:t>
      </w:r>
      <w:r w:rsidRPr="00D07ADC">
        <w:rPr>
          <w:i/>
          <w:lang w:val="fr-FR"/>
        </w:rPr>
        <w:t>Źródła</w:t>
      </w:r>
      <w:r w:rsidRPr="00D07ADC">
        <w:rPr>
          <w:lang w:val="fr-FR"/>
        </w:rPr>
        <w:t>, t. I, s. 527.</w:t>
      </w:r>
    </w:p>
  </w:footnote>
  <w:footnote w:id="253">
    <w:p w:rsidR="00942133" w:rsidRPr="00D07ADC" w:rsidRDefault="00942133" w:rsidP="001E5F63">
      <w:pPr>
        <w:pStyle w:val="Tekstprzypisudolnego"/>
        <w:spacing w:line="23" w:lineRule="atLeast"/>
        <w:ind w:firstLine="0"/>
        <w:contextualSpacing/>
        <w:rPr>
          <w:lang w:val="fr-FR"/>
        </w:rPr>
      </w:pPr>
      <w:r w:rsidRPr="00D07ADC">
        <w:rPr>
          <w:rStyle w:val="Odwoanieprzypisudolnego"/>
          <w:rFonts w:ascii="Times New Roman" w:hAnsi="Times New Roman"/>
          <w:sz w:val="20"/>
        </w:rPr>
        <w:footnoteRef/>
      </w:r>
      <w:r w:rsidRPr="00D07ADC">
        <w:rPr>
          <w:i/>
          <w:lang w:val="fr-FR"/>
        </w:rPr>
        <w:t>Union Internationale des Associations pour la Société des Nations. Neuvième Assem</w:t>
      </w:r>
      <w:r>
        <w:rPr>
          <w:i/>
          <w:lang w:val="fr-FR"/>
        </w:rPr>
        <w:t>b</w:t>
      </w:r>
      <w:r w:rsidRPr="00D07ADC">
        <w:rPr>
          <w:i/>
          <w:lang w:val="fr-FR"/>
        </w:rPr>
        <w:t>lée. Varsovie 5-8 juillet 1925</w:t>
      </w:r>
      <w:r w:rsidRPr="00D07ADC">
        <w:rPr>
          <w:lang w:val="fr-FR"/>
        </w:rPr>
        <w:t>, Bruxelles 1925, s. 39.</w:t>
      </w:r>
    </w:p>
  </w:footnote>
  <w:footnote w:id="254">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rPr>
          <w:lang w:val="fr-FR"/>
        </w:rPr>
        <w:t xml:space="preserve">K.D. Morawski informował min. </w:t>
      </w:r>
      <w:r w:rsidRPr="00D07ADC">
        <w:t>Skrzyńskiego, że Szwecja reprezentowała w Radzie„element najbardziej proniemiecki” – AAN, Delegacja RP, sygn. 211, k. 169 (raport bez daty, ale z marca 1925 r.).</w:t>
      </w:r>
    </w:p>
  </w:footnote>
  <w:footnote w:id="255">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Negocjacje na przełomie lat 1925/1926 szczegółowo analizuje J. Wintzer, </w:t>
      </w:r>
      <w:r w:rsidRPr="00D07ADC">
        <w:rPr>
          <w:i/>
          <w:iCs/>
        </w:rPr>
        <w:t>Deutschland und der Völkerbund</w:t>
      </w:r>
      <w:r w:rsidRPr="00D07ADC">
        <w:rPr>
          <w:iCs/>
        </w:rPr>
        <w:t>, s. 531 i n.</w:t>
      </w:r>
    </w:p>
  </w:footnote>
  <w:footnote w:id="256">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Regulamin posiedzeń Rady przewidywał posiedzenia publiczne (z udziałem publiczności i prasy) oraz prywatne. Protokoły lub notatki z tych ostatnich np. jako „commentaires; minutes” wyraźnie mówiły o posiedzeniach prywatnych. Pojęcie „secret meeting” widnieje w notatcesygnowanej E.D. (Erick Drummond) ze spotkania członków Rady 11 stycznia 1922 r. (ASDN,14/9887/2385, R. 6228).</w:t>
      </w:r>
    </w:p>
  </w:footnote>
  <w:footnote w:id="257">
    <w:p w:rsidR="00942133" w:rsidRPr="00D07ADC" w:rsidRDefault="00942133" w:rsidP="001E5F63">
      <w:pPr>
        <w:spacing w:line="23" w:lineRule="atLeast"/>
        <w:ind w:firstLine="0"/>
        <w:contextualSpacing/>
        <w:rPr>
          <w:i/>
          <w:sz w:val="20"/>
          <w:szCs w:val="20"/>
        </w:rPr>
      </w:pPr>
      <w:r w:rsidRPr="00D07ADC">
        <w:rPr>
          <w:rStyle w:val="Odwoanieprzypisudolnego"/>
          <w:rFonts w:ascii="Times New Roman" w:hAnsi="Times New Roman"/>
          <w:sz w:val="20"/>
          <w:szCs w:val="20"/>
        </w:rPr>
        <w:footnoteRef/>
      </w:r>
      <w:r w:rsidRPr="00D07ADC">
        <w:rPr>
          <w:sz w:val="20"/>
          <w:szCs w:val="20"/>
          <w:lang w:val="fr-FR"/>
        </w:rPr>
        <w:t xml:space="preserve">ASDN,14/9887/2385, R. 6228 (Procès-verbaux des séances secrètes du Conseil (25 février 1921 – 15 décrmbre 1928). </w:t>
      </w:r>
      <w:r w:rsidRPr="00D07ADC">
        <w:rPr>
          <w:sz w:val="20"/>
          <w:szCs w:val="20"/>
        </w:rPr>
        <w:t xml:space="preserve">Posiedzenie z 25 lutego 1921 r. nie było tajne, lecz </w:t>
      </w:r>
      <w:r w:rsidRPr="00D07ADC">
        <w:rPr>
          <w:i/>
          <w:sz w:val="20"/>
          <w:szCs w:val="20"/>
        </w:rPr>
        <w:t>Private Meeting of Council</w:t>
      </w:r>
      <w:r w:rsidRPr="00D07ADC">
        <w:rPr>
          <w:sz w:val="20"/>
          <w:szCs w:val="20"/>
        </w:rPr>
        <w:t xml:space="preserve">. To kolejny dowód, że przytoczony powyżej rejestr nie jest dokładny ani też kompletny; zob. więcej S. Sierpowski, </w:t>
      </w:r>
      <w:r w:rsidRPr="00D07ADC">
        <w:rPr>
          <w:i/>
          <w:sz w:val="20"/>
          <w:szCs w:val="20"/>
        </w:rPr>
        <w:t>Tajne spotkania członków Rady Ligi Narodów w świetle dokumentacjiArchivès de la Société des Nations w Genewie</w:t>
      </w:r>
      <w:r w:rsidRPr="00D07ADC">
        <w:rPr>
          <w:sz w:val="20"/>
          <w:szCs w:val="20"/>
        </w:rPr>
        <w:t>(w druku).</w:t>
      </w:r>
    </w:p>
  </w:footnote>
  <w:footnote w:id="258">
    <w:p w:rsidR="00942133" w:rsidRPr="00D07ADC" w:rsidRDefault="00942133" w:rsidP="001E5F63">
      <w:pPr>
        <w:pStyle w:val="Tekstprzypisudolnego"/>
        <w:spacing w:line="23" w:lineRule="atLeast"/>
        <w:ind w:firstLine="0"/>
        <w:contextualSpacing/>
        <w:rPr>
          <w:lang w:val="fr-FR"/>
        </w:rPr>
      </w:pPr>
      <w:r w:rsidRPr="00D07ADC">
        <w:rPr>
          <w:rStyle w:val="Odwoanieprzypisudolnego"/>
          <w:rFonts w:ascii="Times New Roman" w:hAnsi="Times New Roman"/>
          <w:sz w:val="20"/>
        </w:rPr>
        <w:footnoteRef/>
      </w:r>
      <w:r w:rsidRPr="00D07ADC">
        <w:rPr>
          <w:lang w:val="fr-FR"/>
        </w:rPr>
        <w:t>J.O</w:t>
      </w:r>
      <w:r w:rsidRPr="00B35E01">
        <w:rPr>
          <w:lang w:val="fr-FR"/>
        </w:rPr>
        <w:t>. Session Extraordinaire de l’Assemblée,</w:t>
      </w:r>
      <w:r w:rsidRPr="00D07ADC">
        <w:rPr>
          <w:lang w:val="fr-FR"/>
        </w:rPr>
        <w:t xml:space="preserve"> 1926, s. 45.</w:t>
      </w:r>
    </w:p>
  </w:footnote>
  <w:footnote w:id="259">
    <w:p w:rsidR="00942133" w:rsidRPr="00D07ADC" w:rsidRDefault="00942133" w:rsidP="001E5F63">
      <w:pPr>
        <w:pStyle w:val="Tekstprzypisudolnego"/>
        <w:spacing w:line="23" w:lineRule="atLeast"/>
        <w:ind w:firstLine="0"/>
        <w:contextualSpacing/>
        <w:rPr>
          <w:lang w:val="de-DE"/>
        </w:rPr>
      </w:pPr>
      <w:r w:rsidRPr="00D07ADC">
        <w:rPr>
          <w:rStyle w:val="Odwoanieprzypisudolnego"/>
          <w:rFonts w:ascii="Times New Roman" w:hAnsi="Times New Roman"/>
          <w:sz w:val="20"/>
        </w:rPr>
        <w:footnoteRef/>
      </w:r>
      <w:r w:rsidRPr="00D07ADC">
        <w:rPr>
          <w:lang w:val="de-DE"/>
        </w:rPr>
        <w:t xml:space="preserve"> J. Spenz, </w:t>
      </w:r>
      <w:r w:rsidRPr="00D07ADC">
        <w:rPr>
          <w:i/>
          <w:lang w:val="de-DE"/>
        </w:rPr>
        <w:t>Die Diplomati</w:t>
      </w:r>
      <w:r>
        <w:rPr>
          <w:i/>
          <w:lang w:val="de-DE"/>
        </w:rPr>
        <w:t>s</w:t>
      </w:r>
      <w:r w:rsidRPr="00D07ADC">
        <w:rPr>
          <w:i/>
          <w:lang w:val="de-DE"/>
        </w:rPr>
        <w:t>che Vorgeschichte,</w:t>
      </w:r>
      <w:r w:rsidRPr="00D07ADC">
        <w:rPr>
          <w:lang w:val="de-DE"/>
        </w:rPr>
        <w:t xml:space="preserve"> s. 37 i n.; H. Korczyk, </w:t>
      </w:r>
      <w:r w:rsidRPr="00D07ADC">
        <w:rPr>
          <w:i/>
          <w:lang w:val="de-DE"/>
        </w:rPr>
        <w:t>Przyjęcie</w:t>
      </w:r>
      <w:r w:rsidRPr="00D07ADC">
        <w:rPr>
          <w:lang w:val="de-DE"/>
        </w:rPr>
        <w:t>, s. 111.</w:t>
      </w:r>
    </w:p>
  </w:footnote>
  <w:footnote w:id="260">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AAN, A Londyn, sygn. 689, k. 23 (A. Skrzyński do p. posła w Londynie, Warszawa 12.04.1926).</w:t>
      </w:r>
    </w:p>
  </w:footnote>
  <w:footnote w:id="261">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Więcej zob. m.in. S. Sierpowski, </w:t>
      </w:r>
      <w:r w:rsidRPr="00D07ADC">
        <w:rPr>
          <w:i/>
        </w:rPr>
        <w:t>Litewskie próby utrącenia polskiej kandydatury do Rady Ligi w 1926 r.</w:t>
      </w:r>
      <w:r w:rsidRPr="00D07ADC">
        <w:t xml:space="preserve"> [w:] </w:t>
      </w:r>
      <w:r w:rsidRPr="00D07ADC">
        <w:rPr>
          <w:i/>
        </w:rPr>
        <w:t>Problemy narodowościowe Europy</w:t>
      </w:r>
      <w:r w:rsidRPr="00D07ADC">
        <w:rPr>
          <w:i/>
          <w:iCs/>
          <w:spacing w:val="-3"/>
        </w:rPr>
        <w:t xml:space="preserve"> Środkowo-Wschodniej w XIX i XX wieku</w:t>
      </w:r>
      <w:r w:rsidRPr="00D07ADC">
        <w:rPr>
          <w:iCs/>
          <w:spacing w:val="-3"/>
        </w:rPr>
        <w:t>, red.</w:t>
      </w:r>
      <w:r w:rsidRPr="00D07ADC">
        <w:rPr>
          <w:spacing w:val="-3"/>
        </w:rPr>
        <w:t xml:space="preserve"> A. Czubiński i in., Poznań 2002</w:t>
      </w:r>
      <w:r w:rsidRPr="00D07ADC">
        <w:t xml:space="preserve">, s. 393 i n.; tegoż, </w:t>
      </w:r>
      <w:r w:rsidRPr="00D07ADC">
        <w:rPr>
          <w:i/>
        </w:rPr>
        <w:t>Polsko-litewski „stan wojny” w świetle Paktu Ligi Narodów</w:t>
      </w:r>
      <w:r w:rsidRPr="00D07ADC">
        <w:t xml:space="preserve">, [w:] </w:t>
      </w:r>
      <w:r w:rsidRPr="00D07ADC">
        <w:rPr>
          <w:i/>
        </w:rPr>
        <w:t>Społeczeństwo</w:t>
      </w:r>
      <w:r w:rsidRPr="00D07ADC">
        <w:rPr>
          <w:i/>
          <w:iCs/>
          <w:spacing w:val="-3"/>
        </w:rPr>
        <w:t>, państwo, modernizacja</w:t>
      </w:r>
      <w:r w:rsidRPr="00D07ADC">
        <w:rPr>
          <w:iCs/>
          <w:spacing w:val="-3"/>
        </w:rPr>
        <w:t>, red.</w:t>
      </w:r>
      <w:r w:rsidRPr="00D07ADC">
        <w:rPr>
          <w:spacing w:val="-3"/>
        </w:rPr>
        <w:t xml:space="preserve"> W. Mędrzecki, Warszawa 2002</w:t>
      </w:r>
      <w:r w:rsidRPr="00D07ADC">
        <w:t>, s. 71 i n.</w:t>
      </w:r>
    </w:p>
  </w:footnote>
  <w:footnote w:id="262">
    <w:p w:rsidR="00942133" w:rsidRPr="00D07ADC" w:rsidRDefault="00942133" w:rsidP="001E5F63">
      <w:pPr>
        <w:pStyle w:val="Tekstprzypisudolnego"/>
        <w:spacing w:line="23" w:lineRule="atLeast"/>
        <w:ind w:firstLine="0"/>
        <w:contextualSpacing/>
        <w:rPr>
          <w:lang w:val="de-AT"/>
        </w:rPr>
      </w:pPr>
      <w:r w:rsidRPr="00D07ADC">
        <w:rPr>
          <w:rStyle w:val="Odwoanieprzypisudolnego"/>
          <w:rFonts w:ascii="Times New Roman" w:hAnsi="Times New Roman"/>
          <w:sz w:val="20"/>
        </w:rPr>
        <w:footnoteRef/>
      </w:r>
      <w:r w:rsidRPr="00D07ADC">
        <w:t xml:space="preserve"> Drobiazgową rekonstrukcję tych wydarzeń zob. </w:t>
      </w:r>
      <w:r w:rsidRPr="00D07ADC">
        <w:rPr>
          <w:lang w:val="de-AT"/>
        </w:rPr>
        <w:t xml:space="preserve">H. Korczyk, </w:t>
      </w:r>
      <w:r w:rsidRPr="00D07ADC">
        <w:rPr>
          <w:i/>
          <w:lang w:val="de-AT"/>
        </w:rPr>
        <w:t>Przyjęcie</w:t>
      </w:r>
      <w:r w:rsidRPr="00D07ADC">
        <w:rPr>
          <w:lang w:val="de-AT"/>
        </w:rPr>
        <w:t>, passim.</w:t>
      </w:r>
    </w:p>
  </w:footnote>
  <w:footnote w:id="263">
    <w:p w:rsidR="00942133" w:rsidRPr="00D07ADC" w:rsidRDefault="00942133" w:rsidP="001E5F63">
      <w:pPr>
        <w:pStyle w:val="Tekstprzypisudolnego"/>
        <w:spacing w:line="23" w:lineRule="atLeast"/>
        <w:ind w:firstLine="0"/>
        <w:contextualSpacing/>
        <w:rPr>
          <w:lang w:val="de-DE"/>
        </w:rPr>
      </w:pPr>
      <w:r w:rsidRPr="00D07ADC">
        <w:rPr>
          <w:rStyle w:val="Odwoanieprzypisudolnego"/>
          <w:rFonts w:ascii="Times New Roman" w:hAnsi="Times New Roman"/>
          <w:sz w:val="20"/>
        </w:rPr>
        <w:footnoteRef/>
      </w:r>
      <w:r w:rsidRPr="00D07ADC">
        <w:rPr>
          <w:lang w:val="de-DE"/>
        </w:rPr>
        <w:t xml:space="preserve"> Zob. J. Spenz</w:t>
      </w:r>
      <w:r w:rsidRPr="00B35E01">
        <w:rPr>
          <w:lang w:val="de-DE"/>
        </w:rPr>
        <w:t>,</w:t>
      </w:r>
      <w:r w:rsidRPr="00D07ADC">
        <w:rPr>
          <w:i/>
          <w:lang w:val="de-DE"/>
        </w:rPr>
        <w:t xml:space="preserve"> Die Diplomati</w:t>
      </w:r>
      <w:r>
        <w:rPr>
          <w:i/>
          <w:lang w:val="de-DE"/>
        </w:rPr>
        <w:t>s</w:t>
      </w:r>
      <w:r w:rsidRPr="00D07ADC">
        <w:rPr>
          <w:i/>
          <w:lang w:val="de-DE"/>
        </w:rPr>
        <w:t>che Vorgeschichte</w:t>
      </w:r>
      <w:r w:rsidRPr="00D07ADC">
        <w:rPr>
          <w:lang w:val="de-DE"/>
        </w:rPr>
        <w:t>, s. 130 i n.</w:t>
      </w:r>
    </w:p>
  </w:footnote>
  <w:footnote w:id="264">
    <w:p w:rsidR="00942133" w:rsidRPr="00D07ADC" w:rsidRDefault="00942133" w:rsidP="001E5F63">
      <w:pPr>
        <w:pStyle w:val="Tekstprzypisudolnego"/>
        <w:spacing w:line="23" w:lineRule="atLeast"/>
        <w:ind w:firstLine="0"/>
        <w:contextualSpacing/>
        <w:rPr>
          <w:lang w:val="fr-FR"/>
        </w:rPr>
      </w:pPr>
      <w:r w:rsidRPr="00D07ADC">
        <w:rPr>
          <w:rStyle w:val="Odwoanieprzypisudolnego"/>
          <w:rFonts w:ascii="Times New Roman" w:hAnsi="Times New Roman"/>
          <w:sz w:val="20"/>
        </w:rPr>
        <w:footnoteRef/>
      </w:r>
      <w:r w:rsidRPr="00D07ADC">
        <w:rPr>
          <w:lang w:val="de-DE"/>
        </w:rPr>
        <w:t xml:space="preserve"> N. Breda dos Santos, </w:t>
      </w:r>
      <w:r w:rsidRPr="00D07ADC">
        <w:rPr>
          <w:i/>
          <w:lang w:val="de-DE"/>
        </w:rPr>
        <w:t>Diplomacia e fiasco: repensando a participação brasileira na Liga das Nações: para una nova interpretação</w:t>
      </w:r>
      <w:r w:rsidRPr="00D07ADC">
        <w:rPr>
          <w:lang w:val="de-DE"/>
        </w:rPr>
        <w:t xml:space="preserve">, Revista brasileira de política internacional 46 (2003), nr 2, s. 87 i n.; jest to resumé tezy doktorskiej pt. </w:t>
      </w:r>
      <w:r w:rsidRPr="00D07ADC">
        <w:rPr>
          <w:i/>
          <w:lang w:val="fr-FR"/>
        </w:rPr>
        <w:t>Brésil et la Société des Nations</w:t>
      </w:r>
      <w:r w:rsidRPr="00D07ADC">
        <w:rPr>
          <w:lang w:val="fr-FR"/>
        </w:rPr>
        <w:t>, Universidade de Genebra 1996, ss. 269.</w:t>
      </w:r>
    </w:p>
  </w:footnote>
  <w:footnote w:id="265">
    <w:p w:rsidR="00942133" w:rsidRPr="00D07ADC" w:rsidRDefault="00942133" w:rsidP="001E5F63">
      <w:pPr>
        <w:spacing w:line="23" w:lineRule="atLeast"/>
        <w:ind w:firstLine="0"/>
        <w:contextualSpacing/>
        <w:rPr>
          <w:sz w:val="20"/>
          <w:szCs w:val="20"/>
          <w:lang w:val="fr-FR"/>
        </w:rPr>
      </w:pPr>
      <w:r w:rsidRPr="00D07ADC">
        <w:rPr>
          <w:rStyle w:val="Odwoanieprzypisudolnego"/>
          <w:rFonts w:ascii="Times New Roman" w:hAnsi="Times New Roman"/>
          <w:sz w:val="20"/>
          <w:szCs w:val="20"/>
        </w:rPr>
        <w:footnoteRef/>
      </w:r>
      <w:r w:rsidRPr="00D07ADC">
        <w:rPr>
          <w:sz w:val="20"/>
          <w:szCs w:val="20"/>
          <w:lang w:val="fr-FR"/>
        </w:rPr>
        <w:t xml:space="preserve">ASDN, 27/49936/49466, R. 1439, Lettre du Déléqué de la Chine, Genève, le 15 mars 1926; </w:t>
      </w:r>
      <w:r w:rsidRPr="00D07ADC">
        <w:rPr>
          <w:i/>
          <w:sz w:val="20"/>
          <w:szCs w:val="20"/>
          <w:lang w:val="fr-FR"/>
        </w:rPr>
        <w:t>Resumé Mensuel</w:t>
      </w:r>
      <w:r w:rsidRPr="00B35E01">
        <w:rPr>
          <w:sz w:val="20"/>
          <w:szCs w:val="20"/>
          <w:lang w:val="fr-FR"/>
        </w:rPr>
        <w:t>, VI, 1926,</w:t>
      </w:r>
      <w:r>
        <w:rPr>
          <w:sz w:val="20"/>
          <w:szCs w:val="20"/>
          <w:lang w:val="fr-FR"/>
        </w:rPr>
        <w:t xml:space="preserve"> s. 80; Chao-Hsin Chu, profesor</w:t>
      </w:r>
      <w:r w:rsidRPr="00D07ADC">
        <w:rPr>
          <w:sz w:val="20"/>
          <w:szCs w:val="20"/>
          <w:lang w:val="fr-FR"/>
        </w:rPr>
        <w:t xml:space="preserve"> uniwersytetu w Pekinie, był posłem w Rzymie, od 1922 r. reprezentował Chiny w LN.</w:t>
      </w:r>
    </w:p>
  </w:footnote>
  <w:footnote w:id="266">
    <w:p w:rsidR="00942133" w:rsidRPr="00D07ADC" w:rsidRDefault="00942133" w:rsidP="001E5F63">
      <w:pPr>
        <w:pStyle w:val="Tekstprzypisudolnego"/>
        <w:spacing w:line="23" w:lineRule="atLeast"/>
        <w:ind w:firstLine="0"/>
        <w:contextualSpacing/>
        <w:rPr>
          <w:lang w:val="it-IT"/>
        </w:rPr>
      </w:pPr>
      <w:r w:rsidRPr="00D07ADC">
        <w:rPr>
          <w:rStyle w:val="Odwoanieprzypisudolnego"/>
          <w:rFonts w:ascii="Times New Roman" w:hAnsi="Times New Roman"/>
          <w:sz w:val="20"/>
        </w:rPr>
        <w:footnoteRef/>
      </w:r>
      <w:r w:rsidRPr="00D07ADC">
        <w:rPr>
          <w:lang w:val="it-IT"/>
        </w:rPr>
        <w:t xml:space="preserve">Nieobecni to Argentyna, Boliwia, Haiti, Honduras, Panama i Peru – zob. </w:t>
      </w:r>
      <w:r w:rsidRPr="00D07ADC">
        <w:rPr>
          <w:i/>
          <w:lang w:val="it-IT"/>
        </w:rPr>
        <w:t>Resumé Mensuel</w:t>
      </w:r>
      <w:r w:rsidRPr="00D07ADC">
        <w:rPr>
          <w:lang w:val="it-IT"/>
        </w:rPr>
        <w:t>, VI, 1926, s. 50.</w:t>
      </w:r>
    </w:p>
  </w:footnote>
  <w:footnote w:id="267">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rPr>
          <w:i/>
          <w:lang w:val="fr-FR"/>
        </w:rPr>
        <w:t>Session Extraordinaire de l’Assemblée 1926</w:t>
      </w:r>
      <w:r w:rsidRPr="00D07ADC">
        <w:rPr>
          <w:lang w:val="fr-FR"/>
        </w:rPr>
        <w:t>, s. 29; M. Perez-Guerrero,</w:t>
      </w:r>
      <w:r w:rsidRPr="00D07ADC">
        <w:rPr>
          <w:i/>
          <w:lang w:val="fr-FR"/>
        </w:rPr>
        <w:t xml:space="preserve"> Les relations de Etats de l’Amerique latin avec la Société des Nations</w:t>
      </w:r>
      <w:r w:rsidRPr="00D07ADC">
        <w:rPr>
          <w:lang w:val="fr-FR"/>
        </w:rPr>
        <w:t xml:space="preserve">, s. 23-24. </w:t>
      </w:r>
      <w:r w:rsidRPr="00D07ADC">
        <w:t xml:space="preserve">Trwające spory i zmagania kontrastowały z treścią i historyczną wymową spotkania 14 marca poświęconego pamięci zmarłego senatora Leona Bourgeoisa, wybitnego francuskiego współtwórcy idei logowej, przewodniczącego kilku sesji Rady w 1920 r. O jego wkładzie do teorii i praktyki LN mówił Francisco J. Urrutia z Kolumbii, prawnik, ambasador w Hiszpanii i Szwajcarii, bardzo aktywny w środowisku ligowym, szermierz „ducha Genewy”, </w:t>
      </w:r>
      <w:r w:rsidRPr="00D07ADC">
        <w:rPr>
          <w:i/>
        </w:rPr>
        <w:t>Resumé Mensuel</w:t>
      </w:r>
      <w:r w:rsidRPr="00B35E01">
        <w:t>, V</w:t>
      </w:r>
      <w:r w:rsidRPr="00D07ADC">
        <w:t>I, 1926, s. 53</w:t>
      </w:r>
      <w:r>
        <w:t>.</w:t>
      </w:r>
    </w:p>
  </w:footnote>
  <w:footnote w:id="268">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H. Korczyk, </w:t>
      </w:r>
      <w:r w:rsidRPr="00D07ADC">
        <w:rPr>
          <w:i/>
        </w:rPr>
        <w:t>Przyjęcie</w:t>
      </w:r>
      <w:r w:rsidRPr="00D07ADC">
        <w:t>, s. 189 i n.</w:t>
      </w:r>
    </w:p>
  </w:footnote>
  <w:footnote w:id="269">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Nie brakowało też spekulacji, że to Niemcy posłużyły się Brazylią dla zablokowania wejścia Polski do Rady. Tak twierdził np. William Castle z Departamentu Stanu USA dodatkowo dotknięty tym, że Brazylii marzy się reprezentacja interesów panamerykańskich – AAN, Delegacja RP przy LN, sygn. 33, k. 9 (poseł Jan Ciechanowski do min. Skrzyńskiego, Waszyngton 18 marca 1926). W raporcie z kwietnia polski poseł informował, że mało kto spośród czynników miarodajnych twierdzi, „aby Brazylia działała na własną rękę”. Ponawiając sugestię o porozumieniu brazylijsko-niemieckim (Niemcy chcieli podnieść cenę swych akcji w targach o Nadrenię), wskazywano na Chamberlaina i Brianda, którzy namawiali Brazylię do działania, gdyż „w obecnej chwili nie zdołają przeprowadzić w sposób zadowalający rozszerzenia Rady” (tamże, k. 48). W „New York Times” z 18 marca 1926 r. w korespondencji z a pisano o ciężkim, otwartym kryzysie Ligi oraz obawach z tym związanych wyraźnie dzielących świat polityczny na zwolenników i przeciwników Ligi.</w:t>
      </w:r>
    </w:p>
  </w:footnote>
  <w:footnote w:id="270">
    <w:p w:rsidR="00942133" w:rsidRPr="00D07ADC" w:rsidRDefault="00942133" w:rsidP="001E5F63">
      <w:pPr>
        <w:pStyle w:val="Tekstprzypisudolnego"/>
        <w:spacing w:line="23" w:lineRule="atLeast"/>
        <w:ind w:firstLine="0"/>
        <w:contextualSpacing/>
        <w:rPr>
          <w:lang w:val="fr-FR"/>
        </w:rPr>
      </w:pPr>
      <w:r w:rsidRPr="00D07ADC">
        <w:rPr>
          <w:rStyle w:val="Odwoanieprzypisudolnego"/>
          <w:rFonts w:ascii="Times New Roman" w:hAnsi="Times New Roman"/>
          <w:sz w:val="20"/>
        </w:rPr>
        <w:footnoteRef/>
      </w:r>
      <w:r w:rsidRPr="00D07ADC">
        <w:t xml:space="preserve"> ASDN, Fonds Paul Mantoux, P. 331 (notatka z marca 1926 r. bez daty dziennej). Delegacje zajmowały różne hotele – niemiecka przywiązała się do Metropolu, Brytyjczycy zajmowali Beau-Rivage, a Francuzi i Włosi hotel des Bergues. Ten ostatni był ulubionym dla większość delegacji uczestniczących w sesjach Rady, ASDN, R. 6228. </w:t>
      </w:r>
      <w:r w:rsidRPr="00D07ADC">
        <w:rPr>
          <w:lang w:val="fr-FR"/>
        </w:rPr>
        <w:t>Office circoular No 74.1926, Genève, le 2 décembre 1926.</w:t>
      </w:r>
    </w:p>
  </w:footnote>
  <w:footnote w:id="271">
    <w:p w:rsidR="00942133" w:rsidRPr="00D07ADC" w:rsidRDefault="00942133" w:rsidP="001E5F63">
      <w:pPr>
        <w:pStyle w:val="Tekstprzypisudolnego"/>
        <w:spacing w:line="23" w:lineRule="atLeast"/>
        <w:ind w:firstLine="0"/>
        <w:contextualSpacing/>
        <w:rPr>
          <w:lang w:val="fr-FR"/>
        </w:rPr>
      </w:pPr>
      <w:r w:rsidRPr="00D07ADC">
        <w:rPr>
          <w:rStyle w:val="Odwoanieprzypisudolnego"/>
          <w:rFonts w:ascii="Times New Roman" w:hAnsi="Times New Roman"/>
          <w:sz w:val="20"/>
        </w:rPr>
        <w:footnoteRef/>
      </w:r>
      <w:r w:rsidRPr="00D07ADC">
        <w:rPr>
          <w:lang w:val="fr-FR"/>
        </w:rPr>
        <w:t xml:space="preserve">G. Streseamann, </w:t>
      </w:r>
      <w:r w:rsidRPr="00D07ADC">
        <w:rPr>
          <w:i/>
          <w:lang w:val="fr-FR"/>
        </w:rPr>
        <w:t>Vermächtnis</w:t>
      </w:r>
      <w:r w:rsidRPr="00D07ADC">
        <w:rPr>
          <w:lang w:val="fr-FR"/>
        </w:rPr>
        <w:t xml:space="preserve">, t. II, s. 533. </w:t>
      </w:r>
    </w:p>
  </w:footnote>
  <w:footnote w:id="272">
    <w:p w:rsidR="00942133" w:rsidRPr="00D07ADC"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D07ADC">
        <w:t xml:space="preserve"> Po rewizji 3 maja 1924 r. w budynku przedstawicielstwa handlowego ZSRR doszło do silnego naprężenia stosunków, których normalizację Stresemann „umyślnie przeciągał” z powodu rokowań o plan Dawesa; o prowadzonej wówczas grze pisze zob. </w:t>
      </w:r>
      <w:r w:rsidRPr="00D07ADC">
        <w:rPr>
          <w:lang w:val="en-US"/>
        </w:rPr>
        <w:t>J. Wright</w:t>
      </w:r>
      <w:r w:rsidRPr="00D07ADC">
        <w:rPr>
          <w:i/>
          <w:lang w:val="en-US"/>
        </w:rPr>
        <w:t>, Gustav Stresemann: Weimar's Greatest Statesman</w:t>
      </w:r>
      <w:r w:rsidRPr="00D07ADC">
        <w:rPr>
          <w:lang w:val="en-US"/>
        </w:rPr>
        <w:t>, s. 270 i n.</w:t>
      </w:r>
    </w:p>
  </w:footnote>
  <w:footnote w:id="273">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R. Iljuchina, </w:t>
      </w:r>
      <w:r w:rsidRPr="00D07ADC">
        <w:rPr>
          <w:i/>
        </w:rPr>
        <w:t>Liga Nacij</w:t>
      </w:r>
      <w:r w:rsidRPr="00D07ADC">
        <w:t xml:space="preserve">, s. 137 i n., A. Skrzypek, </w:t>
      </w:r>
      <w:r w:rsidRPr="00D07ADC">
        <w:rPr>
          <w:i/>
        </w:rPr>
        <w:t>Niemcy w polityce ZSRR</w:t>
      </w:r>
      <w:r w:rsidRPr="00D07ADC">
        <w:t xml:space="preserve">, [w:] </w:t>
      </w:r>
      <w:r w:rsidRPr="00D07ADC">
        <w:rPr>
          <w:i/>
        </w:rPr>
        <w:t>Niemcy w polityce międzynarodowej</w:t>
      </w:r>
      <w:r w:rsidRPr="00D07ADC">
        <w:t xml:space="preserve">, t. I, s. 263 i n.; tegoż, </w:t>
      </w:r>
      <w:r w:rsidRPr="00D07ADC">
        <w:rPr>
          <w:i/>
        </w:rPr>
        <w:t>Nie spełniony sojusz?,</w:t>
      </w:r>
      <w:r w:rsidRPr="00D07ADC">
        <w:t>s. 36 i n.</w:t>
      </w:r>
    </w:p>
  </w:footnote>
  <w:footnote w:id="274">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Stanowisko to zaprezentowane przez Stresemanna w rozmowie z ambasadorem francuskim zostało w październiku 1924 r. powtórzone HerlufowiZahle </w:t>
      </w:r>
      <w:r>
        <w:t>–</w:t>
      </w:r>
      <w:r w:rsidRPr="00D07ADC">
        <w:t xml:space="preserve"> duńskiemu politykowi i ekspertowi prawa międzynarodowego, który uznał niemiecką wykładnię art. 16 za „zupełnie zrozumiałą”. Zauważył zarazem, że uwolnienie tak dużego państwa jak Niemcy, leżące w centrum europejskich dróg tranzytowych z obowiązków płynących z art. 16 uczyniłoby doniosły wyłom w podstawowych ideach Ligi, co do „assistence mutuelle”, AAN, AB, sygn. 1353, k. 273 (K. Olszewski do p. ministra, Berlin 29.12.1924 r.); H. Korczyk, Przyjęcie, s. 28 i n.; S.W. Nikonowa, </w:t>
      </w:r>
      <w:r w:rsidRPr="00D07ADC">
        <w:rPr>
          <w:i/>
        </w:rPr>
        <w:t>Oczerek evropejskoj politiki Germanii w 1924</w:t>
      </w:r>
      <w:r>
        <w:rPr>
          <w:i/>
        </w:rPr>
        <w:t>-</w:t>
      </w:r>
      <w:r w:rsidRPr="00D07ADC">
        <w:rPr>
          <w:i/>
        </w:rPr>
        <w:t>1929 gg,</w:t>
      </w:r>
      <w:r w:rsidRPr="00D07ADC">
        <w:t xml:space="preserve"> Moskwa 1977, s. 63 i n.; A. Skrzypek, </w:t>
      </w:r>
      <w:r w:rsidRPr="00D07ADC">
        <w:rPr>
          <w:i/>
        </w:rPr>
        <w:t>Nie spełniony sojusz</w:t>
      </w:r>
      <w:r w:rsidRPr="00D07ADC">
        <w:t>, s. 36 i n.</w:t>
      </w:r>
    </w:p>
  </w:footnote>
  <w:footnote w:id="275">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Powoływanie się na neutralność Szwajcarii opartej na historycznych podstawach nie znajdowało żadnego zrozumienia w sferach ligowych, które wskazywały na obowiązek tranzytu zapisany w art. 16 p. 3. Podkreślano też, że obowiązek tranzytu to raczej bierna, a nie czynna forma udziału w sankcjach.</w:t>
      </w:r>
    </w:p>
  </w:footnote>
  <w:footnote w:id="276">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Tekst polski zob. S. Sierpowski, </w:t>
      </w:r>
      <w:r w:rsidRPr="00D07ADC">
        <w:rPr>
          <w:i/>
        </w:rPr>
        <w:t>Źródła</w:t>
      </w:r>
      <w:r w:rsidRPr="00D07ADC">
        <w:t>, t. I, s. 477-479.</w:t>
      </w:r>
    </w:p>
  </w:footnote>
  <w:footnote w:id="277">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Por. m.in. cytowane wyżej prace takich autorów polskich jak W. Balceraka, W. Michowicza, H. Korczyka.</w:t>
      </w:r>
    </w:p>
  </w:footnote>
  <w:footnote w:id="278">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A. Skrzypek, </w:t>
      </w:r>
      <w:r w:rsidRPr="00D07ADC">
        <w:rPr>
          <w:i/>
        </w:rPr>
        <w:t>Niemcy w polityce ZSRR</w:t>
      </w:r>
      <w:r w:rsidRPr="00D07ADC">
        <w:t xml:space="preserve">, [w:] </w:t>
      </w:r>
      <w:r w:rsidRPr="00D07ADC">
        <w:rPr>
          <w:i/>
        </w:rPr>
        <w:t>Niemcy w polityce międzynarodowej</w:t>
      </w:r>
      <w:r w:rsidRPr="00D07ADC">
        <w:t xml:space="preserve">, t. I, s. 264 i n.; tegoż, </w:t>
      </w:r>
      <w:r w:rsidRPr="00D07ADC">
        <w:rPr>
          <w:i/>
        </w:rPr>
        <w:t>Nie spełniony sojusz</w:t>
      </w:r>
      <w:r w:rsidRPr="00B35E01">
        <w:t xml:space="preserve">, </w:t>
      </w:r>
      <w:r w:rsidRPr="00D07ADC">
        <w:t>s. 40 i n.</w:t>
      </w:r>
    </w:p>
  </w:footnote>
  <w:footnote w:id="279">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Zob. S. Sierpowski, </w:t>
      </w:r>
      <w:r w:rsidRPr="00D07ADC">
        <w:rPr>
          <w:i/>
        </w:rPr>
        <w:t>Źródła</w:t>
      </w:r>
      <w:r w:rsidRPr="00D07ADC">
        <w:t xml:space="preserve">, t. I, s. 549-552; omawia H. Korczyk, </w:t>
      </w:r>
      <w:r w:rsidRPr="00D07ADC">
        <w:rPr>
          <w:i/>
        </w:rPr>
        <w:t>Przyjęcie</w:t>
      </w:r>
      <w:r w:rsidRPr="00D07ADC">
        <w:t xml:space="preserve">, s. 206 i n.; J. Spenz, </w:t>
      </w:r>
      <w:r w:rsidRPr="00D07ADC">
        <w:rPr>
          <w:i/>
        </w:rPr>
        <w:t>Die Diplomatische Vorgeschichte</w:t>
      </w:r>
      <w:r w:rsidRPr="00D07ADC">
        <w:t>, s. 114 i n.</w:t>
      </w:r>
    </w:p>
  </w:footnote>
  <w:footnote w:id="280">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Zob. S. Sierpowski, </w:t>
      </w:r>
      <w:r w:rsidRPr="00D07ADC">
        <w:rPr>
          <w:i/>
        </w:rPr>
        <w:t>Litewsko-radziecki pakt o nieagresji w świetle Paktu Ligi Narodów</w:t>
      </w:r>
      <w:r w:rsidRPr="00D07ADC">
        <w:t xml:space="preserve">, [w:] </w:t>
      </w:r>
      <w:r w:rsidRPr="00D07ADC">
        <w:rPr>
          <w:i/>
        </w:rPr>
        <w:t>Studia historyczne nad polityką, gospodarką i kulturą</w:t>
      </w:r>
      <w:r w:rsidRPr="00D07ADC">
        <w:t>, red. B. Halczak, Zielona Góra 2002, s. 115 i n.</w:t>
      </w:r>
    </w:p>
  </w:footnote>
  <w:footnote w:id="281">
    <w:p w:rsidR="00942133" w:rsidRPr="00D07ADC" w:rsidRDefault="00942133" w:rsidP="001E5F63">
      <w:pPr>
        <w:pStyle w:val="Tekstprzypisudolnego"/>
        <w:spacing w:line="23" w:lineRule="atLeast"/>
        <w:ind w:firstLine="0"/>
        <w:contextualSpacing/>
        <w:rPr>
          <w:lang w:val="it-IT"/>
        </w:rPr>
      </w:pPr>
      <w:r w:rsidRPr="00D07ADC">
        <w:rPr>
          <w:rStyle w:val="Odwoanieprzypisudolnego"/>
          <w:rFonts w:ascii="Times New Roman" w:hAnsi="Times New Roman"/>
          <w:sz w:val="20"/>
        </w:rPr>
        <w:footnoteRef/>
      </w:r>
      <w:r w:rsidRPr="00DB4D89">
        <w:t xml:space="preserve"> ASDN, 27/49488/48486, R. 1439, Norman Ph. </w:t>
      </w:r>
      <w:r w:rsidRPr="00D07ADC">
        <w:rPr>
          <w:lang w:val="it-IT"/>
        </w:rPr>
        <w:t>Chachati do sir Erica Drummonda, Mediolan 3.03.1926.</w:t>
      </w:r>
    </w:p>
  </w:footnote>
  <w:footnote w:id="282">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Tamże, telegram do sir Erica Drummonda, Warszawa 15.02.1926.</w:t>
      </w:r>
    </w:p>
  </w:footnote>
  <w:footnote w:id="283">
    <w:p w:rsidR="00942133" w:rsidRPr="00D07ADC" w:rsidRDefault="00942133" w:rsidP="001E5F63">
      <w:pPr>
        <w:pStyle w:val="Tekstprzypisudolnego"/>
        <w:spacing w:line="23" w:lineRule="atLeast"/>
        <w:ind w:firstLine="0"/>
        <w:contextualSpacing/>
        <w:rPr>
          <w:lang w:val="fr-FR"/>
        </w:rPr>
      </w:pPr>
      <w:r w:rsidRPr="00D07ADC">
        <w:rPr>
          <w:rStyle w:val="Odwoanieprzypisudolnego"/>
          <w:rFonts w:ascii="Times New Roman" w:hAnsi="Times New Roman"/>
          <w:sz w:val="20"/>
        </w:rPr>
        <w:footnoteRef/>
      </w:r>
      <w:r w:rsidRPr="00D07ADC">
        <w:rPr>
          <w:lang w:val="fr-FR"/>
        </w:rPr>
        <w:t>Tamże, 27/50207/49486, R: 1439 – potwierdzenie odbioru apelu, Geneva, april 12th, 1926, Dossier secret gardé à la chambre forte de la bibliothèque.</w:t>
      </w:r>
    </w:p>
  </w:footnote>
  <w:footnote w:id="284">
    <w:p w:rsidR="00942133" w:rsidRPr="00D07ADC"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D07ADC">
        <w:rPr>
          <w:lang w:val="en-US"/>
        </w:rPr>
        <w:t xml:space="preserve"> Tamże: 27/49486/49486, R: 1939 – Suggestions on the Future of the Council</w:t>
      </w:r>
      <w:r>
        <w:rPr>
          <w:lang w:val="en-US"/>
        </w:rPr>
        <w:t>…</w:t>
      </w:r>
      <w:r w:rsidRPr="00D07ADC">
        <w:rPr>
          <w:lang w:val="en-US"/>
        </w:rPr>
        <w:t>, March 26, 1926.</w:t>
      </w:r>
    </w:p>
  </w:footnote>
  <w:footnote w:id="285">
    <w:p w:rsidR="00942133" w:rsidRPr="00D07ADC" w:rsidRDefault="00942133" w:rsidP="001E5F63">
      <w:pPr>
        <w:pStyle w:val="Tekstprzypisudolnego"/>
        <w:spacing w:line="23" w:lineRule="atLeast"/>
        <w:ind w:firstLine="0"/>
        <w:contextualSpacing/>
        <w:rPr>
          <w:lang w:val="it-IT"/>
        </w:rPr>
      </w:pPr>
      <w:r w:rsidRPr="00D07ADC">
        <w:rPr>
          <w:rStyle w:val="Odwoanieprzypisudolnego"/>
          <w:rFonts w:ascii="Times New Roman" w:hAnsi="Times New Roman"/>
          <w:sz w:val="20"/>
        </w:rPr>
        <w:footnoteRef/>
      </w:r>
      <w:r w:rsidRPr="00D07ADC">
        <w:rPr>
          <w:lang w:val="it-IT"/>
        </w:rPr>
        <w:t>ASDN, 27/51305/50426, R. 1441, Fernardo Lodi do sir Erica Drummonda, Buenos Aires 15.04.1926.</w:t>
      </w:r>
    </w:p>
  </w:footnote>
  <w:footnote w:id="286">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ASDN, 27/50778/50424, R. 1441; memorandum Kuby było jednym z 6, jakie wpłynęły do Sekretariatu na prośbę Sekretarza Generalnego, pozostałe to: Australia, Austria, Jugosławia, Norwegia i Persja.</w:t>
      </w:r>
    </w:p>
  </w:footnote>
  <w:footnote w:id="287">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Kierunek i zakres tych aspiracji był znany z tzw. 21 żądań wręczonych 18 stycznia 1915 r. przez posła japońskiego prezydentowi Chin. Chodziło nie tylko o przejęcie ewentualnej schedy poniemieckiej, ale także rozszerzenie uprawnień w Mandżurii i Mongolii Wewnętrznej oraz przyjęcie „doradców” do spraw politycznych, gospodarczych i wojskowych. Z planów tych międzywojenna Japonia nie rezygnowała.</w:t>
      </w:r>
    </w:p>
  </w:footnote>
  <w:footnote w:id="288">
    <w:p w:rsidR="00942133" w:rsidRPr="001E7445"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2F5343">
        <w:t xml:space="preserve"> ASDN, 27/51066/49486, R. 1439 (Dossier secret gardé à la chambre forte de la bibliothèque). </w:t>
      </w:r>
      <w:r w:rsidRPr="000F486B">
        <w:t xml:space="preserve">Un apercu… par Furukaki, le 16 avril 1926; szerzej zob. </w:t>
      </w:r>
      <w:r w:rsidRPr="00D07ADC">
        <w:rPr>
          <w:lang w:val="en-US"/>
        </w:rPr>
        <w:t xml:space="preserve">N. Meienberger, </w:t>
      </w:r>
      <w:r w:rsidRPr="00D07ADC">
        <w:rPr>
          <w:i/>
          <w:lang w:val="en-US"/>
        </w:rPr>
        <w:t>China and the League of Nation</w:t>
      </w:r>
      <w:r w:rsidRPr="00D07ADC">
        <w:rPr>
          <w:lang w:val="en-US"/>
        </w:rPr>
        <w:t xml:space="preserve">, [w:] </w:t>
      </w:r>
      <w:r w:rsidRPr="00B61FC8">
        <w:rPr>
          <w:i/>
          <w:lang w:val="en-US"/>
        </w:rPr>
        <w:t>The League of Nation in Retrospect</w:t>
      </w:r>
      <w:r>
        <w:rPr>
          <w:lang w:val="en-US"/>
        </w:rPr>
        <w:t>,D</w:t>
      </w:r>
      <w:r w:rsidRPr="001E7445">
        <w:rPr>
          <w:lang w:val="en-US"/>
        </w:rPr>
        <w:t>e Gruyter, Berlin-New York 1983, s. 314 i n.</w:t>
      </w:r>
    </w:p>
  </w:footnote>
  <w:footnote w:id="289">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241D7B">
        <w:rPr>
          <w:lang w:val="en-US"/>
        </w:rPr>
        <w:t xml:space="preserve"> Państwa „frondujące” reprezentowali: E.F. Montabroyos (Brazylia), Emilio Palacios (Hiszpania), Chao-Hsin Chu i Franciszek Sok</w:t>
      </w:r>
      <w:r w:rsidRPr="00D07ADC">
        <w:rPr>
          <w:lang w:val="en-US"/>
        </w:rPr>
        <w:t xml:space="preserve">al; stawiali oni czoła takim politykom jak: lord Robert Cecil, Motta, Scialoja, Fromageot (Francja), Rolin (Belgia), Naotake Sato (Japonia), Ferdynand Veverka (Czechosłowacja), Alberto Guani (Urugwaj), J.A. Cantilo (Argentyna), A.J. Sjöborg (Szwecja) oraz Niemcy – von Hoesch i dr Gaus. </w:t>
      </w:r>
      <w:r w:rsidRPr="00D07ADC">
        <w:t xml:space="preserve">Tadeusz G. Jackowski, który uczestniczył nieraz w Komisji w zastępstwie Sokala, określił jej prace jako „długie i przeważnie bezowocne” oraz „beznadziejną gadaniną” – T.G. Jackowski, </w:t>
      </w:r>
      <w:r w:rsidRPr="00D07ADC">
        <w:rPr>
          <w:i/>
        </w:rPr>
        <w:t>W walce o polskość</w:t>
      </w:r>
      <w:r w:rsidRPr="00D07ADC">
        <w:t>, Kraków 1972, s. 335.</w:t>
      </w:r>
    </w:p>
  </w:footnote>
  <w:footnote w:id="290">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Szczegółowo H. Korczyk, </w:t>
      </w:r>
      <w:r w:rsidRPr="00D07ADC">
        <w:rPr>
          <w:i/>
        </w:rPr>
        <w:t>Przyjęcie</w:t>
      </w:r>
      <w:r w:rsidRPr="001E7445">
        <w:t xml:space="preserve">, </w:t>
      </w:r>
      <w:r w:rsidRPr="00D07ADC">
        <w:t>s.303 i n.</w:t>
      </w:r>
    </w:p>
  </w:footnote>
  <w:footnote w:id="291">
    <w:p w:rsidR="00942133" w:rsidRPr="00D07ADC" w:rsidRDefault="00942133" w:rsidP="001E5F63">
      <w:pPr>
        <w:pStyle w:val="Tekstprzypisudolnego"/>
        <w:spacing w:line="23" w:lineRule="atLeast"/>
        <w:ind w:firstLine="0"/>
        <w:contextualSpacing/>
        <w:rPr>
          <w:lang w:val="fr-FR"/>
        </w:rPr>
      </w:pPr>
      <w:r w:rsidRPr="00D07ADC">
        <w:rPr>
          <w:rStyle w:val="Odwoanieprzypisudolnego"/>
          <w:rFonts w:ascii="Times New Roman" w:hAnsi="Times New Roman"/>
          <w:sz w:val="20"/>
        </w:rPr>
        <w:footnoteRef/>
      </w:r>
      <w:r w:rsidRPr="00D07ADC">
        <w:rPr>
          <w:lang w:val="fr-FR"/>
        </w:rPr>
        <w:t xml:space="preserve">M.F. Gawrycki, </w:t>
      </w:r>
      <w:r w:rsidRPr="00D07ADC">
        <w:rPr>
          <w:i/>
          <w:lang w:val="fr-FR"/>
        </w:rPr>
        <w:t>Etyka Kompradora</w:t>
      </w:r>
      <w:r w:rsidRPr="00D07ADC">
        <w:rPr>
          <w:lang w:val="fr-FR"/>
        </w:rPr>
        <w:t xml:space="preserve">, s. 68 i n.; M. Perez-Guerrero, </w:t>
      </w:r>
      <w:r w:rsidRPr="00D07ADC">
        <w:rPr>
          <w:i/>
          <w:lang w:val="fr-FR"/>
        </w:rPr>
        <w:t>Les relations de Etats de l’Amerique latin avec la Société des Nations</w:t>
      </w:r>
      <w:r w:rsidRPr="00D07ADC">
        <w:rPr>
          <w:lang w:val="fr-FR"/>
        </w:rPr>
        <w:t>, s. 66 i n.</w:t>
      </w:r>
    </w:p>
  </w:footnote>
  <w:footnote w:id="292">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Szczegółowo zob. H. Korczyk, </w:t>
      </w:r>
      <w:r w:rsidRPr="00D07ADC">
        <w:rPr>
          <w:i/>
        </w:rPr>
        <w:t>Przyjęcie</w:t>
      </w:r>
      <w:r w:rsidRPr="00D07ADC">
        <w:t>, s. 3311 i n.</w:t>
      </w:r>
    </w:p>
  </w:footnote>
  <w:footnote w:id="293">
    <w:p w:rsidR="00942133" w:rsidRPr="00D07ADC"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D07ADC">
        <w:rPr>
          <w:lang w:val="en-US"/>
        </w:rPr>
        <w:t xml:space="preserve">ASDN, 14/2385, R. 6228; Secret Meeting, Saturday 4th Sept. 1926, at </w:t>
      </w:r>
      <w:smartTag w:uri="urn:schemas-microsoft-com:office:smarttags" w:element="metricconverter">
        <w:smartTagPr>
          <w:attr w:name="ProductID" w:val="10.45 a"/>
        </w:smartTagPr>
        <w:r w:rsidRPr="00D07ADC">
          <w:rPr>
            <w:lang w:val="en-US"/>
          </w:rPr>
          <w:t>10.45 a</w:t>
        </w:r>
      </w:smartTag>
      <w:r w:rsidRPr="00D07ADC">
        <w:rPr>
          <w:lang w:val="en-US"/>
        </w:rPr>
        <w:t>.m.</w:t>
      </w:r>
    </w:p>
  </w:footnote>
  <w:footnote w:id="294">
    <w:p w:rsidR="00942133" w:rsidRPr="001E5F63" w:rsidRDefault="00942133" w:rsidP="001E5F63">
      <w:pPr>
        <w:pStyle w:val="Tekstprzypisudolnego"/>
        <w:spacing w:line="23" w:lineRule="atLeast"/>
        <w:ind w:firstLine="0"/>
        <w:contextualSpacing/>
      </w:pPr>
      <w:r w:rsidRPr="001E5F63">
        <w:rPr>
          <w:rStyle w:val="Odwoanieprzypisudolnego"/>
          <w:sz w:val="20"/>
        </w:rPr>
        <w:footnoteRef/>
      </w:r>
      <w:r w:rsidRPr="001E5F63">
        <w:rPr>
          <w:lang w:val="en-US"/>
        </w:rPr>
        <w:t xml:space="preserve"> G. Chaudron</w:t>
      </w:r>
      <w:r w:rsidRPr="001E5F63">
        <w:rPr>
          <w:i/>
          <w:lang w:val="en-US"/>
        </w:rPr>
        <w:t>, New Zealand in the League of Nations.</w:t>
      </w:r>
      <w:r w:rsidRPr="001E5F63">
        <w:rPr>
          <w:lang w:val="en-US"/>
        </w:rPr>
        <w:t xml:space="preserve"> McFarland&amp;Company, Jefferson, North Carolina-London 2012, s. 66. </w:t>
      </w:r>
      <w:r w:rsidRPr="001E5F63">
        <w:t>Stresemann czy Briand uważani za pierwsze figury Ligi Narodów są w tym w opracowaniu nieobecni.</w:t>
      </w:r>
    </w:p>
  </w:footnote>
  <w:footnote w:id="295">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T.W. Burkman, </w:t>
      </w:r>
      <w:r w:rsidRPr="00D07ADC">
        <w:rPr>
          <w:i/>
        </w:rPr>
        <w:t>Japan and the League of Nations: Empire and Word Order 1914-1938</w:t>
      </w:r>
      <w:r w:rsidRPr="00D07ADC">
        <w:t xml:space="preserve">,University of Hawai’i Press 2008 (eBook), s. 124 i n.; w literaturze polskiej zob. trafne na ogół uwagi w cytowanej pracy </w:t>
      </w:r>
      <w:r w:rsidRPr="00D07ADC">
        <w:rPr>
          <w:i/>
        </w:rPr>
        <w:t>Liga Narodów wybranych</w:t>
      </w:r>
      <w:r w:rsidRPr="00D07ADC">
        <w:t xml:space="preserve">, gdzie o sytuacji Chin napisał Paweł Sokala (s. 48 i n.), Indii – Jakub Zajączkowski (s. 104 i n.) oraz Japonii – Piotr R. Kozłowski (s. 142 i n.), tamże reprezentatywna literatura przedmiotu. </w:t>
      </w:r>
    </w:p>
  </w:footnote>
  <w:footnote w:id="296">
    <w:p w:rsidR="00942133" w:rsidRPr="00D07ADC"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D07ADC">
        <w:rPr>
          <w:lang w:val="en-US"/>
        </w:rPr>
        <w:t xml:space="preserve"> R. Cecil, </w:t>
      </w:r>
      <w:r w:rsidRPr="00D07ADC">
        <w:rPr>
          <w:i/>
          <w:lang w:val="en-US"/>
        </w:rPr>
        <w:t>A Great</w:t>
      </w:r>
      <w:r w:rsidRPr="00D07ADC">
        <w:rPr>
          <w:lang w:val="en-US"/>
        </w:rPr>
        <w:t>, s. 180.</w:t>
      </w:r>
    </w:p>
  </w:footnote>
  <w:footnote w:id="297">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rPr>
          <w:i/>
          <w:lang w:val="fr-FR"/>
        </w:rPr>
        <w:t xml:space="preserve">Annuaire de la Société des Nations. </w:t>
      </w:r>
      <w:r w:rsidRPr="00D07ADC">
        <w:rPr>
          <w:i/>
        </w:rPr>
        <w:t>Première année</w:t>
      </w:r>
      <w:r w:rsidRPr="00D07ADC">
        <w:t>, s. 240.</w:t>
      </w:r>
    </w:p>
  </w:footnote>
  <w:footnote w:id="298">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H. Korczyk, </w:t>
      </w:r>
      <w:r w:rsidRPr="00D07ADC">
        <w:rPr>
          <w:i/>
        </w:rPr>
        <w:t>Przyjęcie</w:t>
      </w:r>
      <w:r w:rsidRPr="00D07ADC">
        <w:t>, s. 323.</w:t>
      </w:r>
    </w:p>
  </w:footnote>
  <w:footnote w:id="299">
    <w:p w:rsidR="00942133" w:rsidRPr="00D07ADC" w:rsidRDefault="00942133" w:rsidP="001E5F63">
      <w:pPr>
        <w:pStyle w:val="Tekstprzypisudolnego"/>
        <w:spacing w:line="23" w:lineRule="atLeast"/>
        <w:ind w:firstLine="0"/>
        <w:contextualSpacing/>
        <w:rPr>
          <w:lang w:val="fr-FR"/>
        </w:rPr>
      </w:pPr>
      <w:r w:rsidRPr="00D07ADC">
        <w:rPr>
          <w:rStyle w:val="Odwoanieprzypisudolnego"/>
          <w:rFonts w:ascii="Times New Roman" w:hAnsi="Times New Roman"/>
          <w:sz w:val="20"/>
        </w:rPr>
        <w:footnoteRef/>
      </w:r>
      <w:r w:rsidRPr="00D07ADC">
        <w:rPr>
          <w:lang w:val="fr-FR"/>
        </w:rPr>
        <w:t>J.O., Septième Assemblée, Genève 1926, s. 27 i n.</w:t>
      </w:r>
    </w:p>
  </w:footnote>
  <w:footnote w:id="300">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Byli to delegaci „etatowi”. W 1928 r. chorego Stresemanna zastąpił Hermann Müller, a od 1930 r. Julius Curtius. Niewielkim zmianom ulegał też skład zastępców, którymi byli Johann von Bernstorff, Rudolf Breitscheid, prof. Ludwig Kaas, baron von Rheinbaden. Skład delegacji niemieckiej dopełniało około 15 doradców i ekspertów, poza jednym wyjątkiem wyłącznie mężczyzn.</w:t>
      </w:r>
    </w:p>
  </w:footnote>
  <w:footnote w:id="301">
    <w:p w:rsidR="00942133" w:rsidRPr="000F486B"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0F486B">
        <w:t xml:space="preserve"> P. Schmidt, </w:t>
      </w:r>
      <w:r w:rsidRPr="000F486B">
        <w:rPr>
          <w:i/>
        </w:rPr>
        <w:t>Statysta</w:t>
      </w:r>
      <w:r w:rsidRPr="000F486B">
        <w:t>, s.118.</w:t>
      </w:r>
    </w:p>
  </w:footnote>
  <w:footnote w:id="302">
    <w:p w:rsidR="00942133" w:rsidRPr="000F486B"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0F486B">
        <w:t>ASDN, 330/51274/25179, R. 1467, Memorandum au Secretariat, Genève 20.08.1926.</w:t>
      </w:r>
    </w:p>
  </w:footnote>
  <w:footnote w:id="303">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W specjalnym dodatku do </w:t>
      </w:r>
      <w:r w:rsidRPr="00D07ADC">
        <w:rPr>
          <w:i/>
        </w:rPr>
        <w:t>Resumé Mensuel</w:t>
      </w:r>
      <w:r w:rsidRPr="001E7445">
        <w:t xml:space="preserve">, </w:t>
      </w:r>
      <w:r w:rsidRPr="00D07ADC">
        <w:t>VI, 1926, informowano, że kopię filmu za 150 fr. szw. można było otrzymać w ciągu 10 dni.</w:t>
      </w:r>
    </w:p>
  </w:footnote>
  <w:footnote w:id="304">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H. Korczyk, </w:t>
      </w:r>
      <w:r w:rsidRPr="00D07ADC">
        <w:rPr>
          <w:i/>
        </w:rPr>
        <w:t>Przyjęcie</w:t>
      </w:r>
      <w:r w:rsidRPr="00D07ADC">
        <w:t>, s. 327.</w:t>
      </w:r>
    </w:p>
  </w:footnote>
  <w:footnote w:id="305">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J.O., Septième Assemblée, s. 31 i n.</w:t>
      </w:r>
    </w:p>
  </w:footnote>
  <w:footnote w:id="306">
    <w:p w:rsidR="00942133" w:rsidRPr="00D07ADC" w:rsidRDefault="00942133" w:rsidP="001E5F63">
      <w:pPr>
        <w:pStyle w:val="Tekstprzypisudolnego"/>
        <w:spacing w:line="23" w:lineRule="atLeast"/>
        <w:ind w:firstLine="0"/>
        <w:contextualSpacing/>
        <w:rPr>
          <w:lang w:val="fr-FR"/>
        </w:rPr>
      </w:pPr>
      <w:r w:rsidRPr="00D07ADC">
        <w:rPr>
          <w:rStyle w:val="Odwoanieprzypisudolnego"/>
          <w:rFonts w:ascii="Times New Roman" w:hAnsi="Times New Roman"/>
          <w:sz w:val="20"/>
        </w:rPr>
        <w:footnoteRef/>
      </w:r>
      <w:r w:rsidRPr="00D07ADC">
        <w:rPr>
          <w:lang w:val="fr-FR"/>
        </w:rPr>
        <w:t>G. Tabouis,</w:t>
      </w:r>
      <w:r w:rsidRPr="00D07ADC">
        <w:rPr>
          <w:i/>
          <w:lang w:val="fr-FR"/>
        </w:rPr>
        <w:t xml:space="preserve"> Vingt ans du „suspense” diplomatique</w:t>
      </w:r>
      <w:r w:rsidRPr="001E7445">
        <w:rPr>
          <w:lang w:val="fr-FR"/>
        </w:rPr>
        <w:t>,</w:t>
      </w:r>
      <w:r w:rsidRPr="00D07ADC">
        <w:rPr>
          <w:lang w:val="fr-FR"/>
        </w:rPr>
        <w:t>s. 80.</w:t>
      </w:r>
    </w:p>
  </w:footnote>
  <w:footnote w:id="307">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Ten aspekt uwypuklił Stresemann w inauguracyjnym przemówieniu 10 września w Zgromadzeniu, mówiąc o budowie mostów dla współdziałania gospodarczego zwłaszcza wymiany handlowej.</w:t>
      </w:r>
    </w:p>
  </w:footnote>
  <w:footnote w:id="308">
    <w:p w:rsidR="00942133" w:rsidRPr="00D07ADC" w:rsidRDefault="00942133" w:rsidP="001E5F63">
      <w:pPr>
        <w:pStyle w:val="Tekstprzypisudolnego"/>
        <w:spacing w:line="23" w:lineRule="atLeast"/>
        <w:ind w:firstLine="0"/>
        <w:contextualSpacing/>
        <w:rPr>
          <w:lang w:val="fr-FR"/>
        </w:rPr>
      </w:pPr>
      <w:r w:rsidRPr="00D07ADC">
        <w:rPr>
          <w:rStyle w:val="Odwoanieprzypisudolnego"/>
          <w:rFonts w:ascii="Times New Roman" w:hAnsi="Times New Roman"/>
          <w:sz w:val="20"/>
        </w:rPr>
        <w:footnoteRef/>
      </w:r>
      <w:r w:rsidRPr="00D07ADC">
        <w:rPr>
          <w:lang w:val="fr-FR"/>
        </w:rPr>
        <w:t>ASDN, Fond Paul Mantoux, P. 31, Genève mars 1926, s. 4.</w:t>
      </w:r>
    </w:p>
  </w:footnote>
  <w:footnote w:id="309">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Sześć delegacji było nieobecnych – z Argentyny, Boliwii, Brazylii, Hondurasu, Kostaryki i Peru.</w:t>
      </w:r>
    </w:p>
  </w:footnote>
  <w:footnote w:id="310">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Obrażony Urugwaj w Radzie </w:t>
      </w:r>
      <w:r>
        <w:t>nie był obecny przez cały okres</w:t>
      </w:r>
      <w:r w:rsidRPr="00D07ADC">
        <w:t xml:space="preserve"> międzywojenny, M. Perez-Guerrero, </w:t>
      </w:r>
      <w:r w:rsidRPr="00D07ADC">
        <w:rPr>
          <w:i/>
        </w:rPr>
        <w:t>Les relations de Etats de l’Amerique latin avec la Société des Nations</w:t>
      </w:r>
      <w:r w:rsidRPr="00D07ADC">
        <w:t>, s. 67 i n.; E.V. Garcia,</w:t>
      </w:r>
      <w:r w:rsidRPr="001E7445">
        <w:rPr>
          <w:i/>
        </w:rPr>
        <w:t>Entre América e Europa: politica extera brasilèíra na décad</w:t>
      </w:r>
      <w:r w:rsidRPr="00D07ADC">
        <w:rPr>
          <w:i/>
        </w:rPr>
        <w:t>a de 1920</w:t>
      </w:r>
      <w:r w:rsidRPr="00D07ADC">
        <w:t>, Brasília/DF, 2006</w:t>
      </w:r>
    </w:p>
  </w:footnote>
  <w:footnote w:id="311">
    <w:p w:rsidR="00942133" w:rsidRPr="00D07ADC" w:rsidRDefault="00942133" w:rsidP="001E5F63">
      <w:pPr>
        <w:pStyle w:val="Tekstprzypisudolnego"/>
        <w:spacing w:line="23" w:lineRule="atLeast"/>
        <w:ind w:firstLine="0"/>
        <w:contextualSpacing/>
        <w:rPr>
          <w:lang w:val="de-DE"/>
        </w:rPr>
      </w:pPr>
      <w:r w:rsidRPr="00D07ADC">
        <w:rPr>
          <w:rStyle w:val="Odwoanieprzypisudolnego"/>
          <w:rFonts w:ascii="Times New Roman" w:hAnsi="Times New Roman"/>
          <w:sz w:val="20"/>
        </w:rPr>
        <w:footnoteRef/>
      </w:r>
      <w:r w:rsidRPr="00D07ADC">
        <w:rPr>
          <w:lang w:val="de-DE"/>
        </w:rPr>
        <w:t xml:space="preserve">W. Ruge, </w:t>
      </w:r>
      <w:r w:rsidRPr="00D07ADC">
        <w:rPr>
          <w:i/>
          <w:lang w:val="de-DE"/>
        </w:rPr>
        <w:t>Stresemann: Eine Lebenbild</w:t>
      </w:r>
      <w:r w:rsidRPr="00D07ADC">
        <w:rPr>
          <w:lang w:val="de-DE"/>
        </w:rPr>
        <w:t xml:space="preserve">, </w:t>
      </w:r>
      <w:r>
        <w:rPr>
          <w:lang w:val="de-DE"/>
        </w:rPr>
        <w:t>Berlin</w:t>
      </w:r>
      <w:r w:rsidRPr="00D07ADC">
        <w:rPr>
          <w:lang w:val="de-DE"/>
        </w:rPr>
        <w:t xml:space="preserve"> 1965, s. 191.</w:t>
      </w:r>
    </w:p>
  </w:footnote>
  <w:footnote w:id="312">
    <w:p w:rsidR="00942133" w:rsidRPr="00D07ADC" w:rsidRDefault="00942133" w:rsidP="001E5F63">
      <w:pPr>
        <w:pStyle w:val="Tekstprzypisudolnego"/>
        <w:spacing w:line="23" w:lineRule="atLeast"/>
        <w:ind w:firstLine="0"/>
        <w:contextualSpacing/>
        <w:rPr>
          <w:lang w:val="fr-FR"/>
        </w:rPr>
      </w:pPr>
      <w:r w:rsidRPr="00D07ADC">
        <w:rPr>
          <w:rStyle w:val="Odwoanieprzypisudolnego"/>
          <w:rFonts w:ascii="Times New Roman" w:hAnsi="Times New Roman"/>
          <w:sz w:val="20"/>
        </w:rPr>
        <w:footnoteRef/>
      </w:r>
      <w:r w:rsidRPr="00D07ADC">
        <w:rPr>
          <w:lang w:val="fr-FR"/>
        </w:rPr>
        <w:t xml:space="preserve">G. Tabouis, </w:t>
      </w:r>
      <w:r w:rsidRPr="00D07ADC">
        <w:rPr>
          <w:i/>
          <w:lang w:val="fr-FR"/>
        </w:rPr>
        <w:t>Vingt ans du „suspense” diplomatique</w:t>
      </w:r>
      <w:r w:rsidRPr="00D07ADC">
        <w:rPr>
          <w:lang w:val="fr-FR"/>
        </w:rPr>
        <w:t xml:space="preserve">, s. 78-79; P. Schmidt, </w:t>
      </w:r>
      <w:r w:rsidRPr="00D07ADC">
        <w:rPr>
          <w:i/>
          <w:lang w:val="fr-FR"/>
        </w:rPr>
        <w:t>Statysta</w:t>
      </w:r>
      <w:r w:rsidRPr="001E7445">
        <w:rPr>
          <w:lang w:val="fr-FR"/>
        </w:rPr>
        <w:t>, s</w:t>
      </w:r>
      <w:r w:rsidRPr="00D07ADC">
        <w:rPr>
          <w:lang w:val="fr-FR"/>
        </w:rPr>
        <w:t>. 100 i n.</w:t>
      </w:r>
    </w:p>
  </w:footnote>
  <w:footnote w:id="313">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T.G. Jackowski, </w:t>
      </w:r>
      <w:r w:rsidRPr="00D07ADC">
        <w:rPr>
          <w:i/>
        </w:rPr>
        <w:t>W walce o polskość</w:t>
      </w:r>
      <w:r w:rsidRPr="00D07ADC">
        <w:t>, s. 336.</w:t>
      </w:r>
    </w:p>
  </w:footnote>
  <w:footnote w:id="314">
    <w:p w:rsidR="00942133" w:rsidRPr="00D07ADC" w:rsidRDefault="00942133" w:rsidP="001E5F63">
      <w:pPr>
        <w:pStyle w:val="Tekstprzypisudolnego"/>
        <w:spacing w:line="23" w:lineRule="atLeast"/>
        <w:ind w:firstLine="0"/>
        <w:contextualSpacing/>
        <w:rPr>
          <w:lang w:val="fr-FR"/>
        </w:rPr>
      </w:pPr>
      <w:r w:rsidRPr="00D07ADC">
        <w:rPr>
          <w:rStyle w:val="Odwoanieprzypisudolnego"/>
          <w:rFonts w:ascii="Times New Roman" w:hAnsi="Times New Roman"/>
          <w:sz w:val="20"/>
        </w:rPr>
        <w:footnoteRef/>
      </w:r>
      <w:r w:rsidRPr="00D07ADC">
        <w:rPr>
          <w:i/>
          <w:lang w:val="fr-FR"/>
        </w:rPr>
        <w:t>Annuaire de la Société des Nations. Cinquième année</w:t>
      </w:r>
      <w:r w:rsidRPr="00D07ADC">
        <w:rPr>
          <w:lang w:val="fr-FR"/>
        </w:rPr>
        <w:t>,Genève 1931, s. 42 i n.</w:t>
      </w:r>
    </w:p>
  </w:footnote>
  <w:footnote w:id="315">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J.O. 1926, s. 1400; S. Sierpowski, </w:t>
      </w:r>
      <w:r w:rsidRPr="00D07ADC">
        <w:rPr>
          <w:i/>
        </w:rPr>
        <w:t>Wejście Niemiec do Ligi Narodów</w:t>
      </w:r>
      <w:r w:rsidRPr="00D07ADC">
        <w:t xml:space="preserve">, [w:] </w:t>
      </w:r>
      <w:r w:rsidRPr="00D07ADC">
        <w:rPr>
          <w:i/>
        </w:rPr>
        <w:t>Studia z najnowszej historii Niemiec i stosunków polsko</w:t>
      </w:r>
      <w:r w:rsidRPr="00D07ADC">
        <w:rPr>
          <w:i/>
        </w:rPr>
        <w:noBreakHyphen/>
        <w:t>niemieckich</w:t>
      </w:r>
      <w:r w:rsidRPr="00D07ADC">
        <w:t xml:space="preserve">, red. S. Sierpowski, Poznań 1986, s. 287-288. Odnotować należy, że Marian Leczyk w odpowiedniej części </w:t>
      </w:r>
      <w:r w:rsidRPr="00D07ADC">
        <w:rPr>
          <w:i/>
        </w:rPr>
        <w:t xml:space="preserve">Historii dyplomacji polskiej </w:t>
      </w:r>
      <w:r w:rsidRPr="00D07ADC">
        <w:t>(t. IV, s. 314 i n.) do walki o miejsce w Radzie nie przywiązywał specjalnej wagi.</w:t>
      </w:r>
    </w:p>
  </w:footnote>
  <w:footnote w:id="316">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H. Korczyk, </w:t>
      </w:r>
      <w:r w:rsidRPr="00D07ADC">
        <w:rPr>
          <w:i/>
        </w:rPr>
        <w:t>Przyjęcie</w:t>
      </w:r>
      <w:r w:rsidRPr="00D07ADC">
        <w:t>, s. 336, przyp. 106.</w:t>
      </w:r>
    </w:p>
  </w:footnote>
  <w:footnote w:id="317">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E. Ruecker, </w:t>
      </w:r>
      <w:r w:rsidRPr="00D07ADC">
        <w:rPr>
          <w:i/>
        </w:rPr>
        <w:t>Niemcy, Prusy a Polaka:</w:t>
      </w:r>
      <w:r>
        <w:rPr>
          <w:i/>
        </w:rPr>
        <w:t xml:space="preserve"> kilka aktualnych faktów i uwag</w:t>
      </w:r>
      <w:r w:rsidRPr="001E7445">
        <w:t xml:space="preserve">, </w:t>
      </w:r>
      <w:r w:rsidRPr="00D07ADC">
        <w:t>Kraków 1928,</w:t>
      </w:r>
      <w:r>
        <w:t xml:space="preserve"> s. 128.</w:t>
      </w:r>
    </w:p>
  </w:footnote>
  <w:footnote w:id="318">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Odnotowujący tę sytuację Roman Wodzicki (</w:t>
      </w:r>
      <w:r w:rsidRPr="00D07ADC">
        <w:rPr>
          <w:i/>
        </w:rPr>
        <w:t>Wspomnienia 1928-1939</w:t>
      </w:r>
      <w:r w:rsidRPr="00D07ADC">
        <w:t>, Warszawa 1972, s. 187-188) zauważa, że wśród pracowników Wysokiego Komisarza nikt nie znał języka polskiego.</w:t>
      </w:r>
    </w:p>
  </w:footnote>
  <w:footnote w:id="319">
    <w:p w:rsidR="00942133" w:rsidRPr="00D07ADC"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D07ADC">
        <w:rPr>
          <w:lang w:val="en-US"/>
        </w:rPr>
        <w:t xml:space="preserve"> J. Barros, </w:t>
      </w:r>
      <w:r w:rsidRPr="00D07ADC">
        <w:rPr>
          <w:i/>
          <w:lang w:val="en-US"/>
        </w:rPr>
        <w:t>Office Without Power: Secretary</w:t>
      </w:r>
      <w:r>
        <w:rPr>
          <w:i/>
          <w:lang w:val="en-US"/>
        </w:rPr>
        <w:t>-</w:t>
      </w:r>
      <w:r w:rsidRPr="00D07ADC">
        <w:rPr>
          <w:i/>
          <w:lang w:val="en-US"/>
        </w:rPr>
        <w:t>General sir Eric Drummond 1919</w:t>
      </w:r>
      <w:r>
        <w:rPr>
          <w:i/>
          <w:lang w:val="en-US"/>
        </w:rPr>
        <w:t>-</w:t>
      </w:r>
      <w:r w:rsidRPr="00D07ADC">
        <w:rPr>
          <w:i/>
          <w:lang w:val="en-US"/>
        </w:rPr>
        <w:t>1933</w:t>
      </w:r>
      <w:r w:rsidRPr="00D07ADC">
        <w:rPr>
          <w:lang w:val="en-US"/>
        </w:rPr>
        <w:t xml:space="preserve">, s. 7 i n.; J. Wintzer, </w:t>
      </w:r>
      <w:r w:rsidRPr="00D07ADC">
        <w:rPr>
          <w:i/>
          <w:iCs/>
          <w:lang w:val="en-US"/>
        </w:rPr>
        <w:t>Deutschland und der Völkerbund</w:t>
      </w:r>
      <w:r w:rsidRPr="001E7445">
        <w:rPr>
          <w:iCs/>
          <w:lang w:val="en-US"/>
        </w:rPr>
        <w:t xml:space="preserve">, </w:t>
      </w:r>
      <w:r w:rsidRPr="00D07ADC">
        <w:rPr>
          <w:lang w:val="en-US"/>
        </w:rPr>
        <w:t>s. 84 i n.</w:t>
      </w:r>
    </w:p>
  </w:footnote>
  <w:footnote w:id="320">
    <w:p w:rsidR="00942133" w:rsidRPr="00D07ADC" w:rsidRDefault="00942133" w:rsidP="001E5F63">
      <w:pPr>
        <w:pStyle w:val="Tekstprzypisudolnego"/>
        <w:spacing w:line="23" w:lineRule="atLeast"/>
        <w:ind w:firstLine="0"/>
        <w:contextualSpacing/>
        <w:rPr>
          <w:lang w:val="fr-FR"/>
        </w:rPr>
      </w:pPr>
      <w:r w:rsidRPr="00D07ADC">
        <w:rPr>
          <w:rStyle w:val="Odwoanieprzypisudolnego"/>
          <w:rFonts w:ascii="Times New Roman" w:hAnsi="Times New Roman"/>
          <w:sz w:val="20"/>
        </w:rPr>
        <w:footnoteRef/>
      </w:r>
      <w:r w:rsidRPr="00D07ADC">
        <w:rPr>
          <w:lang w:val="fr-FR"/>
        </w:rPr>
        <w:t xml:space="preserve">M.R. Mouton, </w:t>
      </w:r>
      <w:r w:rsidRPr="00D07ADC">
        <w:rPr>
          <w:i/>
          <w:lang w:val="fr-FR"/>
        </w:rPr>
        <w:t>Le Société des Nations et les interêts de la France 1920</w:t>
      </w:r>
      <w:r>
        <w:rPr>
          <w:i/>
          <w:lang w:val="fr-FR"/>
        </w:rPr>
        <w:t>-</w:t>
      </w:r>
      <w:r w:rsidRPr="00D07ADC">
        <w:rPr>
          <w:i/>
          <w:lang w:val="fr-FR"/>
        </w:rPr>
        <w:t>1924</w:t>
      </w:r>
      <w:r w:rsidRPr="00D07ADC">
        <w:rPr>
          <w:lang w:val="fr-FR"/>
        </w:rPr>
        <w:t xml:space="preserve">, Bern 1995; por. także R. Ulrich-Pier, </w:t>
      </w:r>
      <w:r w:rsidRPr="00D07ADC">
        <w:rPr>
          <w:i/>
          <w:lang w:val="fr-FR"/>
        </w:rPr>
        <w:t>Le Service français de la Société des Nations et les questions européennes dans l’entre-deux-guerres</w:t>
      </w:r>
      <w:r w:rsidRPr="00D07ADC">
        <w:rPr>
          <w:lang w:val="fr-FR"/>
        </w:rPr>
        <w:t xml:space="preserve">, [w:] </w:t>
      </w:r>
      <w:r w:rsidRPr="00D07ADC">
        <w:rPr>
          <w:i/>
          <w:lang w:val="fr-FR"/>
        </w:rPr>
        <w:t>Les administrations nationales et la construction européenne: une approche historique</w:t>
      </w:r>
      <w:r w:rsidRPr="00D07ADC">
        <w:rPr>
          <w:lang w:val="fr-FR"/>
        </w:rPr>
        <w:t xml:space="preserve"> (</w:t>
      </w:r>
      <w:r w:rsidRPr="00D07ADC">
        <w:rPr>
          <w:i/>
          <w:lang w:val="fr-FR"/>
        </w:rPr>
        <w:t>1919</w:t>
      </w:r>
      <w:r>
        <w:rPr>
          <w:i/>
          <w:lang w:val="fr-FR"/>
        </w:rPr>
        <w:t>-</w:t>
      </w:r>
      <w:r w:rsidRPr="00D07ADC">
        <w:rPr>
          <w:i/>
          <w:lang w:val="fr-FR"/>
        </w:rPr>
        <w:t>1975</w:t>
      </w:r>
      <w:r w:rsidRPr="00D07ADC">
        <w:rPr>
          <w:lang w:val="fr-FR"/>
        </w:rPr>
        <w:t>), Bruxelles 2005, s. 15 i n.</w:t>
      </w:r>
    </w:p>
  </w:footnote>
  <w:footnote w:id="321">
    <w:p w:rsidR="00942133" w:rsidRPr="00D07ADC" w:rsidRDefault="00942133" w:rsidP="001E5F63">
      <w:pPr>
        <w:pStyle w:val="Tekstprzypisudolnego"/>
        <w:spacing w:line="23" w:lineRule="atLeast"/>
        <w:ind w:firstLine="0"/>
        <w:contextualSpacing/>
        <w:rPr>
          <w:lang w:val="fr-FR"/>
        </w:rPr>
      </w:pPr>
      <w:r w:rsidRPr="00D07ADC">
        <w:rPr>
          <w:rStyle w:val="Odwoanieprzypisudolnego"/>
          <w:rFonts w:ascii="Times New Roman" w:hAnsi="Times New Roman"/>
          <w:sz w:val="20"/>
        </w:rPr>
        <w:footnoteRef/>
      </w:r>
      <w:r w:rsidRPr="00D07ADC">
        <w:rPr>
          <w:lang w:val="fr-FR"/>
        </w:rPr>
        <w:t xml:space="preserve">W. Martin, </w:t>
      </w:r>
      <w:r w:rsidRPr="00D07ADC">
        <w:rPr>
          <w:i/>
          <w:lang w:val="fr-FR"/>
        </w:rPr>
        <w:t>Un grand journaliste à Genève</w:t>
      </w:r>
      <w:r w:rsidRPr="00D07ADC">
        <w:rPr>
          <w:lang w:val="fr-FR"/>
        </w:rPr>
        <w:t>. Publié sous la direction de Pablo Azcarate, Genève 1970, s. 45.</w:t>
      </w:r>
    </w:p>
  </w:footnote>
  <w:footnote w:id="322">
    <w:p w:rsidR="00942133" w:rsidRPr="00D07ADC" w:rsidRDefault="00942133" w:rsidP="001E5F63">
      <w:pPr>
        <w:pStyle w:val="Tekstprzypisudolnego"/>
        <w:spacing w:line="23" w:lineRule="atLeast"/>
        <w:ind w:firstLine="0"/>
        <w:contextualSpacing/>
        <w:rPr>
          <w:lang w:val="fr-FR"/>
        </w:rPr>
      </w:pPr>
      <w:r w:rsidRPr="00D07ADC">
        <w:rPr>
          <w:rStyle w:val="Odwoanieprzypisudolnego"/>
          <w:rFonts w:ascii="Times New Roman" w:hAnsi="Times New Roman"/>
          <w:sz w:val="20"/>
        </w:rPr>
        <w:footnoteRef/>
      </w:r>
      <w:r w:rsidRPr="00D07ADC">
        <w:t xml:space="preserve"> Zwracała uwagę Japonia, która jako jedyna ze stałych członków Rady powołała swą delegaturę akredytowaną przy Sekretariacie oraz osobną przy Międzynarodowym Biurze Pracy, gdzie podobne agendy posiadały jeszcze tylko Peru, Szwecja i Argentyna. Ta ostatnia, de facto w Lidze nieobecna, miała też swoją akredytację przy Sekretariacie, zob. </w:t>
      </w:r>
      <w:r w:rsidRPr="00D07ADC">
        <w:rPr>
          <w:lang w:val="fr-FR"/>
        </w:rPr>
        <w:t xml:space="preserve">V.Y. Ghebali, </w:t>
      </w:r>
      <w:r w:rsidRPr="00D07ADC">
        <w:rPr>
          <w:i/>
          <w:lang w:val="fr-FR"/>
        </w:rPr>
        <w:t>Délègations permanents auprès de la Société des Nations</w:t>
      </w:r>
      <w:r w:rsidRPr="00D07ADC">
        <w:rPr>
          <w:lang w:val="fr-FR"/>
        </w:rPr>
        <w:t>, Bruxelles 1971.</w:t>
      </w:r>
    </w:p>
  </w:footnote>
  <w:footnote w:id="323">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rPr>
          <w:lang w:val="fr-FR"/>
        </w:rPr>
        <w:t xml:space="preserve">Wręcz kopalnia informacji w książce E.F. Ranshofen-Wertheimer, </w:t>
      </w:r>
      <w:r w:rsidRPr="00D07ADC">
        <w:rPr>
          <w:i/>
          <w:lang w:val="fr-FR"/>
        </w:rPr>
        <w:t>The International Secretariat</w:t>
      </w:r>
      <w:r w:rsidRPr="00D07ADC">
        <w:rPr>
          <w:lang w:val="fr-FR"/>
        </w:rPr>
        <w:t xml:space="preserve">, Washington 1945; J. Siotis, </w:t>
      </w:r>
      <w:r w:rsidRPr="00D07ADC">
        <w:rPr>
          <w:i/>
          <w:lang w:val="fr-FR"/>
        </w:rPr>
        <w:t>Essei sur le secrétariat international</w:t>
      </w:r>
      <w:r w:rsidRPr="00D07ADC">
        <w:rPr>
          <w:lang w:val="fr-FR"/>
        </w:rPr>
        <w:t xml:space="preserve">, Genève 1963; syntetycznie S. Sierpowski, </w:t>
      </w:r>
      <w:r w:rsidRPr="00D07ADC">
        <w:rPr>
          <w:i/>
          <w:lang w:val="fr-FR"/>
        </w:rPr>
        <w:t xml:space="preserve">Założone i realizowane zadania Sekretariatu Ligi Narodów </w:t>
      </w:r>
      <w:r w:rsidRPr="00D07ADC">
        <w:rPr>
          <w:i/>
          <w:spacing w:val="-3"/>
          <w:lang w:val="fr-FR"/>
        </w:rPr>
        <w:t>w latach 1919-1933</w:t>
      </w:r>
      <w:r w:rsidRPr="00D07ADC">
        <w:rPr>
          <w:spacing w:val="-3"/>
          <w:lang w:val="fr-FR"/>
        </w:rPr>
        <w:t xml:space="preserve">, [w:] </w:t>
      </w:r>
      <w:r w:rsidRPr="00D07ADC">
        <w:rPr>
          <w:i/>
          <w:spacing w:val="-3"/>
          <w:lang w:val="fr-FR"/>
        </w:rPr>
        <w:t>W kręgu polityki, dyplomacji i historii XX wieku</w:t>
      </w:r>
      <w:r w:rsidRPr="00D07ADC">
        <w:rPr>
          <w:spacing w:val="-3"/>
          <w:lang w:val="fr-FR"/>
        </w:rPr>
        <w:t xml:space="preserve">, red. </w:t>
      </w:r>
      <w:r w:rsidRPr="00D07ADC">
        <w:rPr>
          <w:spacing w:val="-3"/>
        </w:rPr>
        <w:t>B. Rakowski</w:t>
      </w:r>
      <w:r>
        <w:rPr>
          <w:spacing w:val="-3"/>
        </w:rPr>
        <w:t>,</w:t>
      </w:r>
      <w:r w:rsidRPr="00D07ADC">
        <w:rPr>
          <w:spacing w:val="-3"/>
        </w:rPr>
        <w:t xml:space="preserve"> A. Skrzypek, Łódź 2000</w:t>
      </w:r>
      <w:r w:rsidRPr="00D07ADC">
        <w:t>, s. 167 i n.</w:t>
      </w:r>
    </w:p>
  </w:footnote>
  <w:footnote w:id="324">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James Berros, biograf obu sekretarzy generalnych działalność Avenola (</w:t>
      </w:r>
      <w:r w:rsidRPr="00D07ADC">
        <w:rPr>
          <w:i/>
        </w:rPr>
        <w:t xml:space="preserve">Betrayal from Within. </w:t>
      </w:r>
      <w:r w:rsidRPr="00D07ADC">
        <w:rPr>
          <w:i/>
          <w:lang w:val="en-US"/>
        </w:rPr>
        <w:t>Joseph Avenol. Secretary</w:t>
      </w:r>
      <w:r>
        <w:rPr>
          <w:i/>
          <w:lang w:val="en-US"/>
        </w:rPr>
        <w:t>-</w:t>
      </w:r>
      <w:r w:rsidRPr="00D07ADC">
        <w:rPr>
          <w:i/>
          <w:lang w:val="en-US"/>
        </w:rPr>
        <w:t>General of the League of Nations 1933</w:t>
      </w:r>
      <w:r>
        <w:rPr>
          <w:i/>
          <w:lang w:val="en-US"/>
        </w:rPr>
        <w:t>-</w:t>
      </w:r>
      <w:r w:rsidRPr="00D07ADC">
        <w:rPr>
          <w:i/>
          <w:lang w:val="en-US"/>
        </w:rPr>
        <w:t>1940</w:t>
      </w:r>
      <w:r w:rsidRPr="00D07ADC">
        <w:rPr>
          <w:lang w:val="en-US"/>
        </w:rPr>
        <w:t xml:space="preserve">, New Haven-London 1969) ocenił bardzo krytycznie. Łagodniejszą linię przyjął wobec pierwszego sekretarza generalnego, co zasygnalizował już w tytule książki jemu poświęconej: </w:t>
      </w:r>
      <w:r w:rsidRPr="00D07ADC">
        <w:rPr>
          <w:i/>
          <w:lang w:val="en-US"/>
        </w:rPr>
        <w:t>Office Without Power: Secretary</w:t>
      </w:r>
      <w:r>
        <w:rPr>
          <w:i/>
          <w:lang w:val="en-US"/>
        </w:rPr>
        <w:t>-</w:t>
      </w:r>
      <w:r w:rsidRPr="00D07ADC">
        <w:rPr>
          <w:i/>
          <w:lang w:val="en-US"/>
        </w:rPr>
        <w:t>General sir Eric Drummond 1919</w:t>
      </w:r>
      <w:r>
        <w:rPr>
          <w:i/>
          <w:lang w:val="en-US"/>
        </w:rPr>
        <w:t>-</w:t>
      </w:r>
      <w:r w:rsidRPr="00D07ADC">
        <w:rPr>
          <w:i/>
          <w:lang w:val="en-US"/>
        </w:rPr>
        <w:t>1933</w:t>
      </w:r>
      <w:r>
        <w:rPr>
          <w:lang w:val="en-US"/>
        </w:rPr>
        <w:t>; Bertrand Clauzel –</w:t>
      </w:r>
      <w:r w:rsidRPr="00D07ADC">
        <w:rPr>
          <w:lang w:val="en-US"/>
        </w:rPr>
        <w:t xml:space="preserve"> szef Service Française pour la Société des Nations mówił min. </w:t>
      </w:r>
      <w:r w:rsidRPr="00D07ADC">
        <w:t>Sokalowi, że Avenol liczy się i w miarę możliwości respektuje stanowisko rządu francuskiego, por. AAN, AB, sygn. 1307, k. 176, Sokal do p. Ministra, Genewa 28 stycznia 1926 r. Analogiczne sformułowania można także użyć w odniesieniu do pierwszego sekretarza generalnego.</w:t>
      </w:r>
    </w:p>
  </w:footnote>
  <w:footnote w:id="325">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J. de Launay, </w:t>
      </w:r>
      <w:r w:rsidRPr="00D07ADC">
        <w:rPr>
          <w:i/>
        </w:rPr>
        <w:t>Historia tajnej dyplomacji</w:t>
      </w:r>
      <w:r w:rsidRPr="00D07ADC">
        <w:t>, s.161. Stresemann był inicjowany 22 lipca 1923 r. w Loge Frédéric le Grand, natomiast Briand złożył wniosek o członkostwo, ale procedury nie kontynuował. Figuruje jednak w wydawnictwach masońskich jako zainicjowany w Loge Le Trait d’Union de Saint-Nazaire; Alain Baaer (</w:t>
      </w:r>
      <w:r w:rsidRPr="00D07ADC">
        <w:rPr>
          <w:i/>
        </w:rPr>
        <w:t>Relations internationales et franc maçonerie</w:t>
      </w:r>
      <w:r w:rsidRPr="00D07ADC">
        <w:t>, Revue internationale et strategue 2004, nr 54, s. 23) pisze, że LN była produktem czysto masońskim (</w:t>
      </w:r>
      <w:r w:rsidRPr="00D07ADC">
        <w:rPr>
          <w:i/>
        </w:rPr>
        <w:t>pure er dure</w:t>
      </w:r>
      <w:r w:rsidRPr="00D07ADC">
        <w:t>). Zauważa też, że bezpośrednio po wielkiej wojnie (podobnie jak w 1946 r.) masoni byli promotorami przywrócenia stosunków francusko-niemieckich.</w:t>
      </w:r>
    </w:p>
  </w:footnote>
  <w:footnote w:id="326">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Por. S. Sierpowski, </w:t>
      </w:r>
      <w:r w:rsidRPr="00D07ADC">
        <w:rPr>
          <w:i/>
        </w:rPr>
        <w:t>Narodziny Ligi Narodów</w:t>
      </w:r>
      <w:r w:rsidRPr="00D07ADC">
        <w:t>, s. 189 i n.</w:t>
      </w:r>
    </w:p>
  </w:footnote>
  <w:footnote w:id="327">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A. Wysocki, </w:t>
      </w:r>
      <w:r w:rsidRPr="00D07ADC">
        <w:rPr>
          <w:i/>
        </w:rPr>
        <w:t>Tajemnice dyplomatycznego sejfu</w:t>
      </w:r>
      <w:r w:rsidRPr="00D07ADC">
        <w:t>, Warszawa 1974, s. 63.</w:t>
      </w:r>
    </w:p>
  </w:footnote>
  <w:footnote w:id="328">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Szerzej S. Sierpowski, </w:t>
      </w:r>
      <w:r w:rsidRPr="00D07ADC">
        <w:rPr>
          <w:i/>
        </w:rPr>
        <w:t>Liga Narodów w latach 1919</w:t>
      </w:r>
      <w:r>
        <w:rPr>
          <w:i/>
        </w:rPr>
        <w:t>-</w:t>
      </w:r>
      <w:r w:rsidRPr="00D07ADC">
        <w:rPr>
          <w:i/>
        </w:rPr>
        <w:t>1926</w:t>
      </w:r>
      <w:r w:rsidRPr="00D07ADC">
        <w:t xml:space="preserve">, s. 143; J. Wintzer, </w:t>
      </w:r>
      <w:r w:rsidRPr="00D07ADC">
        <w:rPr>
          <w:i/>
          <w:iCs/>
        </w:rPr>
        <w:t>Deutschland und der Völkerbund</w:t>
      </w:r>
      <w:r w:rsidRPr="00D07ADC">
        <w:rPr>
          <w:iCs/>
        </w:rPr>
        <w:t>, s. 127 i n</w:t>
      </w:r>
      <w:r w:rsidRPr="00D07ADC">
        <w:t>.</w:t>
      </w:r>
    </w:p>
  </w:footnote>
  <w:footnote w:id="329">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S. Mikos, </w:t>
      </w:r>
      <w:r w:rsidRPr="00D07ADC">
        <w:rPr>
          <w:i/>
        </w:rPr>
        <w:t>Wolne Miasto Gdańsk a Liga Narodów 1920</w:t>
      </w:r>
      <w:r>
        <w:rPr>
          <w:i/>
        </w:rPr>
        <w:t>-</w:t>
      </w:r>
      <w:r w:rsidRPr="00D07ADC">
        <w:rPr>
          <w:i/>
        </w:rPr>
        <w:t>1939</w:t>
      </w:r>
      <w:r w:rsidRPr="00D07ADC">
        <w:t>, Gdańsk 1979; W. Ramonat,</w:t>
      </w:r>
      <w:r w:rsidRPr="00D07ADC">
        <w:rPr>
          <w:i/>
        </w:rPr>
        <w:t xml:space="preserve"> Der Völkerbund und die Freie Stadt Danzig 1920</w:t>
      </w:r>
      <w:r>
        <w:rPr>
          <w:i/>
        </w:rPr>
        <w:t>-</w:t>
      </w:r>
      <w:r w:rsidRPr="00D07ADC">
        <w:rPr>
          <w:i/>
        </w:rPr>
        <w:t>1934</w:t>
      </w:r>
      <w:r w:rsidRPr="00D07ADC">
        <w:t>, Osnabrück 1979.</w:t>
      </w:r>
    </w:p>
  </w:footnote>
  <w:footnote w:id="330">
    <w:p w:rsidR="00942133" w:rsidRPr="00D07ADC"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D07ADC">
        <w:rPr>
          <w:lang w:val="en-US"/>
        </w:rPr>
        <w:t xml:space="preserve"> R. Cecil, </w:t>
      </w:r>
      <w:r w:rsidRPr="00D07ADC">
        <w:rPr>
          <w:i/>
          <w:lang w:val="en-US"/>
        </w:rPr>
        <w:t>A Great Experiment</w:t>
      </w:r>
      <w:r w:rsidRPr="00D07ADC">
        <w:rPr>
          <w:lang w:val="en-US"/>
        </w:rPr>
        <w:t>, s. 130.</w:t>
      </w:r>
    </w:p>
  </w:footnote>
  <w:footnote w:id="331">
    <w:p w:rsidR="00942133" w:rsidRPr="00D07ADC" w:rsidRDefault="00942133" w:rsidP="001E5F63">
      <w:pPr>
        <w:pStyle w:val="Tekstprzypisudolnego"/>
        <w:spacing w:line="23" w:lineRule="atLeast"/>
        <w:ind w:firstLine="0"/>
        <w:contextualSpacing/>
        <w:rPr>
          <w:lang w:val="fr-FR"/>
        </w:rPr>
      </w:pPr>
      <w:r w:rsidRPr="00D07ADC">
        <w:rPr>
          <w:rStyle w:val="Odwoanieprzypisudolnego"/>
          <w:rFonts w:ascii="Times New Roman" w:hAnsi="Times New Roman"/>
          <w:sz w:val="20"/>
        </w:rPr>
        <w:footnoteRef/>
      </w:r>
      <w:r w:rsidRPr="00D07ADC">
        <w:rPr>
          <w:lang w:val="fr-FR"/>
        </w:rPr>
        <w:t>ASDN, 14/9887/23385</w:t>
      </w:r>
      <w:r>
        <w:rPr>
          <w:lang w:val="fr-FR"/>
        </w:rPr>
        <w:t>,</w:t>
      </w:r>
      <w:r w:rsidRPr="00D07ADC">
        <w:rPr>
          <w:lang w:val="fr-FR"/>
        </w:rPr>
        <w:t xml:space="preserve"> R. 6228 (Seancés secrètes du jeudi 12 mars 1925).</w:t>
      </w:r>
    </w:p>
  </w:footnote>
  <w:footnote w:id="332">
    <w:p w:rsidR="00942133" w:rsidRPr="00D07ADC"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D07ADC">
        <w:rPr>
          <w:lang w:val="en-US"/>
        </w:rPr>
        <w:t xml:space="preserve"> R. Cecil, </w:t>
      </w:r>
      <w:r w:rsidRPr="00D07ADC">
        <w:rPr>
          <w:i/>
          <w:lang w:val="en-US"/>
        </w:rPr>
        <w:t>A Great Experiment</w:t>
      </w:r>
      <w:r w:rsidRPr="00D07ADC">
        <w:rPr>
          <w:lang w:val="en-US"/>
        </w:rPr>
        <w:t>, s. 130.</w:t>
      </w:r>
    </w:p>
  </w:footnote>
  <w:footnote w:id="333">
    <w:p w:rsidR="00942133" w:rsidRPr="00D07ADC" w:rsidRDefault="00942133" w:rsidP="001E5F63">
      <w:pPr>
        <w:spacing w:line="23" w:lineRule="atLeast"/>
        <w:ind w:firstLine="0"/>
        <w:contextualSpacing/>
        <w:rPr>
          <w:sz w:val="20"/>
          <w:szCs w:val="20"/>
        </w:rPr>
      </w:pPr>
      <w:r w:rsidRPr="00D07ADC">
        <w:rPr>
          <w:rStyle w:val="Odwoanieprzypisudolnego"/>
          <w:rFonts w:ascii="Times New Roman" w:hAnsi="Times New Roman"/>
          <w:sz w:val="20"/>
          <w:szCs w:val="20"/>
        </w:rPr>
        <w:footnoteRef/>
      </w:r>
      <w:r w:rsidRPr="00D07ADC">
        <w:rPr>
          <w:sz w:val="20"/>
          <w:szCs w:val="20"/>
        </w:rPr>
        <w:t xml:space="preserve"> Cyt. za E.M. Clark, </w:t>
      </w:r>
      <w:r w:rsidRPr="00D07ADC">
        <w:rPr>
          <w:i/>
          <w:sz w:val="20"/>
          <w:szCs w:val="20"/>
        </w:rPr>
        <w:t>Wolne Miasto Gdańsk jako obiekt zainteresowania: spojrzenie z perspektywy amerykańskiej dokumentacji konsularnej z Archiwów Narodowych w Waszyngtonie</w:t>
      </w:r>
      <w:r w:rsidRPr="00D07ADC">
        <w:rPr>
          <w:sz w:val="20"/>
          <w:szCs w:val="20"/>
        </w:rPr>
        <w:t xml:space="preserve">, [w:] </w:t>
      </w:r>
      <w:r w:rsidRPr="00D07ADC">
        <w:rPr>
          <w:i/>
          <w:sz w:val="20"/>
          <w:szCs w:val="20"/>
        </w:rPr>
        <w:t>Gdańsk. Z historii stosunków polsko-niemieckich</w:t>
      </w:r>
      <w:r w:rsidRPr="00D07ADC">
        <w:rPr>
          <w:sz w:val="20"/>
          <w:szCs w:val="20"/>
        </w:rPr>
        <w:t>, red. M. Andrzejewski, Warszawa 1998, s. 89.</w:t>
      </w:r>
    </w:p>
  </w:footnote>
  <w:footnote w:id="334">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ASDN, 14/9887/2385, R. 6228, (Séances secrètes du 10 i 11 mars 1925; protokół z tej dyskusji oraz skrzynek pocztowych liczy 14 stron maszynopisu).</w:t>
      </w:r>
    </w:p>
  </w:footnote>
  <w:footnote w:id="335">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ASDN, 14/9887/2385, R. 6228 (Notes sur la séance secrète du samdi 12 décembre 1925, matin); Paul Hymans zdobył się na krytyczną uwagę dotyczącą braku dyskrecji: „Rada pracuje okresowo okolona dwustu dziennikarzami. W sprawie Górnego Śląska Rada przez prawie sześć tygodni nie dopuściła się niedyskrecji. Czasy się zmieniają”.</w:t>
      </w:r>
    </w:p>
  </w:footnote>
  <w:footnote w:id="336">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Rezolucja Rady powzięta 20 września 1926 r. wskazywała jednocześnie na Włochy, której przedstawiciel „wyspecjalizował” się w sprawach dotyczących Zagłębia Saary. Była to ledwie maskowana „szpila” antyfrancuska; Francja była sprawozdawcą międzynarodowej współpracy intelektualnej, por. </w:t>
      </w:r>
      <w:r w:rsidRPr="00D07ADC">
        <w:rPr>
          <w:i/>
        </w:rPr>
        <w:t>Annuaire de la Société des Nations, Première année</w:t>
      </w:r>
      <w:r w:rsidRPr="00D07ADC">
        <w:t>, s. 63.</w:t>
      </w:r>
    </w:p>
  </w:footnote>
  <w:footnote w:id="337">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Śledzenie kontrowersji o charakterze personalnym jest ułatwione dzięki protokołom tajnych sesji Rady, które miały obowiązek zapoznać się z propozycjami kadrowymi, zanim zostaną postawione na sesji publicznej. Na jednej z nich 13 stycznia 1922 r. ambasador włoski Carlo Sforza nawiązując do dyskusji o długości trwania kontraktów osób zatrudnianych w Sekretariacie, przypomniał o wizycie sekretarza generalnego w Rzymie, kiedy poznał niezadowolenie parlamentu i opinii publicznej z powodu niewielkiej liczby osób narodowości włoskiej w Sekretariacie. Hiszpański ambasador oświadczył, że otrzymał instrukcje w podobnym duchu. Delegat Brazylii takżeubolewał, gdyż z jego kraju nie ma nikogo w Sekretariacie mimo ogromnego wkładu, jaki jego kraj wniósł w propagowanie Ligi na całym kontynencie. Chociaż dotąd Brazylia nie wystąpiła formalnie z określonymi dezyderatami, to jednak prawo do reprezentacji w Sekretariacie powinno być zauważone. Przedstawiciele Japonii i Belgii ufali sekretarzowi generalnemu, że będzie realizował sprawiedliwą politykę personalną i zgadzano się, że w miarę wygaszania obowiązujących kontraktów przewaga Brytyjczyków i Francuzów będzie zmniejszana – zob. ASDN, 14/9887/2385, R. 6228 (January 13th, 1922. E.D.). </w:t>
      </w:r>
    </w:p>
  </w:footnote>
  <w:footnote w:id="338">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Z Europy: Albania, Estonia, Luksemburg i Węgry; z Ameryki Łacińskiej: Argentyna, Boliwia, Brazylia, Dominikana, Gwatemala, Haiti, Honduras, Kostaryka, Nikaragua, Paragwaj, Peru, Salwador; z pozostałych części świata: Etiopia, Liberia, Persja i Południowa Afryka, zob. ASDN, S: 394 Bis /3/(Bureau du Personell).</w:t>
      </w:r>
    </w:p>
  </w:footnote>
  <w:footnote w:id="339">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ASDN, S: 934/4 (Bureau du Personell); po wycofaniu się z Sekretariatu Mantoux pozostał w Genewie jako szef Institut Universitaire de Houts Etudes Internationales.</w:t>
      </w:r>
    </w:p>
  </w:footnote>
  <w:footnote w:id="340">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AAN, AB, sygn. 1353, k. 73 (K. Olszewski do pana Ministra, Berlin 27.06.1924).</w:t>
      </w:r>
    </w:p>
  </w:footnote>
  <w:footnote w:id="341">
    <w:p w:rsidR="00942133" w:rsidRPr="00D07ADC" w:rsidRDefault="00942133" w:rsidP="001E5F63">
      <w:pPr>
        <w:pStyle w:val="Tekstprzypisudolnego"/>
        <w:spacing w:line="23" w:lineRule="atLeast"/>
        <w:ind w:firstLine="0"/>
        <w:contextualSpacing/>
        <w:rPr>
          <w:lang w:val="fr-FR"/>
        </w:rPr>
      </w:pPr>
      <w:r w:rsidRPr="00D07ADC">
        <w:rPr>
          <w:rStyle w:val="Odwoanieprzypisudolnego"/>
          <w:rFonts w:ascii="Times New Roman" w:hAnsi="Times New Roman"/>
          <w:sz w:val="20"/>
        </w:rPr>
        <w:footnoteRef/>
      </w:r>
      <w:r w:rsidRPr="00D07ADC">
        <w:rPr>
          <w:lang w:val="fr-FR"/>
        </w:rPr>
        <w:t>Obszerny materiał jest w ASDN, Foud Paul Mantoux, p. 31 (Polemique dans la presse Allemande sur le Allemands au Secrètariat, 9 janvier 1925),powinno być 1926 r.</w:t>
      </w:r>
    </w:p>
  </w:footnote>
  <w:footnote w:id="342">
    <w:p w:rsidR="00942133" w:rsidRPr="00D07ADC"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D07ADC">
        <w:rPr>
          <w:lang w:val="en-US"/>
        </w:rPr>
        <w:t xml:space="preserve"> M.M. Lee, </w:t>
      </w:r>
      <w:r w:rsidRPr="00D07ADC">
        <w:rPr>
          <w:i/>
          <w:lang w:val="en-US"/>
        </w:rPr>
        <w:t>Fallure in Geneva</w:t>
      </w:r>
      <w:r w:rsidRPr="00D07ADC">
        <w:rPr>
          <w:lang w:val="en-US"/>
        </w:rPr>
        <w:t>, s. 9.</w:t>
      </w:r>
    </w:p>
  </w:footnote>
  <w:footnote w:id="343">
    <w:p w:rsidR="00942133" w:rsidRPr="000F486B"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0F486B">
        <w:rPr>
          <w:lang w:val="en-US"/>
        </w:rPr>
        <w:t xml:space="preserve"> Ch. Kimmich, </w:t>
      </w:r>
      <w:r w:rsidRPr="000F486B">
        <w:rPr>
          <w:i/>
          <w:lang w:val="en-US"/>
        </w:rPr>
        <w:t>Germany,</w:t>
      </w:r>
      <w:r w:rsidRPr="000F486B">
        <w:rPr>
          <w:lang w:val="en-US"/>
        </w:rPr>
        <w:t xml:space="preserve"> s. 92 i n.</w:t>
      </w:r>
    </w:p>
  </w:footnote>
  <w:footnote w:id="344">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Największa liczba kobiet pochodziła z Wielkiej Brytanii – 92 (na 137 ogółem zatrudnionych), Szwajcarii – 59 (na 131 ogółem), Francji – 51 (na 87 ogółem), Belgii – 6 (na 13 ogółem), Włoch – 5 (na 17 ogółem), por. ASDN, S: 696 (Dossier du Personell. Personnel Office 18.10.1926).</w:t>
      </w:r>
    </w:p>
  </w:footnote>
  <w:footnote w:id="345">
    <w:p w:rsidR="00942133" w:rsidRPr="00D07ADC"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D07ADC">
        <w:t xml:space="preserve"> Utyskiwania były o tyle zasadne, żeLaura Dreyfus-Barney była jedyną kobietą w 16-osobowym zespole, zob. </w:t>
      </w:r>
      <w:r w:rsidRPr="00D07ADC">
        <w:rPr>
          <w:i/>
          <w:lang w:val="en-US"/>
        </w:rPr>
        <w:t>Annuairede la Société des Nations, Première année</w:t>
      </w:r>
      <w:r w:rsidRPr="00D07ADC">
        <w:rPr>
          <w:lang w:val="en-US"/>
        </w:rPr>
        <w:t xml:space="preserve">, s. 173; szerzej J. Goodman, </w:t>
      </w:r>
      <w:hyperlink r:id="rId3" w:history="1">
        <w:r w:rsidRPr="00D07ADC">
          <w:rPr>
            <w:rStyle w:val="Hipercze"/>
            <w:i/>
            <w:color w:val="auto"/>
            <w:u w:val="none"/>
            <w:lang w:val="en-US"/>
          </w:rPr>
          <w:t xml:space="preserve">Women and International Intellectual Co-Operation, </w:t>
        </w:r>
      </w:hyperlink>
      <w:r w:rsidRPr="00D07ADC">
        <w:rPr>
          <w:lang w:val="en-US"/>
        </w:rPr>
        <w:t xml:space="preserve"> Paedagogica Historica: International Journal of the History of Education 48 (2012), 3, s. 357 i n.</w:t>
      </w:r>
    </w:p>
  </w:footnote>
  <w:footnote w:id="346">
    <w:p w:rsidR="00942133" w:rsidRPr="00D07ADC"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D07ADC">
        <w:rPr>
          <w:lang w:val="en-US"/>
        </w:rPr>
        <w:t>ASDN, 29/18166/18166, R. 1458.Council for the Representation of Women in the League of Nations. Report of the Executive Committee, November 1925, to November 1926.</w:t>
      </w:r>
    </w:p>
  </w:footnote>
  <w:footnote w:id="347">
    <w:p w:rsidR="00942133" w:rsidRPr="00D07ADC"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D07ADC">
        <w:rPr>
          <w:lang w:val="en-US"/>
        </w:rPr>
        <w:t xml:space="preserve"> Wątek Florynce Wilson oraz działalność innych kobiet w Lidze i wokół niej, a także Shéni Avril de Sainte-Croix zainspirował Ki-Tscheng do napisania tezy doktorskiej na wydziale prawa uniwersytetu paryskiego </w:t>
      </w:r>
      <w:r w:rsidRPr="00D07ADC">
        <w:rPr>
          <w:i/>
          <w:lang w:val="en-US"/>
        </w:rPr>
        <w:t>Le Femme et la Société des Nations</w:t>
      </w:r>
      <w:r w:rsidRPr="00D07ADC">
        <w:rPr>
          <w:lang w:val="en-US"/>
        </w:rPr>
        <w:t xml:space="preserve">, Paris 1928; por. D.G. Dale, </w:t>
      </w:r>
      <w:r w:rsidRPr="00D07ADC">
        <w:rPr>
          <w:i/>
          <w:lang w:val="en-US"/>
        </w:rPr>
        <w:t>An American in Geneva: Florance Wilson and the LN Library</w:t>
      </w:r>
      <w:r w:rsidRPr="00D07ADC">
        <w:rPr>
          <w:lang w:val="en-US"/>
        </w:rPr>
        <w:t>, The Journal of Library History 7 (1972), nr 2, s. 109 i n.</w:t>
      </w:r>
    </w:p>
  </w:footnote>
  <w:footnote w:id="348">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Jan Muszkowski (1882-1953) </w:t>
      </w:r>
      <w:r>
        <w:t>–</w:t>
      </w:r>
      <w:r w:rsidRPr="00D07ADC">
        <w:t xml:space="preserve"> wybitny bibliotekarz polski, pedagog, popularyzator czytelnictwa i nauki o książce.</w:t>
      </w:r>
    </w:p>
  </w:footnote>
  <w:footnote w:id="349">
    <w:p w:rsidR="00942133" w:rsidRPr="000F486B"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0F486B">
        <w:t>ASDN, 30/33327/33327, R. 1468.</w:t>
      </w:r>
    </w:p>
  </w:footnote>
  <w:footnote w:id="350">
    <w:p w:rsidR="00942133" w:rsidRPr="000F486B"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0F486B">
        <w:t xml:space="preserve"> ASDN, S: 696 (Dossiers du Personell 18.10.1926, oraz February 1928).</w:t>
      </w:r>
    </w:p>
  </w:footnote>
  <w:footnote w:id="351">
    <w:p w:rsidR="00942133" w:rsidRPr="00D07ADC" w:rsidRDefault="00942133" w:rsidP="001E5F63">
      <w:pPr>
        <w:shd w:val="clear" w:color="auto" w:fill="FFFFFF"/>
        <w:suppressAutoHyphens/>
        <w:spacing w:line="23" w:lineRule="atLeast"/>
        <w:ind w:firstLine="0"/>
        <w:contextualSpacing/>
        <w:rPr>
          <w:sz w:val="20"/>
          <w:szCs w:val="20"/>
        </w:rPr>
      </w:pPr>
      <w:r w:rsidRPr="00D07ADC">
        <w:rPr>
          <w:rStyle w:val="Odwoanieprzypisudolnego"/>
          <w:rFonts w:ascii="Times New Roman" w:hAnsi="Times New Roman"/>
          <w:sz w:val="20"/>
          <w:szCs w:val="20"/>
        </w:rPr>
        <w:footnoteRef/>
      </w:r>
      <w:r w:rsidRPr="00D07ADC">
        <w:rPr>
          <w:sz w:val="20"/>
          <w:szCs w:val="20"/>
        </w:rPr>
        <w:t xml:space="preserve"> O. Olsen należał do tej grupy pracowników Sekretariatu, która odmówiła opuszczenia swych stanowisk po wycofaniu się Rzeszy z Ligi Narodów.</w:t>
      </w:r>
    </w:p>
  </w:footnote>
  <w:footnote w:id="352">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Dr Paul Barandon miał za sobą także karierę dyplomatyczną, pełniąc funkcję niemieckiego konsula generalnego w Rio de Janeiro. Po wojnie prowadził kancelarię adwokacką, będąc w latach 1920-1926 członkiem brytyjsko-niemieckiego trybunału arbitrażowego. Cieszył się opinią dobrego fachowca zdolnego i lojalnego pracownika. Kontrakt jego wygasł w lutym 1933 r.</w:t>
      </w:r>
    </w:p>
  </w:footnote>
  <w:footnote w:id="353">
    <w:p w:rsidR="00942133" w:rsidRPr="00D07ADC" w:rsidRDefault="00942133" w:rsidP="001E5F63">
      <w:pPr>
        <w:shd w:val="clear" w:color="auto" w:fill="FFFFFF"/>
        <w:tabs>
          <w:tab w:val="left" w:pos="3696"/>
        </w:tabs>
        <w:suppressAutoHyphens/>
        <w:spacing w:line="23" w:lineRule="atLeast"/>
        <w:ind w:firstLine="0"/>
        <w:contextualSpacing/>
        <w:rPr>
          <w:color w:val="000000"/>
          <w:sz w:val="20"/>
          <w:szCs w:val="20"/>
        </w:rPr>
      </w:pPr>
      <w:r w:rsidRPr="00D07ADC">
        <w:rPr>
          <w:rStyle w:val="Odwoanieprzypisudolnego"/>
          <w:rFonts w:ascii="Times New Roman" w:hAnsi="Times New Roman"/>
          <w:sz w:val="20"/>
          <w:szCs w:val="20"/>
        </w:rPr>
        <w:footnoteRef/>
      </w:r>
      <w:r>
        <w:rPr>
          <w:sz w:val="20"/>
          <w:szCs w:val="20"/>
        </w:rPr>
        <w:t xml:space="preserve"> Cytowany już M.</w:t>
      </w:r>
      <w:r w:rsidRPr="00D07ADC">
        <w:rPr>
          <w:sz w:val="20"/>
          <w:szCs w:val="20"/>
        </w:rPr>
        <w:t>M. Lee, (</w:t>
      </w:r>
      <w:r w:rsidRPr="00D07ADC">
        <w:rPr>
          <w:i/>
          <w:sz w:val="20"/>
          <w:szCs w:val="20"/>
        </w:rPr>
        <w:t>Failure in Geneva</w:t>
      </w:r>
      <w:r w:rsidRPr="00D07ADC">
        <w:rPr>
          <w:sz w:val="20"/>
          <w:szCs w:val="20"/>
        </w:rPr>
        <w:t>, s. 25) do zatrudnionych w Sekretariacie Niemców zalicza także dr</w:t>
      </w:r>
      <w:r>
        <w:rPr>
          <w:sz w:val="20"/>
          <w:szCs w:val="20"/>
        </w:rPr>
        <w:t>.</w:t>
      </w:r>
      <w:r w:rsidRPr="00D07ADC">
        <w:rPr>
          <w:sz w:val="20"/>
          <w:szCs w:val="20"/>
        </w:rPr>
        <w:t xml:space="preserve"> Arthura Seeligera. Tymczasem był on reprezentantem rządu niemieckiego w Komisji Konsultacyjnej i Technicznej Komunikacji i Tranzytu w randze ministra pełnomocnego. Jeśli był reprezentantem rządu nie mógł być jednocześnie pracownikiem Sekretariatu. Autorytatywne stwierdzenie liczby Niemców zatrudnionych w Sekretariacie jest dość trudne. Za celowe uznać można odwołanie się do listy pracowników upoważnionych do noszenia legitymacji pracownika Sekretariatu. Według stanu z połowy 1931 r. na wykazie tym figurowały następujące nazwiska Niemców: Kategorii I: Dufour-Feronce, P. Barandon, A. Blumenfeld, G. Furst, M.T. von Gils, A.E. Husslein, H.U. von Kotze, J.L. Metternich, M.A Nolda, O. Olsen, C. von Renthe-Fink, W. von Schmidem, M</w:t>
      </w:r>
      <w:r>
        <w:rPr>
          <w:sz w:val="20"/>
          <w:szCs w:val="20"/>
        </w:rPr>
        <w:t>.F. Schnabel, H.J. Treutzschler-</w:t>
      </w:r>
      <w:r w:rsidRPr="00D07ADC">
        <w:rPr>
          <w:sz w:val="20"/>
          <w:szCs w:val="20"/>
        </w:rPr>
        <w:t>von Falkenstein, E. Wertheimer; Kategorii II: O.A. Bernhardt, E. von Bethusy-Huc, M. Davian, G. Guckenheimer, L. Leski, C. von Stoltzenberg, A. Warnstedt, R.L. Wittmann (por. ASDN, S: 934 bis (8); Bureau du Personnell). Nie było Niemców wśród politycznych urzędników Sekretariatu zatrudnionych na kontrakty od 1</w:t>
      </w:r>
      <w:r>
        <w:rPr>
          <w:sz w:val="20"/>
          <w:szCs w:val="20"/>
        </w:rPr>
        <w:t xml:space="preserve"> roku</w:t>
      </w:r>
      <w:r w:rsidRPr="00D07ADC">
        <w:rPr>
          <w:sz w:val="20"/>
          <w:szCs w:val="20"/>
        </w:rPr>
        <w:t xml:space="preserve"> do 5 lat; w połowie 1933 r. na takich kontraktach było 5 obywateli USA, 4 Brytyjczyków, po 3 Francuzów i Polaków (dr J. Celarek, S. Deutschmann i I. Wasserberg), po 2 Włochów, Japończyków i Hiszpanów. Wśród naj</w:t>
      </w:r>
      <w:r w:rsidRPr="00D07ADC">
        <w:rPr>
          <w:color w:val="000000"/>
          <w:sz w:val="20"/>
          <w:szCs w:val="20"/>
        </w:rPr>
        <w:t xml:space="preserve">wyższych administracyjnych urzędników Sekretariatu był tylko </w:t>
      </w:r>
      <w:r w:rsidRPr="00D07ADC">
        <w:rPr>
          <w:sz w:val="20"/>
          <w:szCs w:val="20"/>
        </w:rPr>
        <w:t>F. Schnabel, podczas gdy</w:t>
      </w:r>
      <w:r w:rsidRPr="00D07ADC">
        <w:rPr>
          <w:color w:val="000000"/>
          <w:sz w:val="20"/>
          <w:szCs w:val="20"/>
        </w:rPr>
        <w:t xml:space="preserve"> Brytyjczyków było </w:t>
      </w:r>
      <w:smartTag w:uri="urn:schemas-microsoft-com:office:smarttags" w:element="metricconverter">
        <w:smartTagPr>
          <w:attr w:name="ProductID" w:val="27, a"/>
        </w:smartTagPr>
        <w:r w:rsidRPr="00D07ADC">
          <w:rPr>
            <w:color w:val="000000"/>
            <w:sz w:val="20"/>
            <w:szCs w:val="20"/>
          </w:rPr>
          <w:t>27, a</w:t>
        </w:r>
      </w:smartTag>
      <w:r w:rsidRPr="00D07ADC">
        <w:rPr>
          <w:color w:val="000000"/>
          <w:sz w:val="20"/>
          <w:szCs w:val="20"/>
        </w:rPr>
        <w:t xml:space="preserve"> Francuzów 19. Po jednym miały także: USA, Australia, Holandia, Węgry, Szwajcaria, Niemcy i Polska (M. Ginsberg zatrudniona w Bibliotece); stan z kwietnia 1933 r. – por. ASDN, S: 696 (Dossiers du Personnell).</w:t>
      </w:r>
    </w:p>
  </w:footnote>
  <w:footnote w:id="354">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rPr>
          <w:color w:val="000000"/>
        </w:rPr>
        <w:t>Każdy z członków sekcji miał szczególne baczenie na sprawy pewnych państw. Renthe-Fink był ekspertem od Niemiec, Austrii, Holandii, Danii, Szwecji i Norwegii.</w:t>
      </w:r>
    </w:p>
  </w:footnote>
  <w:footnote w:id="355">
    <w:p w:rsidR="00942133" w:rsidRPr="00D07ADC" w:rsidRDefault="00942133" w:rsidP="001E5F63">
      <w:pPr>
        <w:pStyle w:val="Tekstprzypisudolnego"/>
        <w:spacing w:line="23" w:lineRule="atLeast"/>
        <w:ind w:firstLine="0"/>
        <w:contextualSpacing/>
        <w:rPr>
          <w:lang w:val="fr-FR"/>
        </w:rPr>
      </w:pPr>
      <w:r w:rsidRPr="00D07ADC">
        <w:rPr>
          <w:rStyle w:val="Odwoanieprzypisudolnego"/>
          <w:rFonts w:ascii="Times New Roman" w:hAnsi="Times New Roman"/>
          <w:sz w:val="20"/>
        </w:rPr>
        <w:footnoteRef/>
      </w:r>
      <w:r w:rsidRPr="00D07ADC">
        <w:rPr>
          <w:color w:val="000000"/>
        </w:rPr>
        <w:t>Znaczne różnice w uposażeniu pracowników Sekretariatu były przedmiotem silnej krytyki. Przykładowo wśród urzędników rangi międzynarodowej pensja podsekretarza generalnego wynosiła 63 tys. fr. szw. rocznie, dyrektora sekcji od 41 do 53 tys., natomiast członka sekcji kategorii A od 19 do 28 tys., zaś kategorii B od 1</w:t>
      </w:r>
      <w:r w:rsidRPr="003C0842">
        <w:rPr>
          <w:color w:val="000000"/>
          <w:spacing w:val="20"/>
        </w:rPr>
        <w:t>3</w:t>
      </w:r>
      <w:r>
        <w:rPr>
          <w:color w:val="000000"/>
        </w:rPr>
        <w:t>700 do 1</w:t>
      </w:r>
      <w:r w:rsidRPr="003C0842">
        <w:rPr>
          <w:color w:val="000000"/>
          <w:spacing w:val="20"/>
        </w:rPr>
        <w:t>9</w:t>
      </w:r>
      <w:r w:rsidRPr="00D07ADC">
        <w:rPr>
          <w:color w:val="000000"/>
        </w:rPr>
        <w:t xml:space="preserve">000 – por. </w:t>
      </w:r>
      <w:r w:rsidRPr="00D07ADC">
        <w:rPr>
          <w:i/>
          <w:color w:val="000000"/>
          <w:lang w:val="fr-FR"/>
        </w:rPr>
        <w:t>Annuaire de laSociété des Nations. Première année</w:t>
      </w:r>
      <w:r w:rsidRPr="00D07ADC">
        <w:rPr>
          <w:color w:val="000000"/>
          <w:lang w:val="fr-FR"/>
        </w:rPr>
        <w:t>, s. 73.</w:t>
      </w:r>
    </w:p>
  </w:footnote>
  <w:footnote w:id="356">
    <w:p w:rsidR="00942133" w:rsidRPr="00D07ADC" w:rsidRDefault="00942133" w:rsidP="001E5F63">
      <w:pPr>
        <w:shd w:val="clear" w:color="auto" w:fill="FFFFFF"/>
        <w:suppressAutoHyphens/>
        <w:spacing w:line="23" w:lineRule="atLeast"/>
        <w:ind w:firstLine="0"/>
        <w:contextualSpacing/>
        <w:rPr>
          <w:sz w:val="20"/>
          <w:szCs w:val="20"/>
          <w:lang w:val="fr-FR"/>
        </w:rPr>
      </w:pPr>
      <w:r w:rsidRPr="00D07ADC">
        <w:rPr>
          <w:rStyle w:val="Odwoanieprzypisudolnego"/>
          <w:rFonts w:ascii="Times New Roman" w:hAnsi="Times New Roman"/>
          <w:sz w:val="20"/>
          <w:szCs w:val="20"/>
        </w:rPr>
        <w:footnoteRef/>
      </w:r>
      <w:r w:rsidRPr="00D07ADC">
        <w:rPr>
          <w:color w:val="000000"/>
          <w:sz w:val="20"/>
          <w:szCs w:val="20"/>
          <w:lang w:val="fr-FR"/>
        </w:rPr>
        <w:t xml:space="preserve">M.M. Lee, </w:t>
      </w:r>
      <w:r w:rsidRPr="00D07ADC">
        <w:rPr>
          <w:i/>
          <w:color w:val="000000"/>
          <w:sz w:val="20"/>
          <w:szCs w:val="20"/>
          <w:lang w:val="fr-FR"/>
        </w:rPr>
        <w:t>Failure in Geneva</w:t>
      </w:r>
      <w:r w:rsidRPr="00D07ADC">
        <w:rPr>
          <w:color w:val="000000"/>
          <w:sz w:val="20"/>
          <w:szCs w:val="20"/>
          <w:lang w:val="fr-FR"/>
        </w:rPr>
        <w:t>, s. 17 i n.</w:t>
      </w:r>
    </w:p>
    <w:p w:rsidR="00942133" w:rsidRPr="00D07ADC" w:rsidRDefault="00942133" w:rsidP="001E5F63">
      <w:pPr>
        <w:pStyle w:val="Tekstprzypisudolnego"/>
        <w:spacing w:line="23" w:lineRule="atLeast"/>
        <w:ind w:firstLine="0"/>
        <w:contextualSpacing/>
        <w:rPr>
          <w:lang w:val="fr-FR"/>
        </w:rPr>
      </w:pPr>
    </w:p>
  </w:footnote>
  <w:footnote w:id="357">
    <w:p w:rsidR="00942133" w:rsidRPr="00D07ADC" w:rsidRDefault="00942133" w:rsidP="001E5F63">
      <w:pPr>
        <w:shd w:val="clear" w:color="auto" w:fill="FFFFFF"/>
        <w:suppressAutoHyphens/>
        <w:spacing w:line="23" w:lineRule="atLeast"/>
        <w:ind w:firstLine="0"/>
        <w:contextualSpacing/>
        <w:rPr>
          <w:sz w:val="20"/>
          <w:szCs w:val="20"/>
          <w:lang w:val="de-DE"/>
        </w:rPr>
      </w:pPr>
      <w:r w:rsidRPr="00D07ADC">
        <w:rPr>
          <w:rStyle w:val="Odwoanieprzypisudolnego"/>
          <w:rFonts w:ascii="Times New Roman" w:hAnsi="Times New Roman"/>
          <w:sz w:val="20"/>
          <w:szCs w:val="20"/>
        </w:rPr>
        <w:footnoteRef/>
      </w:r>
      <w:r w:rsidRPr="00D07ADC">
        <w:rPr>
          <w:sz w:val="20"/>
          <w:szCs w:val="20"/>
          <w:lang w:val="de-DE"/>
        </w:rPr>
        <w:t xml:space="preserve"> Tamże, s.133 in.</w:t>
      </w:r>
      <w:r>
        <w:rPr>
          <w:sz w:val="20"/>
          <w:szCs w:val="20"/>
          <w:lang w:val="de-DE"/>
        </w:rPr>
        <w:t>;</w:t>
      </w:r>
      <w:r w:rsidRPr="00D07ADC">
        <w:rPr>
          <w:sz w:val="20"/>
          <w:szCs w:val="20"/>
          <w:lang w:val="de-DE"/>
        </w:rPr>
        <w:t xml:space="preserve"> J. Wintzer, </w:t>
      </w:r>
      <w:r w:rsidRPr="00D07ADC">
        <w:rPr>
          <w:i/>
          <w:iCs/>
          <w:sz w:val="20"/>
          <w:szCs w:val="20"/>
          <w:lang w:val="de-DE"/>
        </w:rPr>
        <w:t>Deutschland und der Völkerbund</w:t>
      </w:r>
      <w:r w:rsidRPr="003C0842">
        <w:rPr>
          <w:iCs/>
          <w:sz w:val="20"/>
          <w:szCs w:val="20"/>
          <w:lang w:val="de-DE"/>
        </w:rPr>
        <w:t xml:space="preserve">, </w:t>
      </w:r>
      <w:r w:rsidRPr="003C0842">
        <w:rPr>
          <w:sz w:val="20"/>
          <w:szCs w:val="20"/>
          <w:lang w:val="de-DE"/>
        </w:rPr>
        <w:t>s</w:t>
      </w:r>
      <w:r w:rsidRPr="00D07ADC">
        <w:rPr>
          <w:sz w:val="20"/>
          <w:szCs w:val="20"/>
          <w:lang w:val="de-DE"/>
        </w:rPr>
        <w:t>. 326, 364.</w:t>
      </w:r>
    </w:p>
  </w:footnote>
  <w:footnote w:id="358">
    <w:p w:rsidR="00942133" w:rsidRPr="00D07ADC"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D07ADC">
        <w:rPr>
          <w:lang w:val="en-US"/>
        </w:rPr>
        <w:t xml:space="preserve"> J. Barros, </w:t>
      </w:r>
      <w:r w:rsidRPr="00D07ADC">
        <w:rPr>
          <w:i/>
          <w:lang w:val="en-US"/>
        </w:rPr>
        <w:t>Office Without Power. Secretary-General sir Eric Drummond 1919</w:t>
      </w:r>
      <w:r>
        <w:rPr>
          <w:i/>
          <w:lang w:val="en-US"/>
        </w:rPr>
        <w:t>-</w:t>
      </w:r>
      <w:r w:rsidRPr="00D07ADC">
        <w:rPr>
          <w:i/>
          <w:lang w:val="en-US"/>
        </w:rPr>
        <w:t>1933</w:t>
      </w:r>
      <w:r w:rsidRPr="00D07ADC">
        <w:rPr>
          <w:lang w:val="en-US"/>
        </w:rPr>
        <w:t>, s. 287 i n.</w:t>
      </w:r>
    </w:p>
  </w:footnote>
  <w:footnote w:id="359">
    <w:p w:rsidR="00942133" w:rsidRPr="000F486B" w:rsidRDefault="00942133" w:rsidP="001E5F63">
      <w:pPr>
        <w:shd w:val="clear" w:color="auto" w:fill="FFFFFF"/>
        <w:suppressAutoHyphens/>
        <w:spacing w:line="23" w:lineRule="atLeast"/>
        <w:ind w:firstLine="0"/>
        <w:contextualSpacing/>
        <w:rPr>
          <w:sz w:val="20"/>
          <w:szCs w:val="20"/>
        </w:rPr>
      </w:pPr>
      <w:r w:rsidRPr="00D07ADC">
        <w:rPr>
          <w:rStyle w:val="Odwoanieprzypisudolnego"/>
          <w:rFonts w:ascii="Times New Roman" w:hAnsi="Times New Roman"/>
          <w:sz w:val="20"/>
          <w:szCs w:val="20"/>
        </w:rPr>
        <w:footnoteRef/>
      </w:r>
      <w:r w:rsidRPr="00241D7B">
        <w:rPr>
          <w:sz w:val="20"/>
          <w:szCs w:val="20"/>
        </w:rPr>
        <w:t xml:space="preserve"> Z postawą tą kontr</w:t>
      </w:r>
      <w:r w:rsidRPr="00D07ADC">
        <w:rPr>
          <w:sz w:val="20"/>
          <w:szCs w:val="20"/>
        </w:rPr>
        <w:t xml:space="preserve">astowała publiczna krytyka funkcjonowania Sekretariatu, w której celowali Włosi. Paulucci Di Colboli, komentując także jemu wygasający w 1931 r. kontrakt na stanowisku podsekretarza generalnego, wskazywał na „bezcelowe prowadzenie polityki za pośrednictwem podsekretarza generalnego, pozbawionego wszelkich kompetencji przy wszechwładnym Sekretarzu Generalnym” – por. AAN, MSZ, sygn. </w:t>
      </w:r>
      <w:r w:rsidRPr="000F486B">
        <w:rPr>
          <w:sz w:val="20"/>
          <w:szCs w:val="20"/>
        </w:rPr>
        <w:t xml:space="preserve">1617, k. 18/19 (F. Sokal do A. Zaleskiego, Genewa 11 III </w:t>
      </w:r>
      <w:r w:rsidRPr="000F486B">
        <w:rPr>
          <w:bCs/>
          <w:sz w:val="20"/>
          <w:szCs w:val="20"/>
        </w:rPr>
        <w:t xml:space="preserve">1931 </w:t>
      </w:r>
      <w:r w:rsidRPr="000F486B">
        <w:rPr>
          <w:sz w:val="20"/>
          <w:szCs w:val="20"/>
        </w:rPr>
        <w:t>r.).</w:t>
      </w:r>
    </w:p>
  </w:footnote>
  <w:footnote w:id="360">
    <w:p w:rsidR="00942133" w:rsidRPr="00D07ADC" w:rsidRDefault="00942133" w:rsidP="001E5F63">
      <w:pPr>
        <w:pStyle w:val="Tekstprzypisudolnego"/>
        <w:spacing w:line="23" w:lineRule="atLeast"/>
        <w:ind w:firstLine="0"/>
        <w:contextualSpacing/>
        <w:rPr>
          <w:lang w:val="de-DE"/>
        </w:rPr>
      </w:pPr>
      <w:r w:rsidRPr="00D07ADC">
        <w:rPr>
          <w:rStyle w:val="Odwoanieprzypisudolnego"/>
          <w:rFonts w:ascii="Times New Roman" w:hAnsi="Times New Roman"/>
          <w:sz w:val="20"/>
        </w:rPr>
        <w:footnoteRef/>
      </w:r>
      <w:r w:rsidRPr="00D07ADC">
        <w:rPr>
          <w:bCs/>
          <w:color w:val="000000"/>
          <w:lang w:val="de-DE"/>
        </w:rPr>
        <w:t xml:space="preserve">Por. </w:t>
      </w:r>
      <w:r w:rsidRPr="00D07ADC">
        <w:rPr>
          <w:color w:val="000000"/>
          <w:lang w:val="de-DE"/>
        </w:rPr>
        <w:t xml:space="preserve">E. von Weizsäcker, </w:t>
      </w:r>
      <w:r w:rsidRPr="00D07ADC">
        <w:rPr>
          <w:i/>
          <w:color w:val="000000"/>
          <w:lang w:val="de-DE"/>
        </w:rPr>
        <w:t>Erinnerungen</w:t>
      </w:r>
      <w:r w:rsidRPr="00D07ADC">
        <w:rPr>
          <w:color w:val="000000"/>
          <w:lang w:val="de-DE"/>
        </w:rPr>
        <w:t>, München1950, s. 78.</w:t>
      </w:r>
    </w:p>
  </w:footnote>
  <w:footnote w:id="361">
    <w:p w:rsidR="00942133" w:rsidRPr="000F486B"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0F486B">
        <w:rPr>
          <w:color w:val="000000"/>
          <w:lang w:val="en-US"/>
        </w:rPr>
        <w:t>M.M. Lee, Failure in Geneva…, s. 12.</w:t>
      </w:r>
    </w:p>
  </w:footnote>
  <w:footnote w:id="362">
    <w:p w:rsidR="00942133" w:rsidRPr="00D07ADC" w:rsidRDefault="00942133" w:rsidP="001E5F63">
      <w:pPr>
        <w:shd w:val="clear" w:color="auto" w:fill="FFFFFF"/>
        <w:suppressAutoHyphens/>
        <w:spacing w:line="23" w:lineRule="atLeast"/>
        <w:ind w:firstLine="0"/>
        <w:contextualSpacing/>
        <w:rPr>
          <w:sz w:val="20"/>
          <w:szCs w:val="20"/>
          <w:lang w:val="de-DE"/>
        </w:rPr>
      </w:pPr>
      <w:r w:rsidRPr="00D07ADC">
        <w:rPr>
          <w:rStyle w:val="Odwoanieprzypisudolnego"/>
          <w:rFonts w:ascii="Times New Roman" w:hAnsi="Times New Roman"/>
          <w:sz w:val="20"/>
          <w:szCs w:val="20"/>
        </w:rPr>
        <w:footnoteRef/>
      </w:r>
      <w:r w:rsidRPr="00D07ADC">
        <w:rPr>
          <w:sz w:val="20"/>
          <w:szCs w:val="20"/>
        </w:rPr>
        <w:t xml:space="preserve"> Pewnym zrównoważeniem niechętnych, nierzadko wrogich wobec instytucji genewskiej informacji formułowanych przez duet Aschmann – Beer były raporty i opinie ambasadora niemieckiego w Bernie Adolfa Müllera. W dyplomacji Rzeszy zajmował on miejsce szczególne. Lekarz w wykształcenia, z powodzeniem parał się dziennikarstwem, prezentując poglądy zbliżone do socjaldemokratów. Zaliczany do żarliwych republikanów był zarazem jednym ze słuchanych doradców Stresemanna. W czerwcu 1933 r. zrezygnował ze służby w dyplomacji i pozostał za granicą, por. </w:t>
      </w:r>
      <w:r w:rsidRPr="00D07ADC">
        <w:rPr>
          <w:sz w:val="20"/>
          <w:szCs w:val="20"/>
          <w:lang w:val="de-DE"/>
        </w:rPr>
        <w:t>P. Seabury,</w:t>
      </w:r>
      <w:r w:rsidRPr="00D07ADC">
        <w:rPr>
          <w:i/>
          <w:sz w:val="20"/>
          <w:szCs w:val="20"/>
          <w:lang w:val="de-DE"/>
        </w:rPr>
        <w:t xml:space="preserve"> TheWilhelmstrasse</w:t>
      </w:r>
      <w:r w:rsidRPr="00D07ADC">
        <w:rPr>
          <w:sz w:val="20"/>
          <w:szCs w:val="20"/>
          <w:lang w:val="de-DE"/>
        </w:rPr>
        <w:t xml:space="preserve">, Berkeley 1954, s.18, sporo uwagi poświęcił mu J. Wintzer, </w:t>
      </w:r>
      <w:r w:rsidRPr="00D07ADC">
        <w:rPr>
          <w:i/>
          <w:iCs/>
          <w:sz w:val="20"/>
          <w:szCs w:val="20"/>
          <w:lang w:val="de-DE"/>
        </w:rPr>
        <w:t>Deutschland und der Völkerbund</w:t>
      </w:r>
      <w:r w:rsidRPr="00D07ADC">
        <w:rPr>
          <w:iCs/>
          <w:sz w:val="20"/>
          <w:szCs w:val="20"/>
          <w:lang w:val="de-DE"/>
        </w:rPr>
        <w:t>,</w:t>
      </w:r>
      <w:r w:rsidRPr="00D07ADC">
        <w:rPr>
          <w:sz w:val="20"/>
          <w:szCs w:val="20"/>
          <w:lang w:val="de-DE"/>
        </w:rPr>
        <w:t>s. 19 i n.</w:t>
      </w:r>
    </w:p>
  </w:footnote>
  <w:footnote w:id="363">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rPr>
          <w:color w:val="000000"/>
        </w:rPr>
        <w:t>Dymisja nie zamknęła działalności Maxa Beera w Genewie. Powrócił do działalności dziennikarskiej, przekazując od czasu do czasu na Wilhelmstrasse raporty, zwłaszcza dotyczące stosunku międzynarodowej opinii publicznej do niemieckiej polityki rozbrojeniowej. Na temat materialnej strony tej współpracy rozprawiano w Genewie nader chętnie. Mnożące się równocześnie ataki Beera, skierowane przede wszystkim przeciwko byłym współpracownikom z sekcji, ale także innym osobom z Sekretariatu, wywoływały określone reperkusje. Mimo zabiegów Dufour-Feronce’a podejmowanych w Berlinie, Beer pozostał w Genewie, choć w Sekretariacie widziano go coraz rzadziej i coraz bardziej niechętnie.</w:t>
      </w:r>
    </w:p>
  </w:footnote>
  <w:footnote w:id="364">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Przegląd Informacyjny Polska a Zagranica, nr 29, 5 sierpnia 1930 r., s. 926; materiał dostępny w WBC.</w:t>
      </w:r>
    </w:p>
  </w:footnote>
  <w:footnote w:id="365">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Taka pisownia występuje w oficjalnej dokumentacji Ligi; urodzony jakoGiacome Barone przyjął nazwisko żony Camilii Colboli Paulucci, ostatniej ze starożytnego rodu Colboli, przez co nie dopuszczono do wygaszenia nazwiska. W tej pracy skraca się do Paulucci di Colboli.</w:t>
      </w:r>
    </w:p>
  </w:footnote>
  <w:footnote w:id="366">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W tygodniku </w:t>
      </w:r>
      <w:r>
        <w:t>„</w:t>
      </w:r>
      <w:r w:rsidRPr="003C0842">
        <w:t>Echi e commenti” z</w:t>
      </w:r>
      <w:r w:rsidRPr="00D07ADC">
        <w:t xml:space="preserve"> 5 października 1928 r. napisano: „Zarzuca się naszym funkcjonariuszom w Genewie, że jawnie i codziennie przyznają się do tego, że są Włochami i faszystami; zarzut ten jest właściwie najwyższą pochwałą jaką można by ich kiedykolwiek obdarzyć”.</w:t>
      </w:r>
    </w:p>
  </w:footnote>
  <w:footnote w:id="367">
    <w:p w:rsidR="00942133" w:rsidRPr="00085E5E" w:rsidRDefault="00942133" w:rsidP="001E5F63">
      <w:pPr>
        <w:pStyle w:val="Tekstprzypisudolnego"/>
        <w:spacing w:line="23" w:lineRule="atLeast"/>
        <w:ind w:firstLine="0"/>
        <w:contextualSpacing/>
      </w:pPr>
      <w:r w:rsidRPr="00085E5E">
        <w:rPr>
          <w:rStyle w:val="Odwoanieprzypisudolnego"/>
          <w:sz w:val="20"/>
        </w:rPr>
        <w:footnoteRef/>
      </w:r>
      <w:r w:rsidRPr="00085E5E">
        <w:t xml:space="preserve"> DDI, serie VII, vol. 5, s.139 (Pismo z 8 kwietnia 1927 r.).</w:t>
      </w:r>
    </w:p>
  </w:footnote>
  <w:footnote w:id="368">
    <w:p w:rsidR="00942133" w:rsidRPr="00085E5E" w:rsidRDefault="00942133" w:rsidP="001E5F63">
      <w:pPr>
        <w:pStyle w:val="Tekstprzypisudolnego"/>
        <w:spacing w:line="23" w:lineRule="atLeast"/>
        <w:ind w:firstLine="0"/>
        <w:contextualSpacing/>
        <w:rPr>
          <w:lang w:val="it-IT"/>
        </w:rPr>
      </w:pPr>
      <w:r w:rsidRPr="00085E5E">
        <w:rPr>
          <w:rStyle w:val="Odwoanieprzypisudolnego"/>
          <w:sz w:val="20"/>
        </w:rPr>
        <w:footnoteRef/>
      </w:r>
      <w:r w:rsidRPr="00085E5E">
        <w:t xml:space="preserve">Z licznymi dokumentami przekazywanymi z Genewy przez podsekretarza generalnego Paulucciego di Colboli miałem do czynienia w Archivio Storico Diplomatico, Affari Politici. </w:t>
      </w:r>
      <w:r w:rsidRPr="00085E5E">
        <w:rPr>
          <w:lang w:val="it-IT"/>
        </w:rPr>
        <w:t xml:space="preserve">Lituania. Pacco 1417; por. G. Tassani, </w:t>
      </w:r>
      <w:r w:rsidRPr="00085E5E">
        <w:rPr>
          <w:i/>
          <w:lang w:val="it-IT"/>
        </w:rPr>
        <w:t>Diplomatico tra le due guerre. Vita di Giacomo Paulucci di Colboli Barone</w:t>
      </w:r>
      <w:r w:rsidRPr="00085E5E">
        <w:rPr>
          <w:lang w:val="it-IT"/>
        </w:rPr>
        <w:t>, Firenze 2012.</w:t>
      </w:r>
    </w:p>
  </w:footnote>
  <w:footnote w:id="369">
    <w:p w:rsidR="00942133" w:rsidRPr="000F486B" w:rsidRDefault="00942133" w:rsidP="001E5F63">
      <w:pPr>
        <w:pStyle w:val="Tekstprzypisudolnego"/>
        <w:spacing w:line="23" w:lineRule="atLeast"/>
        <w:ind w:firstLine="0"/>
        <w:contextualSpacing/>
        <w:rPr>
          <w:lang w:val="it-IT"/>
        </w:rPr>
      </w:pPr>
      <w:r w:rsidRPr="00D07ADC">
        <w:rPr>
          <w:rStyle w:val="Odwoanieprzypisudolnego"/>
          <w:rFonts w:ascii="Times New Roman" w:hAnsi="Times New Roman"/>
          <w:sz w:val="20"/>
        </w:rPr>
        <w:footnoteRef/>
      </w:r>
      <w:r w:rsidRPr="000F486B">
        <w:rPr>
          <w:lang w:val="it-IT"/>
        </w:rPr>
        <w:t xml:space="preserve"> R. Cecil, </w:t>
      </w:r>
      <w:r w:rsidRPr="000F486B">
        <w:rPr>
          <w:i/>
          <w:lang w:val="it-IT"/>
        </w:rPr>
        <w:t>A Great Experiment</w:t>
      </w:r>
      <w:r w:rsidRPr="000F486B">
        <w:rPr>
          <w:lang w:val="it-IT"/>
        </w:rPr>
        <w:t>, s. 179.</w:t>
      </w:r>
    </w:p>
  </w:footnote>
  <w:footnote w:id="370">
    <w:p w:rsidR="00942133" w:rsidRPr="00D07ADC"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D07ADC">
        <w:rPr>
          <w:lang w:val="en-US"/>
        </w:rPr>
        <w:t xml:space="preserve"> S. Pedersen, </w:t>
      </w:r>
      <w:r w:rsidRPr="00D07ADC">
        <w:rPr>
          <w:i/>
          <w:lang w:val="en-US"/>
        </w:rPr>
        <w:t>Back to League of Nations</w:t>
      </w:r>
      <w:r w:rsidRPr="00D07ADC">
        <w:rPr>
          <w:lang w:val="en-US"/>
        </w:rPr>
        <w:t>, s. 1110.</w:t>
      </w:r>
    </w:p>
  </w:footnote>
  <w:footnote w:id="371">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P. Wandycz, </w:t>
      </w:r>
      <w:r w:rsidRPr="00D07ADC">
        <w:rPr>
          <w:i/>
        </w:rPr>
        <w:t>Z Piłsudskim i Sikorskim. August Zaleski minister spraw zagranicznych w latach 1926-1932 i 1939-1941</w:t>
      </w:r>
      <w:r w:rsidRPr="00D07ADC">
        <w:t>, Warszawa 1999, s. 29.</w:t>
      </w:r>
    </w:p>
  </w:footnote>
  <w:footnote w:id="372">
    <w:p w:rsidR="00942133" w:rsidRPr="00D07ADC" w:rsidRDefault="00942133" w:rsidP="001E5F63">
      <w:pPr>
        <w:spacing w:line="23" w:lineRule="atLeast"/>
        <w:ind w:firstLine="0"/>
        <w:contextualSpacing/>
        <w:rPr>
          <w:sz w:val="20"/>
          <w:szCs w:val="20"/>
        </w:rPr>
      </w:pPr>
      <w:r w:rsidRPr="00D07ADC">
        <w:rPr>
          <w:rStyle w:val="Odwoanieprzypisudolnego"/>
          <w:rFonts w:ascii="Times New Roman" w:hAnsi="Times New Roman"/>
          <w:sz w:val="20"/>
          <w:szCs w:val="20"/>
        </w:rPr>
        <w:footnoteRef/>
      </w:r>
      <w:r w:rsidRPr="00D07ADC">
        <w:rPr>
          <w:sz w:val="20"/>
          <w:szCs w:val="20"/>
        </w:rPr>
        <w:t xml:space="preserve"> ASDN, Fonds Mantoux. P. 31. List z Ems 17 sierpnia 1922 r. Kontrowersje między Francją i Wielką Brytanią uwypukla </w:t>
      </w:r>
      <w:hyperlink r:id="rId4" w:tooltip="search for all books by Richard J. Shuster" w:history="1">
        <w:r w:rsidRPr="00D07ADC">
          <w:rPr>
            <w:rStyle w:val="Hipercze"/>
            <w:bCs/>
            <w:color w:val="auto"/>
            <w:sz w:val="20"/>
            <w:szCs w:val="20"/>
            <w:u w:val="none"/>
          </w:rPr>
          <w:t>Richard J. Shuster</w:t>
        </w:r>
      </w:hyperlink>
      <w:r w:rsidRPr="00D07ADC">
        <w:rPr>
          <w:sz w:val="20"/>
          <w:szCs w:val="20"/>
        </w:rPr>
        <w:t xml:space="preserve"> (</w:t>
      </w:r>
      <w:r w:rsidRPr="00D07ADC">
        <w:rPr>
          <w:i/>
          <w:sz w:val="20"/>
          <w:szCs w:val="20"/>
        </w:rPr>
        <w:t>German Disarmament After World War I. The Diplomacy of International Arms Inspection 1920-1931</w:t>
      </w:r>
      <w:r w:rsidRPr="00D07ADC">
        <w:rPr>
          <w:sz w:val="20"/>
          <w:szCs w:val="20"/>
        </w:rPr>
        <w:t>, Routledge 2006), czyniąc je głównym powodem postępującej nieskuteczności kontroli w Niemczech.</w:t>
      </w:r>
    </w:p>
  </w:footnote>
  <w:footnote w:id="373">
    <w:p w:rsidR="00942133" w:rsidRPr="00D07ADC" w:rsidRDefault="00942133" w:rsidP="001E5F63">
      <w:pPr>
        <w:spacing w:line="23" w:lineRule="atLeast"/>
        <w:ind w:firstLine="0"/>
        <w:contextualSpacing/>
        <w:rPr>
          <w:sz w:val="20"/>
          <w:szCs w:val="20"/>
          <w:lang w:val="de-DE"/>
        </w:rPr>
      </w:pPr>
      <w:r w:rsidRPr="00D07ADC">
        <w:rPr>
          <w:rStyle w:val="Odwoanieprzypisudolnego"/>
          <w:rFonts w:ascii="Times New Roman" w:hAnsi="Times New Roman"/>
          <w:sz w:val="20"/>
          <w:szCs w:val="20"/>
        </w:rPr>
        <w:footnoteRef/>
      </w:r>
      <w:r w:rsidRPr="00D07ADC">
        <w:rPr>
          <w:sz w:val="20"/>
          <w:szCs w:val="20"/>
          <w:lang w:val="de-DE"/>
        </w:rPr>
        <w:t xml:space="preserve"> Obszernie J. Wintzer, </w:t>
      </w:r>
      <w:r w:rsidRPr="00D07ADC">
        <w:rPr>
          <w:i/>
          <w:iCs/>
          <w:sz w:val="20"/>
          <w:szCs w:val="20"/>
          <w:lang w:val="de-DE"/>
        </w:rPr>
        <w:t xml:space="preserve">Deutschland und der Völkerbund, </w:t>
      </w:r>
      <w:r w:rsidRPr="00D07ADC">
        <w:rPr>
          <w:iCs/>
          <w:sz w:val="20"/>
          <w:szCs w:val="20"/>
          <w:lang w:val="de-DE"/>
        </w:rPr>
        <w:t xml:space="preserve">s. 210 i n., </w:t>
      </w:r>
      <w:r w:rsidRPr="00D07ADC">
        <w:rPr>
          <w:sz w:val="20"/>
          <w:szCs w:val="20"/>
          <w:lang w:val="de-DE"/>
        </w:rPr>
        <w:t xml:space="preserve">J. Wright, </w:t>
      </w:r>
      <w:r w:rsidRPr="00D07ADC">
        <w:rPr>
          <w:i/>
          <w:sz w:val="20"/>
          <w:szCs w:val="20"/>
          <w:lang w:val="de-DE"/>
        </w:rPr>
        <w:t>Gustav Stresemann: Weimar’s Greatest Statesman</w:t>
      </w:r>
      <w:r w:rsidRPr="00D07ADC">
        <w:rPr>
          <w:sz w:val="20"/>
          <w:szCs w:val="20"/>
          <w:lang w:val="de-DE"/>
        </w:rPr>
        <w:t xml:space="preserve">, s. 251 i n. </w:t>
      </w:r>
    </w:p>
  </w:footnote>
  <w:footnote w:id="374">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rPr>
          <w:i/>
          <w:lang w:val="fr-FR"/>
        </w:rPr>
        <w:t xml:space="preserve">Annuaire de la Société des Nations. </w:t>
      </w:r>
      <w:r w:rsidRPr="00D07ADC">
        <w:rPr>
          <w:i/>
        </w:rPr>
        <w:t>Première année,</w:t>
      </w:r>
      <w:r w:rsidRPr="00D07ADC">
        <w:t>s. 307.</w:t>
      </w:r>
    </w:p>
  </w:footnote>
  <w:footnote w:id="375">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Czechosłowacja, równie silnie zainteresowana sprawą była wówczas członkiem Rady, a Edward Benesz nawet przewodniczył 29 sesji (11</w:t>
      </w:r>
      <w:r>
        <w:t>-</w:t>
      </w:r>
      <w:r w:rsidRPr="00D07ADC">
        <w:t>17 czerwca 1924 r.)</w:t>
      </w:r>
    </w:p>
  </w:footnote>
  <w:footnote w:id="376">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J.O., P.V.C., XXIX, s. 920 i n.</w:t>
      </w:r>
    </w:p>
  </w:footnote>
  <w:footnote w:id="377">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Przykładem utylitarnych interpretacji może być argumentacja Polski, która sugerowała, aby w pracach Rady (i dalej w pracach Stałej Komisji Doradczej, za pomocą której Rada miała wypełniać swą funkcję kontrolną) uczestniczyły państwa odpowiadające trzem warunkom: 1) bezpośrednie sąsiedztwo; 2) zagrożenie ze strony państwa kontrolowanego; 3) podpisanie traktatu z państwem kontrolowanym. Wyszło na to, że tylko Polska spełniała te kryteria, ponieważ Czechosłowacja i Belgia były członkami Rady, a Szwajcaria, Holandia i Dania nie były sygnatariuszami wszystkich traktatów – AAN, Delegacja RP przy LN, sygn. 210, k. 9-10 (Notatka b. daty, lecz z lipca 1924 r.).</w:t>
      </w:r>
    </w:p>
  </w:footnote>
  <w:footnote w:id="378">
    <w:p w:rsidR="00942133" w:rsidRPr="00D07ADC"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D07ADC">
        <w:t xml:space="preserve"> AAN, Delegacja RP przy LN, sygn. </w:t>
      </w:r>
      <w:r w:rsidRPr="00D07ADC">
        <w:rPr>
          <w:lang w:val="en-US"/>
        </w:rPr>
        <w:t>210, k. 46-</w:t>
      </w:r>
      <w:smartTag w:uri="urn:schemas-microsoft-com:office:smarttags" w:element="metricconverter">
        <w:smartTagPr>
          <w:attr w:name="ProductID" w:val="48, M"/>
        </w:smartTagPr>
        <w:r w:rsidRPr="00D07ADC">
          <w:rPr>
            <w:lang w:val="en-US"/>
          </w:rPr>
          <w:t>48, M</w:t>
        </w:r>
      </w:smartTag>
      <w:r w:rsidRPr="00D07ADC">
        <w:rPr>
          <w:lang w:val="en-US"/>
        </w:rPr>
        <w:t xml:space="preserve">. Arciszewski do MSZ, Genewa 31 lipca 1924 r.; szczegółowo omawia </w:t>
      </w:r>
      <w:hyperlink r:id="rId5" w:tooltip="search for all books by Richard J. Shuster" w:history="1">
        <w:r w:rsidRPr="00D07ADC">
          <w:rPr>
            <w:rStyle w:val="Hipercze"/>
            <w:bCs/>
            <w:color w:val="auto"/>
            <w:u w:val="none"/>
            <w:lang w:val="en-US"/>
          </w:rPr>
          <w:t>R.J. Shuster</w:t>
        </w:r>
      </w:hyperlink>
      <w:r w:rsidRPr="00D07ADC">
        <w:rPr>
          <w:lang w:val="en-US"/>
        </w:rPr>
        <w:t xml:space="preserve">, </w:t>
      </w:r>
      <w:r w:rsidRPr="00D07ADC">
        <w:rPr>
          <w:bCs/>
          <w:lang w:val="en-US"/>
        </w:rPr>
        <w:t>German Disarmament After World War I. The Diplomacy of International Arms Inspection 1920-1931,</w:t>
      </w:r>
      <w:r w:rsidRPr="00D07ADC">
        <w:rPr>
          <w:lang w:val="en-US"/>
        </w:rPr>
        <w:t xml:space="preserve"> Routledge 2006.</w:t>
      </w:r>
    </w:p>
  </w:footnote>
  <w:footnote w:id="379">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AAN, Delegacja RP przy LN, sygn. 213, k. 4-5. Raport z Londynu do Oddziału II Sztabu Generalnego w Warszawie, lipiec 1926 r.</w:t>
      </w:r>
    </w:p>
  </w:footnote>
  <w:footnote w:id="380">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J. Kiwerska, </w:t>
      </w:r>
      <w:r w:rsidRPr="00D07ADC">
        <w:rPr>
          <w:i/>
        </w:rPr>
        <w:t>Między izolacjonizmem a zaangażowaniem</w:t>
      </w:r>
      <w:r w:rsidRPr="00D07ADC">
        <w:t>, s. 183 i n.</w:t>
      </w:r>
    </w:p>
  </w:footnote>
  <w:footnote w:id="381">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AAN, Delegacja RP przy LN, sygn. 211, k. 196 i n. Raport z Budapesztu Zygmunta Michałowskiego do Ministra Spraw Zagranicznych z marca 1925 r.</w:t>
      </w:r>
    </w:p>
  </w:footnote>
  <w:footnote w:id="382">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J. Bornus, </w:t>
      </w:r>
      <w:r w:rsidRPr="00D07ADC">
        <w:rPr>
          <w:i/>
        </w:rPr>
        <w:t>Faszyzm na Węgrzech</w:t>
      </w:r>
      <w:r w:rsidRPr="00AB5088">
        <w:t>, Studia nad Faszyzmem i Zbrodniami Hitlerowskimi</w:t>
      </w:r>
      <w:r w:rsidRPr="00D07ADC">
        <w:t xml:space="preserve">, t. III, Wrocław 1977, s. 179-180; zob. dobre źródłowe studium J. Balázsa, </w:t>
      </w:r>
      <w:r w:rsidRPr="00D07ADC">
        <w:rPr>
          <w:i/>
        </w:rPr>
        <w:t>The Inter-Allied Military Commission of Control and the Military Control of Hungary between 1921-1927</w:t>
      </w:r>
      <w:r w:rsidRPr="00D07ADC">
        <w:t xml:space="preserve">, Budapest 2012, http://uni-nke.hu/downloads/kutatas /folyoiratok/hadtudomanyi_szemle/szamok/2012/2012_1/2012_1_hm_juhasz_balazs_47_72.pdf </w:t>
      </w:r>
      <w:r w:rsidRPr="00D07ADC">
        <w:rPr>
          <w:highlight w:val="cyan"/>
        </w:rPr>
        <w:t>[dostęp: ???]</w:t>
      </w:r>
      <w:r w:rsidRPr="00D07ADC">
        <w:t>.</w:t>
      </w:r>
    </w:p>
  </w:footnote>
  <w:footnote w:id="383">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J. Paszkiewicz, </w:t>
      </w:r>
      <w:r w:rsidRPr="00D07ADC">
        <w:rPr>
          <w:i/>
        </w:rPr>
        <w:t>Grecja a bezpieczeństwo międzynarodowe na Bałkanach 1923-1936</w:t>
      </w:r>
      <w:r w:rsidRPr="00D07ADC">
        <w:t xml:space="preserve">, Poznań 2012, s. 142 i n.; J. Barros, </w:t>
      </w:r>
      <w:r w:rsidRPr="00D07ADC">
        <w:rPr>
          <w:i/>
        </w:rPr>
        <w:t>The League of Nations and the Great Powers. The Greek-Bulgarian Incident, 1925,</w:t>
      </w:r>
      <w:r w:rsidRPr="00D07ADC">
        <w:t xml:space="preserve"> Oxford 1970, S. Sierpowski, </w:t>
      </w:r>
      <w:r w:rsidRPr="00D07ADC">
        <w:rPr>
          <w:i/>
        </w:rPr>
        <w:t>Międzynarodowe znaczenie konfliktu grecko</w:t>
      </w:r>
      <w:r w:rsidRPr="00D07ADC">
        <w:rPr>
          <w:i/>
        </w:rPr>
        <w:noBreakHyphen/>
        <w:t>bułgarskiego w 1925 r.</w:t>
      </w:r>
      <w:r w:rsidRPr="00D07ADC">
        <w:t xml:space="preserve"> [w:] </w:t>
      </w:r>
      <w:r w:rsidRPr="00D07ADC">
        <w:rPr>
          <w:i/>
        </w:rPr>
        <w:t>1300-lecie państwa bułgarskiego</w:t>
      </w:r>
      <w:r w:rsidRPr="00D07ADC">
        <w:t>, Poznań 1983, s. 47i n.</w:t>
      </w:r>
    </w:p>
  </w:footnote>
  <w:footnote w:id="384">
    <w:p w:rsidR="00942133" w:rsidRPr="00D07ADC" w:rsidRDefault="00942133" w:rsidP="001E5F63">
      <w:pPr>
        <w:pStyle w:val="Tekstprzypisudolnego"/>
        <w:spacing w:line="23" w:lineRule="atLeast"/>
        <w:ind w:firstLine="0"/>
        <w:contextualSpacing/>
        <w:rPr>
          <w:lang w:val="de-AT"/>
        </w:rPr>
      </w:pPr>
      <w:r w:rsidRPr="00D07ADC">
        <w:rPr>
          <w:rStyle w:val="Odwoanieprzypisudolnego"/>
          <w:rFonts w:ascii="Times New Roman" w:hAnsi="Times New Roman"/>
          <w:sz w:val="20"/>
        </w:rPr>
        <w:footnoteRef/>
      </w:r>
      <w:r w:rsidRPr="00D07ADC">
        <w:rPr>
          <w:lang w:val="de-AT"/>
        </w:rPr>
        <w:t xml:space="preserve"> J. Spenz, </w:t>
      </w:r>
      <w:r w:rsidRPr="00D07ADC">
        <w:rPr>
          <w:i/>
          <w:lang w:val="de-AT"/>
        </w:rPr>
        <w:t>Die Diplomatische Vorgeschichte</w:t>
      </w:r>
      <w:r w:rsidRPr="00D07ADC">
        <w:rPr>
          <w:lang w:val="de-AT"/>
        </w:rPr>
        <w:t>, s. 106 i n.</w:t>
      </w:r>
    </w:p>
  </w:footnote>
  <w:footnote w:id="385">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Zmiany te, jako zgodne z art. 213 traktatu wersalskiego potwierdziła Rada 5 października 1926 r.</w:t>
      </w:r>
    </w:p>
  </w:footnote>
  <w:footnote w:id="386">
    <w:p w:rsidR="00942133" w:rsidRPr="00D07ADC" w:rsidRDefault="00942133" w:rsidP="001E5F63">
      <w:pPr>
        <w:pStyle w:val="Tekstprzypisudolnego"/>
        <w:spacing w:line="23" w:lineRule="atLeast"/>
        <w:ind w:firstLine="0"/>
        <w:contextualSpacing/>
        <w:rPr>
          <w:lang w:val="fr-FR"/>
        </w:rPr>
      </w:pPr>
      <w:r w:rsidRPr="00D07ADC">
        <w:rPr>
          <w:rStyle w:val="Odwoanieprzypisudolnego"/>
          <w:rFonts w:ascii="Times New Roman" w:hAnsi="Times New Roman"/>
          <w:sz w:val="20"/>
        </w:rPr>
        <w:footnoteRef/>
      </w:r>
      <w:r w:rsidRPr="00D07ADC">
        <w:t xml:space="preserve"> W Niemczech płk Baratier z Francji, w Austrii gen. Giovanni Marietti z Włoch, na Węgrzech gen. </w:t>
      </w:r>
      <w:r w:rsidRPr="00D07ADC">
        <w:rPr>
          <w:lang w:val="fr-FR"/>
        </w:rPr>
        <w:t xml:space="preserve">C. Bonham Carter, w Bułgarii płk W.S.C. Schuurman z Holandii – </w:t>
      </w:r>
      <w:r w:rsidRPr="00D07ADC">
        <w:rPr>
          <w:i/>
          <w:lang w:val="fr-FR"/>
        </w:rPr>
        <w:t>Annuaire de la Société des Nations. Première année</w:t>
      </w:r>
      <w:r w:rsidRPr="00D07ADC">
        <w:rPr>
          <w:lang w:val="fr-FR"/>
        </w:rPr>
        <w:t>, s. 185.</w:t>
      </w:r>
    </w:p>
  </w:footnote>
  <w:footnote w:id="387">
    <w:p w:rsidR="00942133" w:rsidRPr="00D07ADC" w:rsidRDefault="00942133" w:rsidP="001E5F63">
      <w:pPr>
        <w:pStyle w:val="Tekstprzypisudolnego"/>
        <w:spacing w:line="23" w:lineRule="atLeast"/>
        <w:ind w:firstLine="0"/>
        <w:contextualSpacing/>
        <w:rPr>
          <w:lang w:val="fr-FR"/>
        </w:rPr>
      </w:pPr>
      <w:r w:rsidRPr="00D07ADC">
        <w:rPr>
          <w:rStyle w:val="Odwoanieprzypisudolnego"/>
          <w:rFonts w:ascii="Times New Roman" w:hAnsi="Times New Roman"/>
          <w:sz w:val="20"/>
        </w:rPr>
        <w:footnoteRef/>
      </w:r>
      <w:r w:rsidRPr="00D07ADC">
        <w:rPr>
          <w:lang w:val="fr-FR"/>
        </w:rPr>
        <w:t>J.O., PVC, XL, s. 162.</w:t>
      </w:r>
    </w:p>
  </w:footnote>
  <w:footnote w:id="388">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rPr>
          <w:lang w:val="fr-FR"/>
        </w:rPr>
        <w:t xml:space="preserve">AAN, AB, sygn. </w:t>
      </w:r>
      <w:r w:rsidRPr="00D07ADC">
        <w:t>1338, k. 25-26 (Raport do pana ministra sprawa zagranicznych, ściśle tajny, 9 września 1926 r.).</w:t>
      </w:r>
    </w:p>
  </w:footnote>
  <w:footnote w:id="389">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Wyczulenie na tym tle szło daleko, skoro 9 stycznia 1925 r. Konferencja Ambasadorów, która trzy dni wcześniej przekazała kontrolę w dziedzinie rozbrojenia morskiego Radzie Ligi, powiadomiła Sekretarza Generalnego o ofercie zakładów Kruppa skierowanej do Argentyny w sprawie dostarczenia kotłów do kontrtorpedowców. Jeśli oferta ta zostałaby zrealizowana na terenie Niemiec, to byłoby sprzeczne z art. 126, 170 i 192 traktatu wersalskiego, por. AAN, Delegacja RP, sygn. 211, k. 55/56 (T. Gwiazdoski do MSZ, Genewa 20 stycznia 1925 r.).</w:t>
      </w:r>
    </w:p>
  </w:footnote>
  <w:footnote w:id="390">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Z. Steiner, </w:t>
      </w:r>
      <w:r w:rsidRPr="00D07ADC">
        <w:rPr>
          <w:i/>
        </w:rPr>
        <w:t>The Lights that Failed</w:t>
      </w:r>
      <w:r w:rsidRPr="00D07ADC">
        <w:t xml:space="preserve">s, 427; w podobnym duchu, dość obszernie J. Krasuski, </w:t>
      </w:r>
      <w:r w:rsidRPr="00D07ADC">
        <w:rPr>
          <w:i/>
        </w:rPr>
        <w:t>Stosunki</w:t>
      </w:r>
      <w:r w:rsidRPr="00D07ADC">
        <w:t>, s. 251 i n.</w:t>
      </w:r>
    </w:p>
  </w:footnote>
  <w:footnote w:id="391">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G. Juhasz, </w:t>
      </w:r>
      <w:r w:rsidRPr="00D07ADC">
        <w:rPr>
          <w:i/>
        </w:rPr>
        <w:t>Hungarian</w:t>
      </w:r>
      <w:r w:rsidRPr="00D07ADC">
        <w:t xml:space="preserve">, s. 80. </w:t>
      </w:r>
    </w:p>
  </w:footnote>
  <w:footnote w:id="392">
    <w:p w:rsidR="00942133" w:rsidRPr="00085E5E" w:rsidRDefault="00942133" w:rsidP="001E5F63">
      <w:pPr>
        <w:pStyle w:val="Tekstprzypisudolnego"/>
        <w:spacing w:line="23" w:lineRule="atLeast"/>
        <w:ind w:firstLine="0"/>
        <w:contextualSpacing/>
        <w:rPr>
          <w:lang w:val="it-IT"/>
        </w:rPr>
      </w:pPr>
      <w:r w:rsidRPr="00085E5E">
        <w:rPr>
          <w:rStyle w:val="Odwoanieprzypisudolnego"/>
          <w:sz w:val="20"/>
        </w:rPr>
        <w:footnoteRef/>
      </w:r>
      <w:r w:rsidRPr="00085E5E">
        <w:t xml:space="preserve"> Telegram Paulucciego do Mussoliniego jako ministra spraw zagranicznych zawierał informację: „absolutne pierwszeństwo, szczególnie pilne, zastrzeżone”, zob. </w:t>
      </w:r>
      <w:r w:rsidRPr="00085E5E">
        <w:rPr>
          <w:lang w:val="it-IT"/>
        </w:rPr>
        <w:t xml:space="preserve">E. Costa Bona, </w:t>
      </w:r>
      <w:r w:rsidRPr="00085E5E">
        <w:rPr>
          <w:i/>
          <w:lang w:val="it-IT"/>
        </w:rPr>
        <w:t xml:space="preserve">L’Italia e la Società delle Nazioni. </w:t>
      </w:r>
      <w:r w:rsidRPr="00085E5E">
        <w:rPr>
          <w:lang w:val="it-IT"/>
        </w:rPr>
        <w:t>Prefazione di LucianoTosi, Padova 2004,s.65.</w:t>
      </w:r>
    </w:p>
  </w:footnote>
  <w:footnote w:id="393">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AAN, Delegacja RP, s. 216, k. 26, (F. Sokal do MSZ, Genewa 17 marca 1928 r.).</w:t>
      </w:r>
    </w:p>
  </w:footnote>
  <w:footnote w:id="394">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E. Di Nolfo (</w:t>
      </w:r>
      <w:r w:rsidRPr="00D07ADC">
        <w:rPr>
          <w:i/>
        </w:rPr>
        <w:t>Mussolini e la politica estera</w:t>
      </w:r>
      <w:r w:rsidRPr="00D07ADC">
        <w:t>, s. 205 i n.), pisząc kilka stron o relacjach włosko-węgierskich o przemycie przez Przełęcz św. Gotarda nie wspomina.</w:t>
      </w:r>
    </w:p>
  </w:footnote>
  <w:footnote w:id="395">
    <w:p w:rsidR="00942133" w:rsidRPr="00D07ADC"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D07ADC">
        <w:t xml:space="preserve"> Dyskusja na sekretnym posiedzeniu Rady 6 i 7 czerwca 1928 r. była ożywiona, a 20-stronnicowy protokół zasługiwałby na osobną uwagę, zob. </w:t>
      </w:r>
      <w:r w:rsidRPr="00D07ADC">
        <w:rPr>
          <w:lang w:val="en-US"/>
        </w:rPr>
        <w:t xml:space="preserve">ASDN, 14/9887/2385, R. 6228. Secret Meeting 6-7.6.1928; F. Walters, </w:t>
      </w:r>
      <w:r w:rsidRPr="00D07ADC">
        <w:rPr>
          <w:i/>
          <w:lang w:val="en-US"/>
        </w:rPr>
        <w:t>A History</w:t>
      </w:r>
      <w:r w:rsidRPr="00D07ADC">
        <w:rPr>
          <w:lang w:val="en-US"/>
        </w:rPr>
        <w:t>,s. 400 i n.</w:t>
      </w:r>
    </w:p>
  </w:footnote>
  <w:footnote w:id="396">
    <w:p w:rsidR="00942133" w:rsidRPr="00D07ADC"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D07ADC">
        <w:rPr>
          <w:lang w:val="en-US"/>
        </w:rPr>
        <w:t xml:space="preserve">Więcej o nich zob. S. Sierpowski, </w:t>
      </w:r>
      <w:r w:rsidRPr="00D07ADC">
        <w:rPr>
          <w:i/>
          <w:lang w:val="en-US"/>
        </w:rPr>
        <w:t>Liga Narodów w latach 1919</w:t>
      </w:r>
      <w:r>
        <w:rPr>
          <w:i/>
          <w:lang w:val="en-US"/>
        </w:rPr>
        <w:t>-</w:t>
      </w:r>
      <w:r w:rsidRPr="00D07ADC">
        <w:rPr>
          <w:i/>
          <w:lang w:val="en-US"/>
        </w:rPr>
        <w:t>1926</w:t>
      </w:r>
      <w:r w:rsidRPr="00D07ADC">
        <w:rPr>
          <w:lang w:val="en-US"/>
        </w:rPr>
        <w:t xml:space="preserve">, s. 250 i n.; także A. Webster, </w:t>
      </w:r>
      <w:r w:rsidRPr="00D07ADC">
        <w:rPr>
          <w:i/>
          <w:lang w:val="en-US"/>
        </w:rPr>
        <w:t>The Transnational Dream: Politicians, Diplomats and Soliders in the League of Nations’ Pursuit of International Disarmament, 1920</w:t>
      </w:r>
      <w:r>
        <w:rPr>
          <w:i/>
          <w:lang w:val="en-US"/>
        </w:rPr>
        <w:t>-</w:t>
      </w:r>
      <w:r w:rsidRPr="00D07ADC">
        <w:rPr>
          <w:i/>
          <w:lang w:val="en-US"/>
        </w:rPr>
        <w:t>1938</w:t>
      </w:r>
      <w:r w:rsidRPr="00D07ADC">
        <w:rPr>
          <w:lang w:val="en-US"/>
        </w:rPr>
        <w:t>, [w:] Contemporary European History 14 (2005), 4, s. 493 i n.</w:t>
      </w:r>
    </w:p>
  </w:footnote>
  <w:footnote w:id="397">
    <w:p w:rsidR="00942133" w:rsidRPr="00D07ADC"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D07ADC">
        <w:rPr>
          <w:lang w:val="en-US"/>
        </w:rPr>
        <w:t xml:space="preserve">Szerszy kontekst zob. P. Towle, </w:t>
      </w:r>
      <w:r w:rsidRPr="00D07ADC">
        <w:rPr>
          <w:i/>
          <w:lang w:val="en-US"/>
        </w:rPr>
        <w:t>Forced Disarmament in the 1920s and After</w:t>
      </w:r>
      <w:r w:rsidRPr="00D07ADC">
        <w:rPr>
          <w:lang w:val="en-US"/>
        </w:rPr>
        <w:t>, Journal of Strategic Studies 29 (2006), 2, s. 323-344.</w:t>
      </w:r>
    </w:p>
  </w:footnote>
  <w:footnote w:id="398">
    <w:p w:rsidR="00942133" w:rsidRPr="00D07ADC" w:rsidRDefault="00942133" w:rsidP="001E5F63">
      <w:pPr>
        <w:pStyle w:val="Tekstprzypisudolnego"/>
        <w:spacing w:line="23" w:lineRule="atLeast"/>
        <w:ind w:firstLine="0"/>
        <w:contextualSpacing/>
        <w:rPr>
          <w:lang w:val="fr-FR"/>
        </w:rPr>
      </w:pPr>
      <w:r w:rsidRPr="00D07ADC">
        <w:rPr>
          <w:rStyle w:val="Odwoanieprzypisudolnego"/>
          <w:rFonts w:ascii="Times New Roman" w:hAnsi="Times New Roman"/>
          <w:sz w:val="20"/>
        </w:rPr>
        <w:footnoteRef/>
      </w:r>
      <w:r w:rsidRPr="00D07ADC">
        <w:rPr>
          <w:lang w:val="fr-FR"/>
        </w:rPr>
        <w:t>ASDN, Fonds Mantoux, p. 31 (Luchaire do Mantoux, La Chartreuse 9.10.1924 r.), zob. też J. Luchaire, Le désarmement moral, Paris 1932.</w:t>
      </w:r>
    </w:p>
  </w:footnote>
  <w:footnote w:id="399">
    <w:p w:rsidR="00942133" w:rsidRPr="00D07ADC"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D07ADC">
        <w:rPr>
          <w:lang w:val="en-US"/>
        </w:rPr>
        <w:t xml:space="preserve">Woodrow Wilson, </w:t>
      </w:r>
      <w:r w:rsidRPr="00D07ADC">
        <w:rPr>
          <w:i/>
          <w:lang w:val="en-US"/>
        </w:rPr>
        <w:t>Kształtowanie</w:t>
      </w:r>
      <w:r w:rsidRPr="00D07ADC">
        <w:rPr>
          <w:lang w:val="en-US"/>
        </w:rPr>
        <w:t xml:space="preserve">, t. I, s. 321; T.J. Knock, </w:t>
      </w:r>
      <w:r w:rsidRPr="00D07ADC">
        <w:rPr>
          <w:i/>
          <w:lang w:val="en-US"/>
        </w:rPr>
        <w:t>To end all wars: Woodrow Wilson and the quest for a new world order</w:t>
      </w:r>
      <w:r w:rsidRPr="00D07ADC">
        <w:rPr>
          <w:lang w:val="en-US"/>
        </w:rPr>
        <w:t>, Princeton University Press 1995.</w:t>
      </w:r>
    </w:p>
  </w:footnote>
  <w:footnote w:id="400">
    <w:p w:rsidR="00942133" w:rsidRPr="00D07ADC" w:rsidRDefault="00942133" w:rsidP="001E5F63">
      <w:pPr>
        <w:pStyle w:val="Tekstprzypisudolnego"/>
        <w:spacing w:line="23" w:lineRule="atLeast"/>
        <w:ind w:firstLine="0"/>
        <w:contextualSpacing/>
        <w:rPr>
          <w:lang w:val="fr-FR"/>
        </w:rPr>
      </w:pPr>
      <w:r w:rsidRPr="00D07ADC">
        <w:rPr>
          <w:rStyle w:val="Odwoanieprzypisudolnego"/>
          <w:rFonts w:ascii="Times New Roman" w:hAnsi="Times New Roman"/>
          <w:sz w:val="20"/>
        </w:rPr>
        <w:footnoteRef/>
      </w:r>
      <w:r w:rsidRPr="00D07ADC">
        <w:rPr>
          <w:lang w:val="fr-FR"/>
        </w:rPr>
        <w:t xml:space="preserve">A. Tardieu, </w:t>
      </w:r>
      <w:r w:rsidRPr="00D07ADC">
        <w:rPr>
          <w:i/>
          <w:lang w:val="fr-FR"/>
        </w:rPr>
        <w:t>La Paix,</w:t>
      </w:r>
      <w:r w:rsidRPr="00D07ADC">
        <w:rPr>
          <w:lang w:val="fr-FR"/>
        </w:rPr>
        <w:t xml:space="preserve"> Paris 1921, s. 145.</w:t>
      </w:r>
    </w:p>
  </w:footnote>
  <w:footnote w:id="401">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Bohdan Winiarski (</w:t>
      </w:r>
      <w:r w:rsidRPr="00D07ADC">
        <w:rPr>
          <w:i/>
        </w:rPr>
        <w:t>Bezpieczeństwo, arbitraż, rozbrojenie</w:t>
      </w:r>
      <w:r w:rsidRPr="00D07ADC">
        <w:t>, s. 231) w 1928 r. pisał, że we wstępie do części V „nie ma żadnego zobowiązania, jeno stwierdzenie, że o ile Niemcy będą przestrzegały postanowień wojskowych traktatu, umożliwi</w:t>
      </w:r>
      <w:r w:rsidRPr="00D07ADC">
        <w:rPr>
          <w:spacing w:val="20"/>
        </w:rPr>
        <w:t>ą przygotowanie</w:t>
      </w:r>
      <w:r w:rsidRPr="00D07ADC">
        <w:t xml:space="preserve"> ogólnego ograniczenia zbrojeń”.</w:t>
      </w:r>
      <w:r>
        <w:t>[czyje podkr.</w:t>
      </w:r>
      <w:r w:rsidRPr="000F726C">
        <w:rPr>
          <w:b/>
        </w:rPr>
        <w:t>???</w:t>
      </w:r>
      <w:r>
        <w:t>]</w:t>
      </w:r>
    </w:p>
  </w:footnote>
  <w:footnote w:id="402">
    <w:p w:rsidR="00942133" w:rsidRPr="00D07ADC" w:rsidRDefault="00942133" w:rsidP="001E5F63">
      <w:pPr>
        <w:pStyle w:val="Tekstprzypisudolnego"/>
        <w:spacing w:line="23" w:lineRule="atLeast"/>
        <w:ind w:firstLine="0"/>
        <w:contextualSpacing/>
        <w:rPr>
          <w:lang w:val="fr-FR"/>
        </w:rPr>
      </w:pPr>
      <w:r w:rsidRPr="00D07ADC">
        <w:rPr>
          <w:rStyle w:val="Odwoanieprzypisudolnego"/>
          <w:rFonts w:ascii="Times New Roman" w:hAnsi="Times New Roman"/>
          <w:sz w:val="20"/>
        </w:rPr>
        <w:footnoteRef/>
      </w:r>
      <w:r w:rsidRPr="00D07ADC">
        <w:rPr>
          <w:lang w:val="fr-FR"/>
        </w:rPr>
        <w:t>Commission Préparatoirede la Conférence du Désarmement (CPCD).</w:t>
      </w:r>
    </w:p>
  </w:footnote>
  <w:footnote w:id="403">
    <w:p w:rsidR="00942133" w:rsidRPr="00D07ADC" w:rsidRDefault="00942133" w:rsidP="001E5F63">
      <w:pPr>
        <w:pStyle w:val="Tekstprzypisudolnego"/>
        <w:spacing w:line="23" w:lineRule="atLeast"/>
        <w:ind w:firstLine="0"/>
        <w:contextualSpacing/>
        <w:rPr>
          <w:lang w:val="fr-FR"/>
        </w:rPr>
      </w:pPr>
      <w:r w:rsidRPr="00D07ADC">
        <w:rPr>
          <w:rStyle w:val="Odwoanieprzypisudolnego"/>
          <w:rFonts w:ascii="Times New Roman" w:hAnsi="Times New Roman"/>
          <w:sz w:val="20"/>
        </w:rPr>
        <w:footnoteRef/>
      </w:r>
      <w:r w:rsidRPr="00D07ADC">
        <w:rPr>
          <w:lang w:val="fr-FR"/>
        </w:rPr>
        <w:t>J.O., Sup. spéc., 1925, nr 32, s. 19.</w:t>
      </w:r>
    </w:p>
  </w:footnote>
  <w:footnote w:id="404">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A.M. Brzeziński, </w:t>
      </w:r>
      <w:r w:rsidRPr="00D07ADC">
        <w:rPr>
          <w:i/>
        </w:rPr>
        <w:t>Dyplomacja francuska</w:t>
      </w:r>
      <w:r w:rsidRPr="00D07ADC">
        <w:t>, s. 51.</w:t>
      </w:r>
    </w:p>
  </w:footnote>
  <w:footnote w:id="405">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Rok 1925 charakteryzował się dużą liczbą </w:t>
      </w:r>
      <w:r w:rsidRPr="000F726C">
        <w:rPr>
          <w:i/>
        </w:rPr>
        <w:t>séances secrètes</w:t>
      </w:r>
      <w:r w:rsidRPr="00D07ADC">
        <w:t>. Według zestawienia z 21 września 1938 r. tajnych spotkań członków Rady było 14, w tym w grudniu nie mniej niż 5 (a może 6, bo cytowane zestawienie nie ujmuje spotkania 15 grudnia, które według innego źródła na pewno się odbyło). W latach 1926 i 1927 były tylko trzy spotkania tajne.ASDN, 14/9887/2385, R. 6228 (Liste par ordre chronologique des séances secrètes du Conseil, 21. sept. 38).</w:t>
      </w:r>
    </w:p>
  </w:footnote>
  <w:footnote w:id="406">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Oprócz 4 mocarstw członkami Rady wówczas byli: Belgia, Brazylia, Czechosłowacja, Hiszpania, Szwecja i Urugwaj.</w:t>
      </w:r>
    </w:p>
  </w:footnote>
  <w:footnote w:id="407">
    <w:p w:rsidR="00942133" w:rsidRPr="00D07ADC" w:rsidRDefault="00942133" w:rsidP="001E5F63">
      <w:pPr>
        <w:pStyle w:val="Tekstprzypisudolnego"/>
        <w:spacing w:line="23" w:lineRule="atLeast"/>
        <w:ind w:firstLine="0"/>
        <w:contextualSpacing/>
        <w:rPr>
          <w:lang w:val="fr-FR"/>
        </w:rPr>
      </w:pPr>
      <w:r w:rsidRPr="00D07ADC">
        <w:rPr>
          <w:rStyle w:val="Odwoanieprzypisudolnego"/>
          <w:rFonts w:ascii="Times New Roman" w:hAnsi="Times New Roman"/>
          <w:sz w:val="20"/>
        </w:rPr>
        <w:footnoteRef/>
      </w:r>
      <w:r w:rsidRPr="00D07ADC">
        <w:rPr>
          <w:lang w:val="fr-FR"/>
        </w:rPr>
        <w:t>ASDN, 14/9887/2385, R. 6228, (Séances secrètes du Mardi matin, 8 decembre 1925).</w:t>
      </w:r>
    </w:p>
  </w:footnote>
  <w:footnote w:id="408">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W.M. Chajcman</w:t>
      </w:r>
      <w:r w:rsidRPr="00D07ADC">
        <w:rPr>
          <w:i/>
        </w:rPr>
        <w:t>, SSSR i problema razorużenia mieżdu pierwoj i wtoroj mirowymi wojnami</w:t>
      </w:r>
      <w:r w:rsidRPr="00D07ADC">
        <w:t xml:space="preserve">, Moskwa 1959; nowszą obszerną literaturę zob. m.in. S. Sierpowski, </w:t>
      </w:r>
      <w:r w:rsidRPr="00D07ADC">
        <w:rPr>
          <w:i/>
        </w:rPr>
        <w:t>Polskie plany moralnego rozbrojenia w okresie międzywojennym</w:t>
      </w:r>
      <w:r w:rsidRPr="00D07ADC">
        <w:t xml:space="preserve">, [w:] Studia z dziejów najnowszych. Acta Universitatis Vratislaviensis. Nauki Polityczne, nr 1023, Wrocław 1989; M. Leczyk, </w:t>
      </w:r>
      <w:r w:rsidRPr="00D07ADC">
        <w:rPr>
          <w:i/>
        </w:rPr>
        <w:t>Polska i sąsiedzi. Stosunki wojskowe 1921</w:t>
      </w:r>
      <w:r>
        <w:rPr>
          <w:i/>
        </w:rPr>
        <w:t>-</w:t>
      </w:r>
      <w:r w:rsidRPr="00D07ADC">
        <w:rPr>
          <w:i/>
        </w:rPr>
        <w:t>1939</w:t>
      </w:r>
      <w:r w:rsidRPr="00D07ADC">
        <w:t>, Białystok 1997.</w:t>
      </w:r>
    </w:p>
  </w:footnote>
  <w:footnote w:id="409">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G. Bernardi, </w:t>
      </w:r>
      <w:r w:rsidRPr="00D07ADC">
        <w:rPr>
          <w:i/>
        </w:rPr>
        <w:t xml:space="preserve">Il disarmo navale tra le due guerre mondiali </w:t>
      </w:r>
      <w:r w:rsidRPr="00D07ADC">
        <w:t>(</w:t>
      </w:r>
      <w:r w:rsidRPr="00D07ADC">
        <w:rPr>
          <w:i/>
        </w:rPr>
        <w:t>1919</w:t>
      </w:r>
      <w:r>
        <w:rPr>
          <w:i/>
        </w:rPr>
        <w:t>-</w:t>
      </w:r>
      <w:r w:rsidRPr="00D07ADC">
        <w:rPr>
          <w:i/>
        </w:rPr>
        <w:t>1939</w:t>
      </w:r>
      <w:r w:rsidRPr="00D07ADC">
        <w:t xml:space="preserve">), Roma 1975; W. Rojek, </w:t>
      </w:r>
      <w:r w:rsidRPr="00D07ADC">
        <w:rPr>
          <w:i/>
        </w:rPr>
        <w:t>Spory o władanie morzem. Międzynarodowe aspekty zbrojeń morskich w okresie międzywojennym</w:t>
      </w:r>
      <w:r w:rsidRPr="00D07ADC">
        <w:t>, Kraków 1994.</w:t>
      </w:r>
    </w:p>
  </w:footnote>
  <w:footnote w:id="410">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P.P. Żurawski vel Grajewski, </w:t>
      </w:r>
      <w:r w:rsidRPr="00D07ADC">
        <w:rPr>
          <w:i/>
        </w:rPr>
        <w:t>Stany Zjednoczone wobec problemu kontroli zbrojeń</w:t>
      </w:r>
      <w:r w:rsidRPr="00D07ADC">
        <w:t>, s. 17.</w:t>
      </w:r>
    </w:p>
  </w:footnote>
  <w:footnote w:id="411">
    <w:p w:rsidR="00942133" w:rsidRPr="00D07ADC" w:rsidRDefault="00942133" w:rsidP="001E5F63">
      <w:pPr>
        <w:pStyle w:val="Tekstprzypisudolnego"/>
        <w:spacing w:line="23" w:lineRule="atLeast"/>
        <w:ind w:firstLine="0"/>
        <w:contextualSpacing/>
        <w:rPr>
          <w:lang w:val="de-DE"/>
        </w:rPr>
      </w:pPr>
      <w:r w:rsidRPr="00D07ADC">
        <w:rPr>
          <w:rStyle w:val="Odwoanieprzypisudolnego"/>
          <w:rFonts w:ascii="Times New Roman" w:hAnsi="Times New Roman"/>
          <w:sz w:val="20"/>
        </w:rPr>
        <w:footnoteRef/>
      </w:r>
      <w:r w:rsidRPr="00D07ADC">
        <w:rPr>
          <w:lang w:val="de-DE"/>
        </w:rPr>
        <w:t xml:space="preserve"> B. Barth, </w:t>
      </w:r>
      <w:r w:rsidRPr="00D07ADC">
        <w:rPr>
          <w:i/>
          <w:lang w:val="de-DE"/>
        </w:rPr>
        <w:t>Dolchstosslegenden und politische Desintegration</w:t>
      </w:r>
      <w:r w:rsidRPr="00D07ADC">
        <w:rPr>
          <w:lang w:val="de-DE"/>
        </w:rPr>
        <w:t>, Düsseldorf 2003.</w:t>
      </w:r>
    </w:p>
  </w:footnote>
  <w:footnote w:id="412">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Dane podaje: W.M. Chajcman, </w:t>
      </w:r>
      <w:r w:rsidRPr="00D07ADC">
        <w:rPr>
          <w:i/>
        </w:rPr>
        <w:t>SSSR i problema razorużenija</w:t>
      </w:r>
      <w:r w:rsidRPr="00D07ADC">
        <w:t>, s. 143-144.</w:t>
      </w:r>
    </w:p>
  </w:footnote>
  <w:footnote w:id="413">
    <w:p w:rsidR="00942133" w:rsidRPr="00D07ADC" w:rsidRDefault="00942133" w:rsidP="001E5F63">
      <w:pPr>
        <w:widowControl w:val="0"/>
        <w:autoSpaceDE w:val="0"/>
        <w:autoSpaceDN w:val="0"/>
        <w:adjustRightInd w:val="0"/>
        <w:spacing w:line="23" w:lineRule="atLeast"/>
        <w:ind w:firstLine="0"/>
        <w:contextualSpacing/>
        <w:rPr>
          <w:sz w:val="20"/>
          <w:szCs w:val="20"/>
          <w:u w:val="single"/>
        </w:rPr>
      </w:pPr>
      <w:r w:rsidRPr="00D07ADC">
        <w:rPr>
          <w:rStyle w:val="Odwoanieprzypisudolnego"/>
          <w:rFonts w:ascii="Times New Roman" w:hAnsi="Times New Roman"/>
          <w:sz w:val="20"/>
          <w:szCs w:val="20"/>
        </w:rPr>
        <w:footnoteRef/>
      </w:r>
      <w:r w:rsidRPr="00D07ADC">
        <w:rPr>
          <w:sz w:val="20"/>
          <w:szCs w:val="20"/>
        </w:rPr>
        <w:t xml:space="preserve"> AAN, Delegacja RP przy Lidze Narodów, sygn. 157, k. 193-194 (F. Sokal do Ministra spraw zagranicznych, Genewa 20 kwietnia 1926 r.); A. Harasimowicz </w:t>
      </w:r>
      <w:r w:rsidRPr="00D07ADC">
        <w:rPr>
          <w:iCs/>
          <w:sz w:val="20"/>
          <w:szCs w:val="20"/>
        </w:rPr>
        <w:t>(</w:t>
      </w:r>
      <w:r w:rsidRPr="00D07ADC">
        <w:rPr>
          <w:i/>
          <w:iCs/>
          <w:sz w:val="20"/>
          <w:szCs w:val="20"/>
        </w:rPr>
        <w:t>Dyplomacja brytyjska</w:t>
      </w:r>
      <w:r w:rsidRPr="00D07ADC">
        <w:rPr>
          <w:iCs/>
          <w:sz w:val="20"/>
          <w:szCs w:val="20"/>
        </w:rPr>
        <w:t xml:space="preserve">, </w:t>
      </w:r>
      <w:r w:rsidRPr="00D07ADC">
        <w:rPr>
          <w:sz w:val="20"/>
          <w:szCs w:val="20"/>
        </w:rPr>
        <w:t xml:space="preserve">s. 157), sygnalizując problem, podkreśla, że Brytyjczycy uznawali Rosję za „główną przeszkodę polityczną dla rozbrojenia” z powodu nieufności wobec ZSRR ze strony sąsiadów, tamże, s. 146-147. Interesującą opinię znajdujemy w raporcie T.G. Jackowskiego, </w:t>
      </w:r>
      <w:r w:rsidRPr="00D07ADC">
        <w:rPr>
          <w:i/>
          <w:sz w:val="20"/>
          <w:szCs w:val="20"/>
        </w:rPr>
        <w:t>charge d’affaires</w:t>
      </w:r>
      <w:r w:rsidRPr="00D07ADC">
        <w:rPr>
          <w:sz w:val="20"/>
          <w:szCs w:val="20"/>
        </w:rPr>
        <w:t xml:space="preserve"> w Berlinie, który 23 września 1925 r. napisał do min. Skrzyńskiego: „Anglosasi pragnęliby posługiwać się Polską jako powolnym narzędziem w akcji antyrosyjskiej” – T.G. Jackowski, </w:t>
      </w:r>
      <w:r w:rsidRPr="00D07ADC">
        <w:rPr>
          <w:i/>
          <w:sz w:val="20"/>
          <w:szCs w:val="20"/>
        </w:rPr>
        <w:t>W walce</w:t>
      </w:r>
      <w:r w:rsidRPr="00D07ADC">
        <w:rPr>
          <w:sz w:val="20"/>
          <w:szCs w:val="20"/>
        </w:rPr>
        <w:t>, s. 466.</w:t>
      </w:r>
    </w:p>
  </w:footnote>
  <w:footnote w:id="414">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AAN, Delegacja RP przy Lidze Narodów, sygn. 157, k. 148, (mjr Michałowski do Oddziału II Sztabu Generalnego, Londyn styczeń 1926 r.); więcej zob. S. Sierpowski, </w:t>
      </w:r>
      <w:r w:rsidRPr="00D07ADC">
        <w:rPr>
          <w:i/>
          <w:iCs/>
        </w:rPr>
        <w:t>Przystąpienie ZSRR do prac rozbrojeniowych Ligi Narodów 1925</w:t>
      </w:r>
      <w:r>
        <w:rPr>
          <w:i/>
          <w:iCs/>
        </w:rPr>
        <w:t>-</w:t>
      </w:r>
      <w:r w:rsidRPr="00D07ADC">
        <w:rPr>
          <w:i/>
          <w:iCs/>
        </w:rPr>
        <w:t>1927</w:t>
      </w:r>
      <w:r w:rsidRPr="00D07ADC">
        <w:rPr>
          <w:iCs/>
        </w:rPr>
        <w:t>, [</w:t>
      </w:r>
      <w:r w:rsidRPr="00D07ADC">
        <w:t xml:space="preserve">w:] </w:t>
      </w:r>
      <w:r w:rsidRPr="00D07ADC">
        <w:rPr>
          <w:i/>
        </w:rPr>
        <w:t>Dawna a nowa Rosja</w:t>
      </w:r>
      <w:r w:rsidRPr="00D07ADC">
        <w:t>, red. R. Jurkowski, N. Kasperek, Warszawa 2002, s. 193 i n.</w:t>
      </w:r>
    </w:p>
  </w:footnote>
  <w:footnote w:id="415">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Zob. H. Korczyk, </w:t>
      </w:r>
      <w:r w:rsidRPr="00D07ADC">
        <w:rPr>
          <w:i/>
        </w:rPr>
        <w:t>Traktat berliński zawarty pomiędzy ZSRR a Niemcami w 1926 r.</w:t>
      </w:r>
      <w:r w:rsidRPr="00D07ADC">
        <w:t>, Przegląd Zachodni 1980, nr 5/6, s. 221-238.</w:t>
      </w:r>
    </w:p>
  </w:footnote>
  <w:footnote w:id="416">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W. Michowicz, </w:t>
      </w:r>
      <w:r w:rsidRPr="00D07ADC">
        <w:rPr>
          <w:i/>
        </w:rPr>
        <w:t>Sprawa tzw. klauzuli rosyjskiej w pracach Przygotowawczej Komisji Rozbrojeniowej</w:t>
      </w:r>
      <w:r w:rsidRPr="00D07ADC">
        <w:t xml:space="preserve">, </w:t>
      </w:r>
      <w:r>
        <w:t>Z d</w:t>
      </w:r>
      <w:r w:rsidRPr="00D07ADC">
        <w:t xml:space="preserve">ziejów </w:t>
      </w:r>
      <w:r>
        <w:t>s</w:t>
      </w:r>
      <w:r w:rsidRPr="00D07ADC">
        <w:t xml:space="preserve">tosunków </w:t>
      </w:r>
      <w:r>
        <w:t>p</w:t>
      </w:r>
      <w:r w:rsidRPr="00D07ADC">
        <w:t>olsko-radzieckich. Studia i materia</w:t>
      </w:r>
      <w:r>
        <w:t xml:space="preserve">ły, t. IV, </w:t>
      </w:r>
      <w:r w:rsidRPr="00D07ADC">
        <w:t>1969, s. 106 i n.</w:t>
      </w:r>
    </w:p>
  </w:footnote>
  <w:footnote w:id="417">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Materiałem pomocniczym miał być National Statistical Year-Book wydany pod auspicjami Sekcji Ekonomicznej i Finansowej LN. Był to efekt zalecenia Rady z 12 grudnia 1925 r. Zawarte w tym opasłym tomie dane pochodziły ze źródeł oficjalnych – zarówno gromadzonych przez agendy Ligi, jak i nadesłanych przez rządy; dane obejmowały: terytoria i ludność, produkcję, handel, transport i komunikację, finanse publiczne, statystykę monetarną oraz ceny. Informacje pozwalały na porównania stanu sprzed wojny oraz za lata 1920</w:t>
      </w:r>
      <w:r>
        <w:t>-</w:t>
      </w:r>
      <w:r w:rsidRPr="00D07ADC">
        <w:t>1924 i 1925 r.; komplet do 1944 r. dostępny w wersji elektronicznej http://digital.library.northwestern.edu.League/statistique [</w:t>
      </w:r>
      <w:r w:rsidRPr="00D07ADC">
        <w:rPr>
          <w:highlight w:val="cyan"/>
        </w:rPr>
        <w:t>dostęp: ???</w:t>
      </w:r>
      <w:r w:rsidRPr="00D07ADC">
        <w:t>].</w:t>
      </w:r>
    </w:p>
  </w:footnote>
  <w:footnote w:id="418">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Szerzej zob. A.M. Brzeziński, </w:t>
      </w:r>
      <w:r w:rsidRPr="00D07ADC">
        <w:rPr>
          <w:i/>
        </w:rPr>
        <w:t xml:space="preserve">Francja a taktyka Niemiec w „Komisji Przygotowawczej Konferencji Rozbrojeniowej” </w:t>
      </w:r>
      <w:r w:rsidRPr="00D07ADC">
        <w:t>(</w:t>
      </w:r>
      <w:r w:rsidRPr="00D07ADC">
        <w:rPr>
          <w:i/>
        </w:rPr>
        <w:t>1926</w:t>
      </w:r>
      <w:r>
        <w:rPr>
          <w:i/>
        </w:rPr>
        <w:t>-</w:t>
      </w:r>
      <w:r w:rsidRPr="00D07ADC">
        <w:rPr>
          <w:i/>
        </w:rPr>
        <w:t>1930</w:t>
      </w:r>
      <w:r>
        <w:t>)</w:t>
      </w:r>
      <w:r w:rsidRPr="00D07ADC">
        <w:t xml:space="preserve"> [w:] </w:t>
      </w:r>
      <w:r w:rsidRPr="00D07ADC">
        <w:rPr>
          <w:i/>
        </w:rPr>
        <w:t>Niemcy w polityce międzynarodowej 1919</w:t>
      </w:r>
      <w:r>
        <w:rPr>
          <w:i/>
        </w:rPr>
        <w:t>-</w:t>
      </w:r>
      <w:r w:rsidRPr="00D07ADC">
        <w:rPr>
          <w:i/>
        </w:rPr>
        <w:t>1939</w:t>
      </w:r>
      <w:r w:rsidRPr="00D07ADC">
        <w:t xml:space="preserve">, t. I, s. 325 i n. </w:t>
      </w:r>
    </w:p>
  </w:footnote>
  <w:footnote w:id="419">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A.M. Brzeziński, </w:t>
      </w:r>
      <w:r w:rsidRPr="00D07ADC">
        <w:rPr>
          <w:i/>
        </w:rPr>
        <w:t>Francja a taktyka Niemiec,</w:t>
      </w:r>
      <w:r w:rsidRPr="00D07ADC">
        <w:t xml:space="preserve"> s. 333.</w:t>
      </w:r>
    </w:p>
  </w:footnote>
  <w:footnote w:id="420">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Szerzej W. Michowicz, </w:t>
      </w:r>
      <w:r w:rsidRPr="00D07ADC">
        <w:rPr>
          <w:i/>
        </w:rPr>
        <w:t>Rola planów i programów rozbrojeniowych w polityceNiemiec w dobie Komisji Przygotowawczej do Konferencji Rozbrojeniowej</w:t>
      </w:r>
      <w:r w:rsidRPr="00435603">
        <w:t xml:space="preserve">, </w:t>
      </w:r>
      <w:r w:rsidRPr="00D07ADC">
        <w:t xml:space="preserve">[w:] </w:t>
      </w:r>
      <w:r w:rsidRPr="00435603">
        <w:rPr>
          <w:i/>
        </w:rPr>
        <w:t>Niemcy w polityce międzynarodowej 1919-1939</w:t>
      </w:r>
      <w:r w:rsidRPr="00D07ADC">
        <w:t xml:space="preserve">, t. I: </w:t>
      </w:r>
      <w:r w:rsidRPr="00435603">
        <w:rPr>
          <w:i/>
        </w:rPr>
        <w:t>Era Stresemanna</w:t>
      </w:r>
      <w:r w:rsidRPr="00D07ADC">
        <w:t>, red. S. Sierpowski, Poznań 1990, s. 143 i n.</w:t>
      </w:r>
    </w:p>
  </w:footnote>
  <w:footnote w:id="421">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AAN, AB, sygn. 1529, k. 59-62 (Olszowski do MSZ, Berlin, b. daty, lato 1927).</w:t>
      </w:r>
    </w:p>
  </w:footnote>
  <w:footnote w:id="422">
    <w:p w:rsidR="00942133" w:rsidRPr="00D07ADC" w:rsidRDefault="00942133" w:rsidP="001E5F63">
      <w:pPr>
        <w:widowControl w:val="0"/>
        <w:autoSpaceDE w:val="0"/>
        <w:autoSpaceDN w:val="0"/>
        <w:adjustRightInd w:val="0"/>
        <w:spacing w:line="23" w:lineRule="atLeast"/>
        <w:ind w:firstLine="0"/>
        <w:contextualSpacing/>
        <w:rPr>
          <w:sz w:val="20"/>
          <w:szCs w:val="20"/>
        </w:rPr>
      </w:pPr>
      <w:r w:rsidRPr="00D07ADC">
        <w:rPr>
          <w:rStyle w:val="Odwoanieprzypisudolnego"/>
          <w:rFonts w:ascii="Times New Roman" w:hAnsi="Times New Roman"/>
          <w:sz w:val="20"/>
          <w:szCs w:val="20"/>
        </w:rPr>
        <w:footnoteRef/>
      </w:r>
      <w:r w:rsidRPr="00D07ADC">
        <w:rPr>
          <w:sz w:val="20"/>
          <w:szCs w:val="20"/>
        </w:rPr>
        <w:t xml:space="preserve"> J.O., Supplement spécial, No 54 1927, s. 81; pogląd ten był uznawany przez wielu polityków, w tym proniemieckiego Lloyda George’a, który w czasie przemówienia w Aldwych Club w listopadzie 1927 r. wypominał sprzymierzonym, że rozbroili Niemcy, Austrię, Bułgarię i Węgry, natomiast sami nie zmniejszyli swych milionowych armii ani o jedną dywizję, ani o jeden samolot, ani o jedną baterię – The Times</w:t>
      </w:r>
      <w:r>
        <w:rPr>
          <w:sz w:val="20"/>
          <w:szCs w:val="20"/>
        </w:rPr>
        <w:t xml:space="preserve"> z</w:t>
      </w:r>
      <w:r w:rsidRPr="00D07ADC">
        <w:rPr>
          <w:sz w:val="20"/>
          <w:szCs w:val="20"/>
        </w:rPr>
        <w:t xml:space="preserve"> 8 listopada 1927 r.</w:t>
      </w:r>
    </w:p>
  </w:footnote>
  <w:footnote w:id="423">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Świadomość rozległości i wieloaspektowości rozbrojenia, stale zresztą towarzyszącego trosce o bezpieczeństwo, spowodowała powszechną akceptację dla powołania wyspecjalizowanych podkomisji. Pierwsza z nich, „A”, zajmowała się sprawami wojskowymi i pracowała niemal w permanencji od 28 maja do 9 września 1926 r. (z przerwą w lipcu). Podkomisja „B” </w:t>
      </w:r>
      <w:r>
        <w:t>–</w:t>
      </w:r>
      <w:r w:rsidRPr="00D07ADC">
        <w:t xml:space="preserve"> ekonomiczna </w:t>
      </w:r>
      <w:r>
        <w:t>–</w:t>
      </w:r>
      <w:r w:rsidRPr="00D07ADC">
        <w:t xml:space="preserve"> obradowała w sumie 4 dni. Oprócz nich powołano także dwa komitety (budżetów wojskowych i lotnictwa cywilnego) oraz komitet redakcyjny – A.M. Brzeziński, </w:t>
      </w:r>
      <w:r w:rsidRPr="00D07ADC">
        <w:rPr>
          <w:i/>
        </w:rPr>
        <w:t>Dyplomacja francuska</w:t>
      </w:r>
      <w:r w:rsidRPr="00D07ADC">
        <w:t>, s. 59.</w:t>
      </w:r>
    </w:p>
  </w:footnote>
  <w:footnote w:id="424">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Do bardzo obszernej literatury odwołuję się w pracy </w:t>
      </w:r>
      <w:r w:rsidRPr="00D07ADC">
        <w:rPr>
          <w:i/>
        </w:rPr>
        <w:t>Liga Narodów w latach 1919-1926</w:t>
      </w:r>
      <w:r w:rsidRPr="00D07ADC">
        <w:t xml:space="preserve">, s. 180-220; z nowszych odnotować należy opracowanie C. Fink, </w:t>
      </w:r>
      <w:r w:rsidRPr="00D07ADC">
        <w:rPr>
          <w:i/>
        </w:rPr>
        <w:t>Defending the Rights of Others: The Great Powers, the Jews, and International Minority Protection, 1878-1938</w:t>
      </w:r>
      <w:r w:rsidRPr="00D07ADC">
        <w:t>, New York-Cambridge 2004, będące podsumowaniem jej wieloletnich badań w obszarze mniejszości, zwłaszcza żydowskiej.</w:t>
      </w:r>
    </w:p>
  </w:footnote>
  <w:footnote w:id="425">
    <w:p w:rsidR="00942133" w:rsidRPr="00D07ADC"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D07ADC">
        <w:rPr>
          <w:lang w:val="en-US"/>
        </w:rPr>
        <w:t xml:space="preserve"> R. Cecil, </w:t>
      </w:r>
      <w:r w:rsidRPr="00D07ADC">
        <w:rPr>
          <w:i/>
          <w:lang w:val="en-US"/>
        </w:rPr>
        <w:t>A Great Experiment</w:t>
      </w:r>
      <w:r w:rsidRPr="00435603">
        <w:rPr>
          <w:lang w:val="en-US"/>
        </w:rPr>
        <w:t xml:space="preserve">, </w:t>
      </w:r>
      <w:r w:rsidRPr="00D07ADC">
        <w:rPr>
          <w:lang w:val="en-US"/>
        </w:rPr>
        <w:t>s. 118-120.</w:t>
      </w:r>
    </w:p>
  </w:footnote>
  <w:footnote w:id="426">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Kształtowaniu procedury wiele miejsca poświęcił Ch. Gütermann, </w:t>
      </w:r>
      <w:r w:rsidRPr="00D07ADC">
        <w:rPr>
          <w:i/>
        </w:rPr>
        <w:t>Das Minderheitenschutzverfahen des Völkerbundes</w:t>
      </w:r>
      <w:r w:rsidRPr="00D07ADC">
        <w:t xml:space="preserve">, Berlin 1979; także S. Sierpowski, </w:t>
      </w:r>
      <w:r w:rsidRPr="00D07ADC">
        <w:rPr>
          <w:i/>
        </w:rPr>
        <w:t>Próby wyzyskania procedury mniejszościowej Ligi Narodów w realizacji polityki Rzeszy Niemieckiej na Bałkanach</w:t>
      </w:r>
      <w:r w:rsidRPr="00D07ADC">
        <w:t xml:space="preserve">, [w:] </w:t>
      </w:r>
      <w:r w:rsidRPr="00D07ADC">
        <w:rPr>
          <w:i/>
        </w:rPr>
        <w:t>Państwa bałkańskie w polityce imperializmu niemieckiego w latach 1871</w:t>
      </w:r>
      <w:r w:rsidRPr="00D07ADC">
        <w:rPr>
          <w:i/>
        </w:rPr>
        <w:noBreakHyphen/>
        <w:t>1945</w:t>
      </w:r>
      <w:r w:rsidRPr="00D07ADC">
        <w:t>, red. A. Czubiński, Poznań 1982, s. 245 i n.</w:t>
      </w:r>
    </w:p>
  </w:footnote>
  <w:footnote w:id="427">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F. Wertheimer, </w:t>
      </w:r>
      <w:r w:rsidRPr="00D07ADC">
        <w:rPr>
          <w:i/>
        </w:rPr>
        <w:t>Deutschland</w:t>
      </w:r>
      <w:r w:rsidRPr="00D07ADC">
        <w:t xml:space="preserve">, s. 71 i n.; także S. Sierpowski, </w:t>
      </w:r>
      <w:r w:rsidRPr="00D07ADC">
        <w:rPr>
          <w:i/>
        </w:rPr>
        <w:t>Mniejszość niemiecka</w:t>
      </w:r>
      <w:r w:rsidRPr="00D07ADC">
        <w:t>, s. 83 i n.</w:t>
      </w:r>
    </w:p>
  </w:footnote>
  <w:footnote w:id="428">
    <w:p w:rsidR="00942133" w:rsidRPr="00D07ADC" w:rsidRDefault="00942133" w:rsidP="001E5F63">
      <w:pPr>
        <w:spacing w:line="23" w:lineRule="atLeast"/>
        <w:ind w:firstLine="0"/>
        <w:contextualSpacing/>
        <w:rPr>
          <w:sz w:val="20"/>
          <w:szCs w:val="20"/>
        </w:rPr>
      </w:pPr>
      <w:r w:rsidRPr="00D07ADC">
        <w:rPr>
          <w:rStyle w:val="Odwoanieprzypisudolnego"/>
          <w:rFonts w:ascii="Times New Roman" w:hAnsi="Times New Roman"/>
          <w:sz w:val="20"/>
          <w:szCs w:val="20"/>
        </w:rPr>
        <w:footnoteRef/>
      </w:r>
      <w:r w:rsidRPr="00D07ADC">
        <w:rPr>
          <w:sz w:val="20"/>
          <w:szCs w:val="20"/>
        </w:rPr>
        <w:t xml:space="preserve"> Murray był wiceprzewodniczącym Komisji Współpracy Intelektualnej (Commission de Coopération Intellectuelle) </w:t>
      </w:r>
      <w:r>
        <w:rPr>
          <w:sz w:val="20"/>
          <w:szCs w:val="20"/>
        </w:rPr>
        <w:t>–</w:t>
      </w:r>
      <w:r w:rsidRPr="00D07ADC">
        <w:rPr>
          <w:sz w:val="20"/>
          <w:szCs w:val="20"/>
        </w:rPr>
        <w:t xml:space="preserve"> jednej z kilku stałych komisji konsultacyjnych, w której zasiadała m.in. M. Curie-Skłodowska (tak zapisano) i Albert Einstein. Był także przewodniczącym utworzonego w 1924 r. w Genewie Union Internationale des Étudiants, wspierającego badania nad LN i stosunkami międzynarodowymi. Należał również do eksponowanych osobistości brytyjskiego stowarzyszenia LN (League of Nation Union) </w:t>
      </w:r>
      <w:r>
        <w:rPr>
          <w:sz w:val="20"/>
          <w:szCs w:val="20"/>
        </w:rPr>
        <w:t>–</w:t>
      </w:r>
      <w:r w:rsidRPr="00D07ADC">
        <w:rPr>
          <w:sz w:val="20"/>
          <w:szCs w:val="20"/>
        </w:rPr>
        <w:t xml:space="preserve"> najsilniejszego i najbardziej aktywnego i wpływowego stowarzyszenia krajowego, wśród kilkunastu wówczas istniejących. Chociaż na czele mającego siedzibę w Brukseli UIA, stali Francuzi (najpierw Théodore Ruyssen, profesor uniwersytetu w Bordeaux, a od 1927 r. André Aulard, profesor Sorbony) to jednak ton pracom nadawali Brytyjczycy. </w:t>
      </w:r>
    </w:p>
  </w:footnote>
  <w:footnote w:id="429">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System ochrony mniejszości miał być wykorzystywany dla wzmocnienia pozycji protestantów w państwach zdominowanych przez religię katolicką.</w:t>
      </w:r>
    </w:p>
  </w:footnote>
  <w:footnote w:id="430">
    <w:p w:rsidR="00942133" w:rsidRPr="00D07ADC" w:rsidRDefault="00942133" w:rsidP="001E5F63">
      <w:pPr>
        <w:pStyle w:val="Tekstprzypisudolnego"/>
        <w:spacing w:line="23" w:lineRule="atLeast"/>
        <w:ind w:firstLine="0"/>
        <w:contextualSpacing/>
        <w:rPr>
          <w:lang w:val="fr-FR"/>
        </w:rPr>
      </w:pPr>
      <w:r w:rsidRPr="00D07ADC">
        <w:rPr>
          <w:rStyle w:val="Odwoanieprzypisudolnego"/>
          <w:rFonts w:ascii="Times New Roman" w:hAnsi="Times New Roman"/>
          <w:sz w:val="20"/>
        </w:rPr>
        <w:footnoteRef/>
      </w:r>
      <w:r w:rsidRPr="00D07ADC">
        <w:rPr>
          <w:lang w:val="fr-FR"/>
        </w:rPr>
        <w:t>ASDN, 41/18277/17333, R. 1670 (Memoire prèliminaire rédigé par</w:t>
      </w:r>
      <w:r>
        <w:rPr>
          <w:lang w:val="fr-FR"/>
        </w:rPr>
        <w:t>…</w:t>
      </w:r>
      <w:r w:rsidRPr="00D07ADC">
        <w:rPr>
          <w:lang w:val="fr-FR"/>
        </w:rPr>
        <w:t>, Willoughby Dickinson, Londres, 15 nov. 1921).</w:t>
      </w:r>
    </w:p>
  </w:footnote>
  <w:footnote w:id="431">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ASDN, 41/21487/17333/R. 1670 (Sprawozdanie St. Łosia z Pragi jest w AAN, MSZ, sygn. 2048, k. 2 i n.)</w:t>
      </w:r>
    </w:p>
  </w:footnote>
  <w:footnote w:id="432">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ASDN, 40/3</w:t>
      </w:r>
      <w:r>
        <w:t xml:space="preserve">8568/38568/R. </w:t>
      </w:r>
      <w:r w:rsidRPr="00D07ADC">
        <w:t>1600. Duże zaangażowanie UIA w sprawy mniejszości narodowych także ilustruje stosunkowo duża spuścizna archiwalna w ASDN 1920-1940, Private, R. 43-46.</w:t>
      </w:r>
    </w:p>
  </w:footnote>
  <w:footnote w:id="433">
    <w:p w:rsidR="00942133" w:rsidRPr="00D07ADC" w:rsidRDefault="00942133" w:rsidP="001E5F63">
      <w:pPr>
        <w:pStyle w:val="Tekstprzypisudolnego"/>
        <w:spacing w:line="23" w:lineRule="atLeast"/>
        <w:ind w:firstLine="0"/>
        <w:contextualSpacing/>
        <w:rPr>
          <w:lang w:val="de-DE"/>
        </w:rPr>
      </w:pPr>
      <w:r w:rsidRPr="00D07ADC">
        <w:rPr>
          <w:rStyle w:val="Odwoanieprzypisudolnego"/>
          <w:rFonts w:ascii="Times New Roman" w:hAnsi="Times New Roman"/>
          <w:sz w:val="20"/>
        </w:rPr>
        <w:footnoteRef/>
      </w:r>
      <w:r w:rsidRPr="00D07ADC">
        <w:rPr>
          <w:lang w:val="de-DE"/>
        </w:rPr>
        <w:t xml:space="preserve"> C. Fink, </w:t>
      </w:r>
      <w:r w:rsidRPr="00D07ADC">
        <w:rPr>
          <w:i/>
          <w:lang w:val="de-DE"/>
        </w:rPr>
        <w:t>Defending</w:t>
      </w:r>
      <w:r w:rsidRPr="00D07ADC">
        <w:rPr>
          <w:lang w:val="de-DE"/>
        </w:rPr>
        <w:t>, s. 382.</w:t>
      </w:r>
    </w:p>
  </w:footnote>
  <w:footnote w:id="434">
    <w:p w:rsidR="00942133" w:rsidRPr="00D07ADC" w:rsidRDefault="00942133" w:rsidP="001E5F63">
      <w:pPr>
        <w:pStyle w:val="Tekstprzypisudolnego"/>
        <w:spacing w:line="23" w:lineRule="atLeast"/>
        <w:ind w:firstLine="0"/>
        <w:contextualSpacing/>
        <w:rPr>
          <w:lang w:val="fr-FR"/>
        </w:rPr>
      </w:pPr>
      <w:r w:rsidRPr="00D07ADC">
        <w:rPr>
          <w:rStyle w:val="Odwoanieprzypisudolnego"/>
          <w:rFonts w:ascii="Times New Roman" w:hAnsi="Times New Roman"/>
          <w:sz w:val="20"/>
        </w:rPr>
        <w:footnoteRef/>
      </w:r>
      <w:r w:rsidRPr="00D07ADC">
        <w:rPr>
          <w:lang w:val="de-AT"/>
        </w:rPr>
        <w:t xml:space="preserve"> AAN, AB, sygn. </w:t>
      </w:r>
      <w:r w:rsidRPr="00D07ADC">
        <w:rPr>
          <w:lang w:val="fr-FR"/>
        </w:rPr>
        <w:t>1353, k. 32-34 (Chargé d’affaire do MSZ, Berlin 16.04.1924 r.).</w:t>
      </w:r>
    </w:p>
  </w:footnote>
  <w:footnote w:id="435">
    <w:p w:rsidR="00942133" w:rsidRPr="00D07ADC" w:rsidRDefault="00942133" w:rsidP="001E5F63">
      <w:pPr>
        <w:pStyle w:val="Tekstprzypisudolnego"/>
        <w:spacing w:line="23" w:lineRule="atLeast"/>
        <w:ind w:firstLine="0"/>
        <w:contextualSpacing/>
        <w:rPr>
          <w:lang w:val="fr-FR"/>
        </w:rPr>
      </w:pPr>
      <w:r w:rsidRPr="00D07ADC">
        <w:rPr>
          <w:rStyle w:val="Odwoanieprzypisudolnego"/>
          <w:rFonts w:ascii="Times New Roman" w:hAnsi="Times New Roman"/>
          <w:sz w:val="20"/>
        </w:rPr>
        <w:footnoteRef/>
      </w:r>
      <w:r w:rsidRPr="00D07ADC">
        <w:rPr>
          <w:lang w:val="fr-FR"/>
        </w:rPr>
        <w:t>J.O., Sixième Assemblée. Séances plénière, s. 77, 105-106, 396.</w:t>
      </w:r>
    </w:p>
  </w:footnote>
  <w:footnote w:id="436">
    <w:p w:rsidR="00942133" w:rsidRPr="00D07ADC" w:rsidRDefault="00942133" w:rsidP="001E5F63">
      <w:pPr>
        <w:pStyle w:val="Tekstprzypisudolnego"/>
        <w:spacing w:line="23" w:lineRule="atLeast"/>
        <w:ind w:firstLine="0"/>
        <w:contextualSpacing/>
        <w:rPr>
          <w:lang w:val="de-DE"/>
        </w:rPr>
      </w:pPr>
      <w:r w:rsidRPr="00D07ADC">
        <w:rPr>
          <w:rStyle w:val="Odwoanieprzypisudolnego"/>
          <w:rFonts w:ascii="Times New Roman" w:hAnsi="Times New Roman"/>
          <w:sz w:val="20"/>
        </w:rPr>
        <w:footnoteRef/>
      </w:r>
      <w:r w:rsidRPr="00D07ADC">
        <w:rPr>
          <w:lang w:val="de-DE"/>
        </w:rPr>
        <w:t xml:space="preserve"> G. Stresemann, </w:t>
      </w:r>
      <w:r w:rsidRPr="00D07ADC">
        <w:rPr>
          <w:i/>
          <w:lang w:val="de-DE"/>
        </w:rPr>
        <w:t>Vermächtnis</w:t>
      </w:r>
      <w:r w:rsidRPr="00D07ADC">
        <w:rPr>
          <w:lang w:val="de-DE"/>
        </w:rPr>
        <w:t>, t. II, s. 150.</w:t>
      </w:r>
    </w:p>
  </w:footnote>
  <w:footnote w:id="437">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J.O, 1926, s. 139-140; szerzej S. Sierpowski, </w:t>
      </w:r>
      <w:r w:rsidRPr="00D07ADC">
        <w:rPr>
          <w:i/>
        </w:rPr>
        <w:t>Dylematy mniejszościowe Ligi Narodów</w:t>
      </w:r>
      <w:r w:rsidRPr="00D07ADC">
        <w:t>, cz. 1, Przegląd Zachodni 1984, nr 3, s. 50 i n.</w:t>
      </w:r>
    </w:p>
  </w:footnote>
  <w:footnote w:id="438">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Jednym z etapów trwających wiele lat sporów na ten temat była 39. sesja Rady obradująca w dniach 8-18 marca 1926 r., a więc w gorących dniach Nadzwyczajnego Zgromadzenia. Pojawiła się niespodziewanie jako kontredans „przepychanki” mocarstw w tle z Niemcami. Otóż przewodniczący Komisji Mandatowej Włoch markiz Theodoli na zakończenie 5. sesji poświęconej sprawowaniu przez Francję mandatu nad Syrią zaproponował przekazanie komunikatu o uwagach komisji petentom syryjskim. Z poparciem dla tego pomysłu wystąpił Chamberlain, co zmusiło do riposty delegata Francji i wytargowania odłożenia sprawy – zob. AAN, AB, sygn. 681, k. 52, 84-85.</w:t>
      </w:r>
    </w:p>
  </w:footnote>
  <w:footnote w:id="439">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Polskie MSZ wyznaczyło nawet urzędnika, który „pilotował” jadących na kongres delegatów mniejszości polskiej z Niemiec, Czechosłowacji, Litwy i Łotwy. Na wspólnym zebraniu ustalili oni „[…] jednolity front w kierunku identycznym ze wskazanym przez Ministerstwo Spraw Zagranicznych, a nadto we wspólnych obradach zapewniły sobie ścisłą łączność i jednolitość w występowaniu z delegacjami serbołużycką i duńską”. AAN, AB, sygn. 1588, k. 95 (Sprawozdanie z przebiegu Zjazdu mniejszościowego odbytego w Genewie 14-16 X 1925); podstawowe dla tej problematyki R. Michaelsen,</w:t>
      </w:r>
      <w:r w:rsidRPr="00D07ADC">
        <w:rPr>
          <w:i/>
        </w:rPr>
        <w:t xml:space="preserve"> Der Europäische Nationalitäten Kongress</w:t>
      </w:r>
      <w:r w:rsidRPr="00D07ADC">
        <w:t>,s. 71 i n.</w:t>
      </w:r>
    </w:p>
  </w:footnote>
  <w:footnote w:id="440">
    <w:p w:rsidR="00942133" w:rsidRPr="00D07ADC"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D07ADC">
        <w:rPr>
          <w:lang w:val="en-US"/>
        </w:rPr>
        <w:t xml:space="preserve"> L. Zemite, </w:t>
      </w:r>
      <w:r w:rsidRPr="00D07ADC">
        <w:rPr>
          <w:i/>
          <w:lang w:val="en-US"/>
        </w:rPr>
        <w:t>Latwia in the League of Nations</w:t>
      </w:r>
      <w:r w:rsidRPr="00D07ADC">
        <w:rPr>
          <w:lang w:val="en-US"/>
        </w:rPr>
        <w:t>, s. 46 i n.</w:t>
      </w:r>
    </w:p>
  </w:footnote>
  <w:footnote w:id="441">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P. Madajczyk, </w:t>
      </w:r>
      <w:r w:rsidRPr="00D07ADC">
        <w:rPr>
          <w:i/>
        </w:rPr>
        <w:t>Polityka</w:t>
      </w:r>
      <w:r w:rsidRPr="00D07ADC">
        <w:t xml:space="preserve">, s. 174. Maria Rothbarth nie pozostawia wątpliwości, że cała idea europejskich kongresów mniejszościowych była „instrumentem niemieckiego imperializmu” i elementem służącym „rozbudowie niemieckiej polityki wielkomocarstwowej” – M. Rothbarth, </w:t>
      </w:r>
      <w:r w:rsidRPr="00D07ADC">
        <w:rPr>
          <w:i/>
        </w:rPr>
        <w:t>Imperialistyczne Niemcy a utworzenie Europejskiego Kongresu Mniejszości Narodowych</w:t>
      </w:r>
      <w:r w:rsidRPr="00D07ADC">
        <w:t xml:space="preserve">, [w:] </w:t>
      </w:r>
      <w:r w:rsidRPr="00D07ADC">
        <w:rPr>
          <w:i/>
        </w:rPr>
        <w:t>Rola mniejszości niemieckiej w rozwoju stosunków politycznych w Europie 1918-1945</w:t>
      </w:r>
      <w:r w:rsidRPr="00D07ADC">
        <w:t>, red. A. Czubiński, Poznań 1984, s. 87.</w:t>
      </w:r>
    </w:p>
  </w:footnote>
  <w:footnote w:id="442">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P. Hauser, </w:t>
      </w:r>
      <w:r w:rsidRPr="00D07ADC">
        <w:rPr>
          <w:i/>
        </w:rPr>
        <w:t>Psychosocjologiczne uwarunkowania niemieckiej polityki mniejszościowej w Europie w okresie międzywojennym</w:t>
      </w:r>
      <w:r w:rsidRPr="00D07ADC">
        <w:t xml:space="preserve">, [w:] </w:t>
      </w:r>
      <w:r w:rsidRPr="00D07ADC">
        <w:rPr>
          <w:i/>
        </w:rPr>
        <w:t>Rola mniejszości niemieckiej w rozwoju stosunków politycznych w Europie 1918-1945</w:t>
      </w:r>
      <w:r w:rsidRPr="00D07ADC">
        <w:t>, red. A. Czubiński, Poznań 1984, s. 277 i n.</w:t>
      </w:r>
    </w:p>
  </w:footnote>
  <w:footnote w:id="443">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E. Makowski, </w:t>
      </w:r>
      <w:r w:rsidRPr="00D07ADC">
        <w:rPr>
          <w:i/>
        </w:rPr>
        <w:t xml:space="preserve">Tajne zabiegi Niemiec o utrzymanie kolonistów w zachodniej Polsce </w:t>
      </w:r>
      <w:r w:rsidRPr="00D07ADC">
        <w:t>(</w:t>
      </w:r>
      <w:r w:rsidRPr="00D07ADC">
        <w:rPr>
          <w:i/>
        </w:rPr>
        <w:t>1919-1929</w:t>
      </w:r>
      <w:r w:rsidRPr="00D07ADC">
        <w:t xml:space="preserve">), [w:] </w:t>
      </w:r>
      <w:r w:rsidRPr="00D07ADC">
        <w:rPr>
          <w:i/>
        </w:rPr>
        <w:t>Polacy i Niemcy. Dziesięć wieków sąsiedztwa</w:t>
      </w:r>
      <w:r w:rsidRPr="00D07ADC">
        <w:t>, red. A. Czubiński, Warszawa 1987, s. 305 i n.</w:t>
      </w:r>
    </w:p>
  </w:footnote>
  <w:footnote w:id="444">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Obszernie J. Krasuski, </w:t>
      </w:r>
      <w:r w:rsidRPr="00D07ADC">
        <w:rPr>
          <w:i/>
        </w:rPr>
        <w:t>Stosunki</w:t>
      </w:r>
      <w:r w:rsidRPr="00D07ADC">
        <w:t>, s. 302 i n.</w:t>
      </w:r>
    </w:p>
  </w:footnote>
  <w:footnote w:id="445">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Bogaty materiał zawiera wyodrębniony zespół Sekretariatu w ASDN, S: 338-3; No 25-33 oraz 41/6638/bis; materiał był analizowany przez cytowanego wyżej Rudolfa (?) Michaelsena.</w:t>
      </w:r>
    </w:p>
  </w:footnote>
  <w:footnote w:id="446">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Od nazwiska W. Maurera, eksperta ze Szwajcarii, któremu Rada LN powierzyła ocenę znajomości języka niemieckiego na Górnym Śląsku przez dzieci zapisane do szkół mniejszościowych. Był to duży problem, który został postawionyw petycji Volksbundu 25 września 1926 r. Przechodził on w LN różne fazy i zakończył się w 1930 r. dla Polski niepomyślnie. Problem dobrze znany z wielu prac (zob. np. J. Krasuski, </w:t>
      </w:r>
      <w:r w:rsidRPr="00D07ADC">
        <w:rPr>
          <w:i/>
        </w:rPr>
        <w:t>Stosunki</w:t>
      </w:r>
      <w:r w:rsidRPr="00D07ADC">
        <w:t>, s. 290 i n.) miewa także niemal satyryczne ślady, czego dowodzi zapiska Augusta Scholtisa (pseud. Alexandr Bogen) w tekście pt. „Liga Narodów wizytuje szkołę w Bolacicach” (pow. Racibórz, obecnie w granicach Czech). Brak nadziei na porozumienie i jakiś kompromis uwypuklają ostatnie słowa tekstu: „była tu Liga Narodów i już znowu jej nie ma”, zob. Konserwatorium. Zeszyty Edukacji Kulturalnej, nr 59, Opole 2008, s. 103.</w:t>
      </w:r>
    </w:p>
  </w:footnote>
  <w:footnote w:id="447">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Zob. W. Wrzesiński, </w:t>
      </w:r>
      <w:r w:rsidRPr="00D07ADC">
        <w:rPr>
          <w:i/>
        </w:rPr>
        <w:t>Polski ruch narodowy w Niemczech 1922-1939</w:t>
      </w:r>
      <w:r w:rsidRPr="00D07ADC">
        <w:t xml:space="preserve">, Poznań 1970, s. 173 i n.; S. Sierpowski, </w:t>
      </w:r>
      <w:r w:rsidRPr="00D07ADC">
        <w:rPr>
          <w:i/>
        </w:rPr>
        <w:t>Polsko-niemieckie spory</w:t>
      </w:r>
      <w:r w:rsidRPr="00D07ADC">
        <w:t>, s. 341 i n.</w:t>
      </w:r>
    </w:p>
  </w:footnote>
  <w:footnote w:id="448">
    <w:p w:rsidR="00942133" w:rsidRPr="00D07ADC"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D07ADC">
        <w:rPr>
          <w:lang w:val="en-US"/>
        </w:rPr>
        <w:t xml:space="preserve"> J. Barros, </w:t>
      </w:r>
      <w:r w:rsidRPr="00D07ADC">
        <w:rPr>
          <w:i/>
          <w:lang w:val="en-US"/>
        </w:rPr>
        <w:t>Office Without Power</w:t>
      </w:r>
      <w:r w:rsidRPr="00D07ADC">
        <w:rPr>
          <w:lang w:val="en-US"/>
        </w:rPr>
        <w:t>, s. 193 i n.</w:t>
      </w:r>
    </w:p>
  </w:footnote>
  <w:footnote w:id="449">
    <w:p w:rsidR="00942133" w:rsidRPr="00D07ADC" w:rsidRDefault="00942133" w:rsidP="001E5F63">
      <w:pPr>
        <w:pStyle w:val="Tekstprzypisudolnego"/>
        <w:spacing w:line="23" w:lineRule="atLeast"/>
        <w:ind w:firstLine="0"/>
        <w:contextualSpacing/>
        <w:rPr>
          <w:lang w:val="de-AT"/>
        </w:rPr>
      </w:pPr>
      <w:r w:rsidRPr="00D07ADC">
        <w:rPr>
          <w:rStyle w:val="Odwoanieprzypisudolnego"/>
          <w:rFonts w:ascii="Times New Roman" w:hAnsi="Times New Roman"/>
          <w:sz w:val="20"/>
        </w:rPr>
        <w:footnoteRef/>
      </w:r>
      <w:r w:rsidRPr="00D07ADC">
        <w:rPr>
          <w:lang w:val="de-AT"/>
        </w:rPr>
        <w:t xml:space="preserve"> Ch. Kimmich, </w:t>
      </w:r>
      <w:r w:rsidRPr="00D07ADC">
        <w:rPr>
          <w:i/>
          <w:lang w:val="de-AT"/>
        </w:rPr>
        <w:t>Germany</w:t>
      </w:r>
      <w:r w:rsidRPr="00D07ADC">
        <w:rPr>
          <w:lang w:val="de-AT"/>
        </w:rPr>
        <w:t xml:space="preserve">, s. 136 i n.; J. Wintzer, </w:t>
      </w:r>
      <w:r w:rsidRPr="00D07ADC">
        <w:rPr>
          <w:i/>
          <w:lang w:val="de-DE"/>
        </w:rPr>
        <w:t>Deutschland und der Völkerbund</w:t>
      </w:r>
      <w:r w:rsidRPr="00D07ADC">
        <w:rPr>
          <w:lang w:val="de-DE"/>
        </w:rPr>
        <w:t xml:space="preserve">, </w:t>
      </w:r>
      <w:r w:rsidRPr="00D07ADC">
        <w:rPr>
          <w:lang w:val="de-AT"/>
        </w:rPr>
        <w:t>s. 495 i n.</w:t>
      </w:r>
    </w:p>
  </w:footnote>
  <w:footnote w:id="450">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rPr>
          <w:lang w:val="fr-FR"/>
        </w:rPr>
        <w:t xml:space="preserve">ASDN, Listé des documents du Conseil et de l’Assemblée, sygn. </w:t>
      </w:r>
      <w:r w:rsidRPr="00D07ADC">
        <w:t xml:space="preserve">399, szersze omówienie zob. S. Sierpowski, </w:t>
      </w:r>
      <w:r w:rsidRPr="00D07ADC">
        <w:rPr>
          <w:i/>
        </w:rPr>
        <w:t>Mniejszość niemiecka na tle aktywności mniejszościowej Ligi Narodów</w:t>
      </w:r>
      <w:r w:rsidRPr="00D07ADC">
        <w:t>, s. 87.</w:t>
      </w:r>
    </w:p>
  </w:footnote>
  <w:footnote w:id="451">
    <w:p w:rsidR="00942133" w:rsidRPr="00D07ADC" w:rsidRDefault="00942133" w:rsidP="001E5F63">
      <w:pPr>
        <w:pStyle w:val="Tekstprzypisudolnego"/>
        <w:spacing w:line="23" w:lineRule="atLeast"/>
        <w:ind w:firstLine="0"/>
        <w:contextualSpacing/>
        <w:rPr>
          <w:lang w:val="de-DE"/>
        </w:rPr>
      </w:pPr>
      <w:r w:rsidRPr="00D07ADC">
        <w:rPr>
          <w:rStyle w:val="Odwoanieprzypisudolnego"/>
          <w:rFonts w:ascii="Times New Roman" w:hAnsi="Times New Roman"/>
          <w:sz w:val="20"/>
        </w:rPr>
        <w:footnoteRef/>
      </w:r>
      <w:r w:rsidRPr="00D07ADC">
        <w:rPr>
          <w:lang w:val="de-DE"/>
        </w:rPr>
        <w:t xml:space="preserve"> Deutscher Schutzbund für das Grenz- und Auslandsdeutschtum.</w:t>
      </w:r>
    </w:p>
  </w:footnote>
  <w:footnote w:id="452">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K. Fiodor, </w:t>
      </w:r>
      <w:r w:rsidRPr="00D07ADC">
        <w:rPr>
          <w:i/>
        </w:rPr>
        <w:t>„Dyktat Wersalski</w:t>
      </w:r>
      <w:r w:rsidRPr="00D07ADC">
        <w:t>”</w:t>
      </w:r>
      <w:r w:rsidRPr="00D07ADC">
        <w:rPr>
          <w:i/>
        </w:rPr>
        <w:t>w propagandzie Republiki Weimarskiej</w:t>
      </w:r>
      <w:r w:rsidRPr="00D07ADC">
        <w:t xml:space="preserve">, [w:] </w:t>
      </w:r>
      <w:r w:rsidRPr="00D07ADC">
        <w:rPr>
          <w:i/>
        </w:rPr>
        <w:t>Niemcy w polityce międzynarodowej</w:t>
      </w:r>
      <w:r w:rsidRPr="00D07ADC">
        <w:t xml:space="preserve">, t. I, s. 110; C. Fink, </w:t>
      </w:r>
      <w:r w:rsidRPr="00D07ADC">
        <w:rPr>
          <w:i/>
        </w:rPr>
        <w:t>Stresemanns</w:t>
      </w:r>
      <w:r w:rsidRPr="00D07ADC">
        <w:t>, s. 378 i n.</w:t>
      </w:r>
    </w:p>
  </w:footnote>
  <w:footnote w:id="453">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AAN, AB, sygn. 1586, k. 194 i n. (K. Olszowski do MSZ, Berlin, 2.12.25).</w:t>
      </w:r>
    </w:p>
  </w:footnote>
  <w:footnote w:id="454">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S. Sierpowski, </w:t>
      </w:r>
      <w:r w:rsidRPr="00D07ADC">
        <w:rPr>
          <w:i/>
        </w:rPr>
        <w:t>Narodziny Ligi Narodów</w:t>
      </w:r>
      <w:r w:rsidRPr="00D07ADC">
        <w:t>, s. 108 i n.</w:t>
      </w:r>
    </w:p>
  </w:footnote>
  <w:footnote w:id="455">
    <w:p w:rsidR="00942133" w:rsidRPr="00D07ADC" w:rsidRDefault="00942133" w:rsidP="001E5F63">
      <w:pPr>
        <w:pStyle w:val="Tekstprzypisudolnego"/>
        <w:spacing w:line="23" w:lineRule="atLeast"/>
        <w:ind w:firstLine="0"/>
        <w:contextualSpacing/>
        <w:rPr>
          <w:lang w:val="en-US"/>
        </w:rPr>
      </w:pPr>
      <w:r w:rsidRPr="00D07ADC">
        <w:rPr>
          <w:rStyle w:val="Odwoanieprzypisudolnego"/>
          <w:rFonts w:ascii="Times New Roman" w:hAnsi="Times New Roman"/>
          <w:sz w:val="20"/>
        </w:rPr>
        <w:footnoteRef/>
      </w:r>
      <w:r w:rsidRPr="00D07ADC">
        <w:rPr>
          <w:lang w:val="en-US"/>
        </w:rPr>
        <w:t xml:space="preserve"> A. Zimmern, </w:t>
      </w:r>
      <w:r w:rsidRPr="00D07ADC">
        <w:rPr>
          <w:i/>
          <w:lang w:val="en-US"/>
        </w:rPr>
        <w:t>The League of Nations and the Rule of Law</w:t>
      </w:r>
      <w:r w:rsidRPr="00D07ADC">
        <w:rPr>
          <w:lang w:val="en-US"/>
        </w:rPr>
        <w:t>, s. 4-5.</w:t>
      </w:r>
    </w:p>
  </w:footnote>
  <w:footnote w:id="456">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Cyt. za E. Bendiner, </w:t>
      </w:r>
      <w:r w:rsidRPr="00D07ADC">
        <w:rPr>
          <w:i/>
        </w:rPr>
        <w:t>Czas aniołów</w:t>
      </w:r>
      <w:r w:rsidRPr="00D07ADC">
        <w:t>, s. 189.</w:t>
      </w:r>
    </w:p>
  </w:footnote>
  <w:footnote w:id="457">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J. Kiwerska, </w:t>
      </w:r>
      <w:r w:rsidRPr="00D07ADC">
        <w:rPr>
          <w:i/>
        </w:rPr>
        <w:t>Między izolacjonizmem a zaangażowaniem</w:t>
      </w:r>
      <w:r w:rsidRPr="00D07ADC">
        <w:t>, s. 100 i n.</w:t>
      </w:r>
    </w:p>
  </w:footnote>
  <w:footnote w:id="458">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P. Schmidt, </w:t>
      </w:r>
      <w:r w:rsidRPr="00D07ADC">
        <w:rPr>
          <w:i/>
        </w:rPr>
        <w:t>Statysta</w:t>
      </w:r>
      <w:r w:rsidRPr="00D07ADC">
        <w:t>, s. 79.</w:t>
      </w:r>
    </w:p>
  </w:footnote>
  <w:footnote w:id="459">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J. de Launay, </w:t>
      </w:r>
      <w:r w:rsidRPr="00D07ADC">
        <w:rPr>
          <w:i/>
        </w:rPr>
        <w:t>Wielkie spory współczesności</w:t>
      </w:r>
      <w:r w:rsidRPr="00D07ADC">
        <w:t xml:space="preserve">, s. 139; E. Bendiner, </w:t>
      </w:r>
      <w:r w:rsidRPr="00D07ADC">
        <w:rPr>
          <w:i/>
        </w:rPr>
        <w:t>Czas aniołów</w:t>
      </w:r>
      <w:r w:rsidRPr="00D07ADC">
        <w:t>, s. 319.</w:t>
      </w:r>
    </w:p>
  </w:footnote>
  <w:footnote w:id="460">
    <w:p w:rsidR="00942133" w:rsidRPr="00D07ADC" w:rsidRDefault="00942133" w:rsidP="001E5F63">
      <w:pPr>
        <w:pStyle w:val="Tekstprzypisudolnego"/>
        <w:spacing w:line="23" w:lineRule="atLeast"/>
        <w:ind w:firstLine="0"/>
        <w:contextualSpacing/>
        <w:rPr>
          <w:lang w:val="fr-FR"/>
        </w:rPr>
      </w:pPr>
      <w:r w:rsidRPr="00D07ADC">
        <w:rPr>
          <w:rStyle w:val="Odwoanieprzypisudolnego"/>
          <w:rFonts w:ascii="Times New Roman" w:hAnsi="Times New Roman"/>
          <w:sz w:val="20"/>
        </w:rPr>
        <w:footnoteRef/>
      </w:r>
      <w:r w:rsidRPr="00D07ADC">
        <w:rPr>
          <w:lang w:val="fr-FR"/>
        </w:rPr>
        <w:t>J. O., Septième Assemblée, s. 52 i n.</w:t>
      </w:r>
    </w:p>
  </w:footnote>
  <w:footnote w:id="461">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Przygotowane menu nie było skromne, skoro zawierało auszpik z wątróbek, pstrąga w sosie błękitnym, kurczę à la Henryk IV, kaczkę z truflami duszone w porto, kuropatwę pieczoną na grzance, warzywa, zakąski, sery, owoce, wino – J. de Launay, </w:t>
      </w:r>
      <w:r w:rsidRPr="00D07ADC">
        <w:rPr>
          <w:i/>
        </w:rPr>
        <w:t>Wielkie spory</w:t>
      </w:r>
      <w:r w:rsidRPr="00D07ADC">
        <w:t>, s. 137.</w:t>
      </w:r>
    </w:p>
  </w:footnote>
  <w:footnote w:id="462">
    <w:p w:rsidR="00942133" w:rsidRPr="00D07ADC" w:rsidRDefault="00942133" w:rsidP="001E5F63">
      <w:pPr>
        <w:pStyle w:val="Tekstprzypisudolnego"/>
        <w:spacing w:line="23" w:lineRule="atLeast"/>
        <w:ind w:firstLine="0"/>
        <w:contextualSpacing/>
        <w:rPr>
          <w:lang w:val="de-DE"/>
        </w:rPr>
      </w:pPr>
      <w:r w:rsidRPr="00D07ADC">
        <w:rPr>
          <w:rStyle w:val="Odwoanieprzypisudolnego"/>
          <w:rFonts w:ascii="Times New Roman" w:hAnsi="Times New Roman"/>
          <w:sz w:val="20"/>
        </w:rPr>
        <w:footnoteRef/>
      </w:r>
      <w:r w:rsidRPr="00D07ADC">
        <w:rPr>
          <w:lang w:val="de-DE"/>
        </w:rPr>
        <w:t xml:space="preserve"> G. Stresemann, </w:t>
      </w:r>
      <w:r w:rsidRPr="00D07ADC">
        <w:rPr>
          <w:i/>
          <w:lang w:val="de-DE"/>
        </w:rPr>
        <w:t>Vermächtnis</w:t>
      </w:r>
      <w:r w:rsidRPr="00D07ADC">
        <w:rPr>
          <w:lang w:val="de-DE"/>
        </w:rPr>
        <w:t>, t. II, s. 535.</w:t>
      </w:r>
    </w:p>
  </w:footnote>
  <w:footnote w:id="463">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rPr>
          <w:lang w:val="fr-FR"/>
        </w:rPr>
        <w:t xml:space="preserve">ASDN, Fonds Martin. Conversations, vol. </w:t>
      </w:r>
      <w:r w:rsidRPr="00D07ADC">
        <w:t>II, 1927, s. 905; rozmowa 10 grudnia 1927 r.</w:t>
      </w:r>
    </w:p>
  </w:footnote>
  <w:footnote w:id="464">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S. Sierpowski, </w:t>
      </w:r>
      <w:r w:rsidRPr="00D07ADC">
        <w:rPr>
          <w:i/>
        </w:rPr>
        <w:t>Piłsudski w Genewie.Dyplomatyczne spory o Wilno w roku 1927</w:t>
      </w:r>
      <w:r w:rsidRPr="00D07ADC">
        <w:t>, Poznań 1990.</w:t>
      </w:r>
    </w:p>
  </w:footnote>
  <w:footnote w:id="465">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Z. Rudnicki, </w:t>
      </w:r>
      <w:r w:rsidRPr="00D07ADC">
        <w:rPr>
          <w:i/>
        </w:rPr>
        <w:t>Systemowe i doktrynalne determinanty w praktyce Ligi Narodów</w:t>
      </w:r>
      <w:r w:rsidRPr="00D07ADC">
        <w:t>, Kraków 2005, s. 222.</w:t>
      </w:r>
    </w:p>
  </w:footnote>
  <w:footnote w:id="466">
    <w:p w:rsidR="00942133" w:rsidRPr="00D07ADC" w:rsidRDefault="00942133" w:rsidP="001E5F63">
      <w:pPr>
        <w:pStyle w:val="Tekstprzypisudolnego"/>
        <w:spacing w:line="23" w:lineRule="atLeast"/>
        <w:ind w:firstLine="0"/>
        <w:contextualSpacing/>
        <w:rPr>
          <w:lang w:val="de-DE"/>
        </w:rPr>
      </w:pPr>
      <w:r w:rsidRPr="00D07ADC">
        <w:rPr>
          <w:rStyle w:val="Odwoanieprzypisudolnego"/>
          <w:rFonts w:ascii="Times New Roman" w:hAnsi="Times New Roman"/>
          <w:sz w:val="20"/>
        </w:rPr>
        <w:footnoteRef/>
      </w:r>
      <w:r w:rsidRPr="00D07ADC">
        <w:rPr>
          <w:lang w:val="de-DE"/>
        </w:rPr>
        <w:t xml:space="preserve"> G. Stresemann, </w:t>
      </w:r>
      <w:r w:rsidRPr="00D07ADC">
        <w:rPr>
          <w:i/>
          <w:lang w:val="de-DE"/>
        </w:rPr>
        <w:t>Vermächtnis</w:t>
      </w:r>
      <w:r w:rsidRPr="00D07ADC">
        <w:rPr>
          <w:lang w:val="de-DE"/>
        </w:rPr>
        <w:t>, t. II, s. 245.</w:t>
      </w:r>
    </w:p>
  </w:footnote>
  <w:footnote w:id="467">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A. Czubiński, </w:t>
      </w:r>
      <w:r w:rsidRPr="00D07ADC">
        <w:rPr>
          <w:i/>
        </w:rPr>
        <w:t>ZSRR i Niemcy w dobie Locarno</w:t>
      </w:r>
      <w:r w:rsidRPr="00D07ADC">
        <w:t>, Studia Historica Slavo-Germanica 18 (1994), s. 176 i n.</w:t>
      </w:r>
    </w:p>
  </w:footnote>
  <w:footnote w:id="468">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AAN, Delegacja RP, sygn. 157, k. 41 (Poseł J. Modzelewski do Pana Ministra, Berno 9 stycznia 1926).</w:t>
      </w:r>
    </w:p>
  </w:footnote>
  <w:footnote w:id="469">
    <w:p w:rsidR="00942133" w:rsidRPr="00D07ADC" w:rsidRDefault="00942133" w:rsidP="001E5F63">
      <w:pPr>
        <w:pStyle w:val="Tekstprzypisudolnego"/>
        <w:spacing w:line="23" w:lineRule="atLeast"/>
        <w:ind w:firstLine="0"/>
        <w:contextualSpacing/>
        <w:rPr>
          <w:lang w:val="de-DE"/>
        </w:rPr>
      </w:pPr>
      <w:r w:rsidRPr="00D07ADC">
        <w:rPr>
          <w:rStyle w:val="Odwoanieprzypisudolnego"/>
          <w:rFonts w:ascii="Times New Roman" w:hAnsi="Times New Roman"/>
          <w:sz w:val="20"/>
        </w:rPr>
        <w:footnoteRef/>
      </w:r>
      <w:r w:rsidRPr="00D07ADC">
        <w:rPr>
          <w:lang w:val="de-DE"/>
        </w:rPr>
        <w:t xml:space="preserve"> G. Stresemann, </w:t>
      </w:r>
      <w:r w:rsidRPr="00D07ADC">
        <w:rPr>
          <w:i/>
          <w:lang w:val="de-DE"/>
        </w:rPr>
        <w:t>Vermächtnis</w:t>
      </w:r>
      <w:r w:rsidRPr="00D07ADC">
        <w:rPr>
          <w:lang w:val="de-DE"/>
        </w:rPr>
        <w:t>, t. I, s. 528-529.</w:t>
      </w:r>
    </w:p>
  </w:footnote>
  <w:footnote w:id="470">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Problem ma wiele wątków, a zatem i olbrzymią literaturę zasilaną także przez autorów polskich, takich jak: Antoni Czubiński, Sergiusz Mikulicz, Leon Kiewisz, Jerzy Krasuski, Piotr Łossowski, Tomasz Paluszyński, Bernard Piotrowski, Andrzej Skrzypek, Marian Wojciechowski.</w:t>
      </w:r>
    </w:p>
  </w:footnote>
  <w:footnote w:id="471">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rPr>
          <w:lang w:val="en-US"/>
        </w:rPr>
        <w:t xml:space="preserve"> D. Crols, </w:t>
      </w:r>
      <w:r w:rsidRPr="00D07ADC">
        <w:rPr>
          <w:i/>
          <w:lang w:val="en-US"/>
        </w:rPr>
        <w:t>Old and new minorities on the international chessboard: from League to Union</w:t>
      </w:r>
      <w:r w:rsidRPr="00D07ADC">
        <w:rPr>
          <w:lang w:val="en-US"/>
        </w:rPr>
        <w:t xml:space="preserve">, [w:] </w:t>
      </w:r>
      <w:r>
        <w:rPr>
          <w:i/>
          <w:lang w:val="en-US"/>
        </w:rPr>
        <w:t>The Bal</w:t>
      </w:r>
      <w:r w:rsidRPr="00D07ADC">
        <w:rPr>
          <w:i/>
          <w:lang w:val="en-US"/>
        </w:rPr>
        <w:t>tic States and Their Region: New Europe or Old?</w:t>
      </w:r>
      <w:r w:rsidRPr="00D07ADC">
        <w:rPr>
          <w:lang w:val="en-US"/>
        </w:rPr>
        <w:t xml:space="preserve">, red. </w:t>
      </w:r>
      <w:r w:rsidRPr="00D07ADC">
        <w:t>D.J. Smith, Amsterdam 2005, s. 189 i n.</w:t>
      </w:r>
    </w:p>
  </w:footnote>
  <w:footnote w:id="472">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Cyt. za P. Madajczyk, </w:t>
      </w:r>
      <w:r w:rsidRPr="00D07ADC">
        <w:rPr>
          <w:i/>
        </w:rPr>
        <w:t>Polityka</w:t>
      </w:r>
      <w:r w:rsidRPr="00D07ADC">
        <w:t xml:space="preserve">, s. 159. Autor, rozwijając ten wątek, zauważa, że Stresemann (podobnie jak Bismarck) „nie był antypolski – nie widział tylko miejsca dla samodzielnego państwa polskiego między Rosją a Niemcami”. Owo „tylko” robi wielką różnicę, bo wskazuje dla Polaków miejsce analogiczne do np. Bawarczyków. Można by ten temat rozwijać, przywołując chociażby program Mitteleuropy. </w:t>
      </w:r>
    </w:p>
  </w:footnote>
  <w:footnote w:id="473">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A. Czubiński, </w:t>
      </w:r>
      <w:r w:rsidRPr="00D07ADC">
        <w:rPr>
          <w:i/>
        </w:rPr>
        <w:t>Rola decyzji lokarneńskich w niemieckich dążeniach do wyzwolenia się z więzów wersalskich</w:t>
      </w:r>
      <w:r w:rsidRPr="00D07ADC">
        <w:t xml:space="preserve">, [w:] tenże, </w:t>
      </w:r>
      <w:r w:rsidRPr="00D07ADC">
        <w:rPr>
          <w:i/>
        </w:rPr>
        <w:t>Studia ostatnie</w:t>
      </w:r>
      <w:r w:rsidRPr="00D07ADC">
        <w:t>, Poznań 2009, s. 71 i n.</w:t>
      </w:r>
    </w:p>
  </w:footnote>
  <w:footnote w:id="474">
    <w:p w:rsidR="00942133" w:rsidRPr="00D07ADC" w:rsidRDefault="00942133" w:rsidP="001E5F63">
      <w:pPr>
        <w:pStyle w:val="Tekstprzypisudolnego"/>
        <w:spacing w:line="23" w:lineRule="atLeast"/>
        <w:ind w:firstLine="0"/>
        <w:contextualSpacing/>
        <w:rPr>
          <w:lang w:val="de-DE"/>
        </w:rPr>
      </w:pPr>
      <w:r w:rsidRPr="00D07ADC">
        <w:rPr>
          <w:rStyle w:val="Odwoanieprzypisudolnego"/>
          <w:rFonts w:ascii="Times New Roman" w:hAnsi="Times New Roman"/>
          <w:sz w:val="20"/>
        </w:rPr>
        <w:footnoteRef/>
      </w:r>
      <w:r w:rsidRPr="00D07ADC">
        <w:rPr>
          <w:lang w:val="de-DE"/>
        </w:rPr>
        <w:t xml:space="preserve"> Akten zur deutschen Auswärtigen Politik, Series B. Bb II, 1, s. 86-89; cyt. za J. Krasuski,</w:t>
      </w:r>
      <w:r w:rsidRPr="00D07ADC">
        <w:rPr>
          <w:i/>
          <w:lang w:val="de-DE"/>
        </w:rPr>
        <w:t xml:space="preserve"> Stosunki</w:t>
      </w:r>
      <w:r w:rsidRPr="00D07ADC">
        <w:rPr>
          <w:lang w:val="de-DE"/>
        </w:rPr>
        <w:t>, s. 282.</w:t>
      </w:r>
    </w:p>
  </w:footnote>
  <w:footnote w:id="475">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R.N. Coudenhove-Kalergi, </w:t>
      </w:r>
      <w:r w:rsidRPr="00D07ADC">
        <w:rPr>
          <w:i/>
        </w:rPr>
        <w:t>Pan-Europa</w:t>
      </w:r>
      <w:r w:rsidRPr="00F869F1">
        <w:t xml:space="preserve">, </w:t>
      </w:r>
      <w:r w:rsidRPr="00D07ADC">
        <w:t xml:space="preserve">Wien 1923, s. 16, 32-34; K. Ruchniewicz, </w:t>
      </w:r>
      <w:r w:rsidRPr="00D07ADC">
        <w:rPr>
          <w:i/>
        </w:rPr>
        <w:t>Paneuropa hr. Richarda Coudenhove-Kalergiego a Polska</w:t>
      </w:r>
      <w:r w:rsidRPr="00D07ADC">
        <w:t xml:space="preserve">, [w:] </w:t>
      </w:r>
      <w:r w:rsidRPr="00D07ADC">
        <w:rPr>
          <w:i/>
        </w:rPr>
        <w:t>Polska wobec idei integracji europejskiej w latach 1918-1945</w:t>
      </w:r>
      <w:r w:rsidRPr="00D07ADC">
        <w:t>, red. M. Wojciechowski, Toruń 2000, s. 45 i n.</w:t>
      </w:r>
    </w:p>
  </w:footnote>
  <w:footnote w:id="476">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L. Hass, </w:t>
      </w:r>
      <w:r w:rsidRPr="00D07ADC">
        <w:rPr>
          <w:i/>
        </w:rPr>
        <w:t>Wolnomularstwo a faszyzm we Włoszech</w:t>
      </w:r>
      <w:r w:rsidRPr="00D07ADC">
        <w:t xml:space="preserve">, Przegląd Historyczny 66 (1975), z. 1, s. 104 i n.; tegoż, </w:t>
      </w:r>
      <w:r w:rsidRPr="00D07ADC">
        <w:rPr>
          <w:i/>
        </w:rPr>
        <w:t>Ambicje, rachuby</w:t>
      </w:r>
      <w:r w:rsidRPr="00D07ADC">
        <w:t>, s. 190 i n.</w:t>
      </w:r>
    </w:p>
  </w:footnote>
  <w:footnote w:id="477">
    <w:p w:rsidR="00942133" w:rsidRPr="00D07ADC" w:rsidRDefault="00942133" w:rsidP="001E5F63">
      <w:pPr>
        <w:pStyle w:val="Tekstprzypisudolnego"/>
        <w:spacing w:line="23" w:lineRule="atLeast"/>
        <w:ind w:firstLine="0"/>
        <w:contextualSpacing/>
        <w:rPr>
          <w:lang w:val="de-DE"/>
        </w:rPr>
      </w:pPr>
      <w:r w:rsidRPr="00D07ADC">
        <w:rPr>
          <w:rStyle w:val="Odwoanieprzypisudolnego"/>
          <w:rFonts w:ascii="Times New Roman" w:hAnsi="Times New Roman"/>
          <w:sz w:val="20"/>
        </w:rPr>
        <w:footnoteRef/>
      </w:r>
      <w:r w:rsidRPr="00D07ADC">
        <w:rPr>
          <w:lang w:val="de-DE"/>
        </w:rPr>
        <w:t xml:space="preserve"> A. Lednicki, </w:t>
      </w:r>
      <w:r w:rsidRPr="00D07ADC">
        <w:rPr>
          <w:i/>
          <w:lang w:val="de-DE"/>
        </w:rPr>
        <w:t>Der polnische Standpunkt in der Korridorfrage</w:t>
      </w:r>
      <w:r w:rsidRPr="00D07ADC">
        <w:rPr>
          <w:lang w:val="de-DE"/>
        </w:rPr>
        <w:t xml:space="preserve">, Paneuropa 1927, nr 2, s. 17; K. Ruchniewicz, </w:t>
      </w:r>
      <w:r w:rsidRPr="00D07ADC">
        <w:rPr>
          <w:i/>
          <w:lang w:val="de-DE"/>
        </w:rPr>
        <w:t>Paneuropa</w:t>
      </w:r>
      <w:r w:rsidRPr="00D07ADC">
        <w:rPr>
          <w:lang w:val="de-DE"/>
        </w:rPr>
        <w:t>, s. 60.</w:t>
      </w:r>
    </w:p>
  </w:footnote>
  <w:footnote w:id="478">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K. Fiedor, </w:t>
      </w:r>
      <w:r w:rsidRPr="00D07ADC">
        <w:rPr>
          <w:i/>
        </w:rPr>
        <w:t>Niemieckie plany integracji Europy na tle zachodnioeuropejskich doktryn zjednoczeniowych 1918</w:t>
      </w:r>
      <w:r>
        <w:rPr>
          <w:i/>
        </w:rPr>
        <w:t>-</w:t>
      </w:r>
      <w:r w:rsidRPr="00D07ADC">
        <w:rPr>
          <w:i/>
        </w:rPr>
        <w:t>1945</w:t>
      </w:r>
      <w:r w:rsidRPr="00D07ADC">
        <w:t xml:space="preserve">, Wrocław 1991; A. Barabasz, </w:t>
      </w:r>
      <w:r w:rsidRPr="00D07ADC">
        <w:rPr>
          <w:i/>
        </w:rPr>
        <w:t>Polska wobec idei integracji europejskiej w latach 1915</w:t>
      </w:r>
      <w:r>
        <w:rPr>
          <w:i/>
        </w:rPr>
        <w:t>-</w:t>
      </w:r>
      <w:r w:rsidRPr="00D07ADC">
        <w:rPr>
          <w:i/>
        </w:rPr>
        <w:t>1957</w:t>
      </w:r>
      <w:r w:rsidRPr="00D07ADC">
        <w:t>, Toruń 2008.</w:t>
      </w:r>
    </w:p>
  </w:footnote>
  <w:footnote w:id="479">
    <w:p w:rsidR="00942133" w:rsidRPr="00D07ADC" w:rsidRDefault="00942133" w:rsidP="001E5F63">
      <w:pPr>
        <w:spacing w:line="23" w:lineRule="atLeast"/>
        <w:ind w:firstLine="0"/>
        <w:contextualSpacing/>
        <w:rPr>
          <w:sz w:val="20"/>
          <w:szCs w:val="20"/>
          <w:lang w:val="fr-FR"/>
        </w:rPr>
      </w:pPr>
      <w:r w:rsidRPr="00D07ADC">
        <w:rPr>
          <w:rStyle w:val="Odwoanieprzypisudolnego"/>
          <w:rFonts w:ascii="Times New Roman" w:hAnsi="Times New Roman"/>
          <w:sz w:val="20"/>
          <w:szCs w:val="20"/>
        </w:rPr>
        <w:footnoteRef/>
      </w:r>
      <w:r w:rsidRPr="00D07ADC">
        <w:rPr>
          <w:sz w:val="20"/>
          <w:szCs w:val="20"/>
        </w:rPr>
        <w:t xml:space="preserve"> Viktor Hugo wypowiadał się w tym duchu wielokrotnie, m.in. w Zgromadzeniu Narodowym 1 marca 1871 r.</w:t>
      </w:r>
      <w:r>
        <w:rPr>
          <w:sz w:val="20"/>
          <w:szCs w:val="20"/>
        </w:rPr>
        <w:t>,</w:t>
      </w:r>
      <w:r w:rsidRPr="00D07ADC">
        <w:rPr>
          <w:sz w:val="20"/>
          <w:szCs w:val="20"/>
        </w:rPr>
        <w:t xml:space="preserve"> gdzie mówił także o pojednaniu z Niemcami: „</w:t>
      </w:r>
      <w:r w:rsidRPr="00D07ADC">
        <w:rPr>
          <w:iCs/>
          <w:sz w:val="20"/>
          <w:szCs w:val="20"/>
        </w:rPr>
        <w:t>Żadnych granic! Ren dla wszystkich! Bądźmy jedną Republiką, bądźmy Stanami Zjednoczonymi Europy, bądźmy kontynentalną federacją, wolnością europejską, bądźmy pokojem światowym!”</w:t>
      </w:r>
      <w:r w:rsidRPr="00D07ADC">
        <w:rPr>
          <w:sz w:val="20"/>
          <w:szCs w:val="20"/>
        </w:rPr>
        <w:t xml:space="preserve"> – zob. </w:t>
      </w:r>
      <w:r w:rsidRPr="00D07ADC">
        <w:rPr>
          <w:sz w:val="20"/>
          <w:szCs w:val="20"/>
          <w:lang w:val="fr-FR"/>
        </w:rPr>
        <w:t xml:space="preserve">F. Wilhelm, </w:t>
      </w:r>
      <w:r w:rsidRPr="00D07ADC">
        <w:rPr>
          <w:i/>
          <w:iCs/>
          <w:sz w:val="20"/>
          <w:szCs w:val="20"/>
          <w:lang w:val="fr-FR"/>
        </w:rPr>
        <w:t>Victor Hugo et l’Idée des États-Unis d’Europe</w:t>
      </w:r>
      <w:r w:rsidRPr="00D07ADC">
        <w:rPr>
          <w:sz w:val="20"/>
          <w:szCs w:val="20"/>
          <w:lang w:val="fr-FR"/>
        </w:rPr>
        <w:t>, Luxembourg 2000.</w:t>
      </w:r>
    </w:p>
  </w:footnote>
  <w:footnote w:id="480">
    <w:p w:rsidR="00942133" w:rsidRPr="00D07ADC" w:rsidRDefault="00942133" w:rsidP="001E5F63">
      <w:pPr>
        <w:pStyle w:val="Tekstprzypisudolnego"/>
        <w:spacing w:line="23" w:lineRule="atLeast"/>
        <w:ind w:firstLine="0"/>
        <w:contextualSpacing/>
        <w:rPr>
          <w:lang w:val="de-DE"/>
        </w:rPr>
      </w:pPr>
      <w:r w:rsidRPr="00D07ADC">
        <w:rPr>
          <w:rStyle w:val="Odwoanieprzypisudolnego"/>
          <w:rFonts w:ascii="Times New Roman" w:hAnsi="Times New Roman"/>
          <w:sz w:val="20"/>
        </w:rPr>
        <w:footnoteRef/>
      </w:r>
      <w:r w:rsidRPr="00D07ADC">
        <w:rPr>
          <w:lang w:val="de-DE"/>
        </w:rPr>
        <w:t xml:space="preserve"> J. Wintzer, </w:t>
      </w:r>
      <w:r w:rsidRPr="00D07ADC">
        <w:rPr>
          <w:i/>
          <w:lang w:val="de-DE"/>
        </w:rPr>
        <w:t>Deutschland und der Völkerbund</w:t>
      </w:r>
      <w:r w:rsidRPr="00D07ADC">
        <w:rPr>
          <w:lang w:val="de-DE"/>
        </w:rPr>
        <w:t>, s. 347 i n.</w:t>
      </w:r>
    </w:p>
  </w:footnote>
  <w:footnote w:id="481">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F. Walters, </w:t>
      </w:r>
      <w:r w:rsidRPr="00D07ADC">
        <w:rPr>
          <w:i/>
        </w:rPr>
        <w:t>A History</w:t>
      </w:r>
      <w:r w:rsidRPr="00D07ADC">
        <w:t xml:space="preserve">, s. 55; autor nie poświęca art. 19 specjalnej uwagi, podobnie jak R. Cecil, </w:t>
      </w:r>
      <w:r w:rsidRPr="00D07ADC">
        <w:rPr>
          <w:i/>
        </w:rPr>
        <w:t>A Great Experiment</w:t>
      </w:r>
      <w:r w:rsidRPr="00D07ADC">
        <w:t>, s. 78 i n.</w:t>
      </w:r>
    </w:p>
  </w:footnote>
  <w:footnote w:id="482">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Szerzej S. Sierpowski, </w:t>
      </w:r>
      <w:r w:rsidRPr="00D07ADC">
        <w:rPr>
          <w:i/>
        </w:rPr>
        <w:t>Narodziny Ligi Narodów</w:t>
      </w:r>
      <w:r w:rsidRPr="00D07ADC">
        <w:t xml:space="preserve">, s. 113 i n.; B. Bülow, </w:t>
      </w:r>
      <w:r w:rsidRPr="00D07ADC">
        <w:rPr>
          <w:i/>
        </w:rPr>
        <w:t>Der Versailler Völkerbund</w:t>
      </w:r>
      <w:r w:rsidRPr="00D07ADC">
        <w:t>, s. 293 i n.</w:t>
      </w:r>
    </w:p>
  </w:footnote>
  <w:footnote w:id="483">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A. Klafkowski (</w:t>
      </w:r>
      <w:r w:rsidRPr="00D07ADC">
        <w:rPr>
          <w:i/>
        </w:rPr>
        <w:t>Prawo międzynarodowe publiczne</w:t>
      </w:r>
      <w:r w:rsidRPr="00D07ADC">
        <w:t>, Warszawa 1966, s. 293) sens art. 19 sprowadził do „weryfikacji akt</w:t>
      </w:r>
      <w:r>
        <w:t>ualności umów międzynarodowych […]</w:t>
      </w:r>
      <w:r w:rsidRPr="00D07ADC">
        <w:t>, które straciły aktualność, jakkolwiek teoretycznie jeszcze obowiązują”. Na moją wątpliwość odnośnie</w:t>
      </w:r>
      <w:r>
        <w:t xml:space="preserve"> do</w:t>
      </w:r>
      <w:r w:rsidRPr="00D07ADC">
        <w:t xml:space="preserve"> tak bardzo zawężonej interpretacji art. 19 Paktu prof. A. Klafkowski, który traktował mnie z dużą życzliwością, uciął rozmowę: „trzeba było zająć jednoznaczne stanowisko, a na głupawe spory w syntezie nie ma miejsca”. </w:t>
      </w:r>
    </w:p>
  </w:footnote>
  <w:footnote w:id="484">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G. Stresemann, </w:t>
      </w:r>
      <w:r w:rsidRPr="00D07ADC">
        <w:rPr>
          <w:i/>
        </w:rPr>
        <w:t>Vermächtnis</w:t>
      </w:r>
      <w:r w:rsidRPr="00D07ADC">
        <w:t xml:space="preserve">, t. II, s. 69 i 221; J. Krasuski, </w:t>
      </w:r>
      <w:r w:rsidRPr="00D07ADC">
        <w:rPr>
          <w:i/>
        </w:rPr>
        <w:t>Stosunki polsko-niemieckie</w:t>
      </w:r>
      <w:r w:rsidRPr="00D07ADC">
        <w:t>, s. 231.</w:t>
      </w:r>
    </w:p>
  </w:footnote>
  <w:footnote w:id="485">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P. Łossowski, </w:t>
      </w:r>
      <w:r w:rsidRPr="00D07ADC">
        <w:rPr>
          <w:i/>
        </w:rPr>
        <w:t>Stosunki polsko-litewskie 1921-1939</w:t>
      </w:r>
      <w:r w:rsidRPr="00D07ADC">
        <w:t xml:space="preserve">, Warszawa 1997, s. 95 i n.; S. Sierpowski, </w:t>
      </w:r>
      <w:r w:rsidRPr="00D07ADC">
        <w:rPr>
          <w:i/>
        </w:rPr>
        <w:t>Propolska inicjatywa lewicowej emigracji litewskiej w 1927 r</w:t>
      </w:r>
      <w:r>
        <w:t>.</w:t>
      </w:r>
      <w:r w:rsidRPr="00D07ADC">
        <w:t xml:space="preserve"> [w:] </w:t>
      </w:r>
      <w:r w:rsidRPr="00D07ADC">
        <w:rPr>
          <w:i/>
        </w:rPr>
        <w:t>Historia i polityka. Studia i rozprawy</w:t>
      </w:r>
      <w:r w:rsidRPr="00D07ADC">
        <w:t>, red. R. Szaflik, Pułtusk 2004, s. 63 i n.</w:t>
      </w:r>
    </w:p>
  </w:footnote>
  <w:footnote w:id="486">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A. Czubiński, </w:t>
      </w:r>
      <w:r w:rsidRPr="00D07ADC">
        <w:rPr>
          <w:i/>
        </w:rPr>
        <w:t>Przewrót majowy 1926 roku</w:t>
      </w:r>
      <w:r w:rsidRPr="00D07ADC">
        <w:t xml:space="preserve">, Warszawa 1989, s. 239 i n.; A. Garlicki, </w:t>
      </w:r>
      <w:r w:rsidRPr="00D07ADC">
        <w:rPr>
          <w:i/>
        </w:rPr>
        <w:t>Przewrót majowy</w:t>
      </w:r>
      <w:r w:rsidRPr="00D07ADC">
        <w:t>, Warszawa 1983.</w:t>
      </w:r>
    </w:p>
  </w:footnote>
  <w:footnote w:id="487">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S. Mikos, </w:t>
      </w:r>
      <w:r>
        <w:rPr>
          <w:i/>
        </w:rPr>
        <w:t>Wolne Miasto Gdańsk</w:t>
      </w:r>
      <w:r w:rsidRPr="00D07ADC">
        <w:t xml:space="preserve">, s. 119 i n.; M. Wojciechowski, </w:t>
      </w:r>
      <w:r w:rsidRPr="00D07ADC">
        <w:rPr>
          <w:i/>
        </w:rPr>
        <w:t>Okiem historyka. Warszawa, Berlin, Bonn 1918-1981</w:t>
      </w:r>
      <w:r w:rsidRPr="00D07ADC">
        <w:t>, Łódź1989, s. 111 i n.</w:t>
      </w:r>
    </w:p>
  </w:footnote>
  <w:footnote w:id="488">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W. Balcerak</w:t>
      </w:r>
      <w:r w:rsidRPr="00D07ADC">
        <w:rPr>
          <w:i/>
        </w:rPr>
        <w:t>, Liga Narodów</w:t>
      </w:r>
      <w:r w:rsidRPr="00D07ADC">
        <w:t>, s. 109.</w:t>
      </w:r>
    </w:p>
  </w:footnote>
  <w:footnote w:id="489">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G. Labuda, </w:t>
      </w:r>
      <w:r w:rsidRPr="00D07ADC">
        <w:rPr>
          <w:i/>
        </w:rPr>
        <w:t>Polska granica zachodnia</w:t>
      </w:r>
      <w:r w:rsidRPr="00D07ADC">
        <w:t>, s. 249-250.</w:t>
      </w:r>
    </w:p>
  </w:footnote>
  <w:footnote w:id="490">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S. Sierpowski, </w:t>
      </w:r>
      <w:r w:rsidRPr="00D07ADC">
        <w:rPr>
          <w:i/>
        </w:rPr>
        <w:t>Źródła</w:t>
      </w:r>
      <w:r w:rsidRPr="00D07ADC">
        <w:t>, t. I, s. 564-565.</w:t>
      </w:r>
    </w:p>
  </w:footnote>
  <w:footnote w:id="491">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A. Zaleski, </w:t>
      </w:r>
      <w:r w:rsidRPr="00D07ADC">
        <w:rPr>
          <w:i/>
        </w:rPr>
        <w:t>Przemowy i deklaracje</w:t>
      </w:r>
      <w:r w:rsidRPr="00D07ADC">
        <w:t>, Warszawa 1929, s. 61.</w:t>
      </w:r>
    </w:p>
  </w:footnote>
  <w:footnote w:id="492">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t xml:space="preserve"> Obszerniej J. Krasuski, </w:t>
      </w:r>
      <w:r w:rsidRPr="00D07ADC">
        <w:rPr>
          <w:i/>
        </w:rPr>
        <w:t>Stosunki polsko-niemieckie</w:t>
      </w:r>
      <w:r w:rsidRPr="00D07ADC">
        <w:t>, s. 274 i n.</w:t>
      </w:r>
    </w:p>
  </w:footnote>
  <w:footnote w:id="493">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rPr>
          <w:i/>
        </w:rPr>
        <w:t xml:space="preserve">Polska polityka zagraniczna w latach 1926-1939 </w:t>
      </w:r>
      <w:r w:rsidRPr="00D07ADC">
        <w:t>[wydrukowano błędnie, powinno być 1932]</w:t>
      </w:r>
      <w:r>
        <w:t>.</w:t>
      </w:r>
      <w:r w:rsidRPr="00F869F1">
        <w:rPr>
          <w:i/>
        </w:rPr>
        <w:t>N</w:t>
      </w:r>
      <w:r w:rsidRPr="00D07ADC">
        <w:rPr>
          <w:i/>
        </w:rPr>
        <w:t>a podstawie tekstów min. Józefa Becka</w:t>
      </w:r>
      <w:r w:rsidRPr="00F869F1">
        <w:t xml:space="preserve">, </w:t>
      </w:r>
      <w:r>
        <w:t>oprac.A.M. Cienciała, Paryż</w:t>
      </w:r>
      <w:r w:rsidRPr="00D07ADC">
        <w:t xml:space="preserve"> 1990, s. 50-51.</w:t>
      </w:r>
    </w:p>
  </w:footnote>
  <w:footnote w:id="494">
    <w:p w:rsidR="00942133" w:rsidRPr="00D07ADC" w:rsidRDefault="00942133" w:rsidP="001E5F63">
      <w:pPr>
        <w:pStyle w:val="Tekstprzypisudolnego"/>
        <w:spacing w:line="23" w:lineRule="atLeast"/>
        <w:ind w:firstLine="0"/>
        <w:contextualSpacing/>
      </w:pPr>
      <w:r w:rsidRPr="00D07ADC">
        <w:rPr>
          <w:rStyle w:val="Odwoanieprzypisudolnego"/>
          <w:rFonts w:ascii="Times New Roman" w:hAnsi="Times New Roman"/>
          <w:sz w:val="20"/>
        </w:rPr>
        <w:footnoteRef/>
      </w:r>
      <w:r w:rsidRPr="00D07ADC">
        <w:rPr>
          <w:color w:val="000000"/>
        </w:rPr>
        <w:t xml:space="preserve">K. Rose, </w:t>
      </w:r>
      <w:r w:rsidRPr="00D07ADC">
        <w:rPr>
          <w:i/>
          <w:color w:val="000000"/>
        </w:rPr>
        <w:t>Po wejściu Niemiec do Ligi Narodów</w:t>
      </w:r>
      <w:r w:rsidRPr="00D07ADC">
        <w:rPr>
          <w:color w:val="000000"/>
        </w:rPr>
        <w:t>, Przegląd Polityczny5 (1926), s. 6/7.</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E1E21AD0"/>
    <w:lvl w:ilvl="0">
      <w:start w:val="1"/>
      <w:numFmt w:val="decimal"/>
      <w:lvlText w:val="%1."/>
      <w:lvlJc w:val="left"/>
      <w:pPr>
        <w:tabs>
          <w:tab w:val="num" w:pos="1492"/>
        </w:tabs>
        <w:ind w:left="1492" w:hanging="360"/>
      </w:pPr>
    </w:lvl>
  </w:abstractNum>
  <w:abstractNum w:abstractNumId="1">
    <w:nsid w:val="FFFFFF7D"/>
    <w:multiLevelType w:val="singleLevel"/>
    <w:tmpl w:val="AEAEC10A"/>
    <w:lvl w:ilvl="0">
      <w:start w:val="1"/>
      <w:numFmt w:val="decimal"/>
      <w:lvlText w:val="%1."/>
      <w:lvlJc w:val="left"/>
      <w:pPr>
        <w:tabs>
          <w:tab w:val="num" w:pos="1209"/>
        </w:tabs>
        <w:ind w:left="1209" w:hanging="360"/>
      </w:pPr>
    </w:lvl>
  </w:abstractNum>
  <w:abstractNum w:abstractNumId="2">
    <w:nsid w:val="FFFFFF7E"/>
    <w:multiLevelType w:val="singleLevel"/>
    <w:tmpl w:val="C952077A"/>
    <w:lvl w:ilvl="0">
      <w:start w:val="1"/>
      <w:numFmt w:val="decimal"/>
      <w:lvlText w:val="%1."/>
      <w:lvlJc w:val="left"/>
      <w:pPr>
        <w:tabs>
          <w:tab w:val="num" w:pos="926"/>
        </w:tabs>
        <w:ind w:left="926" w:hanging="360"/>
      </w:pPr>
    </w:lvl>
  </w:abstractNum>
  <w:abstractNum w:abstractNumId="3">
    <w:nsid w:val="FFFFFF7F"/>
    <w:multiLevelType w:val="singleLevel"/>
    <w:tmpl w:val="B5F4CAC6"/>
    <w:lvl w:ilvl="0">
      <w:start w:val="1"/>
      <w:numFmt w:val="decimal"/>
      <w:lvlText w:val="%1."/>
      <w:lvlJc w:val="left"/>
      <w:pPr>
        <w:tabs>
          <w:tab w:val="num" w:pos="643"/>
        </w:tabs>
        <w:ind w:left="643" w:hanging="360"/>
      </w:pPr>
    </w:lvl>
  </w:abstractNum>
  <w:abstractNum w:abstractNumId="4">
    <w:nsid w:val="FFFFFF80"/>
    <w:multiLevelType w:val="singleLevel"/>
    <w:tmpl w:val="199CEDC8"/>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1C6CA240"/>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2C8EB3AC"/>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F46C63A8"/>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4F9CAC40"/>
    <w:lvl w:ilvl="0">
      <w:start w:val="1"/>
      <w:numFmt w:val="decimal"/>
      <w:lvlText w:val="%1."/>
      <w:lvlJc w:val="left"/>
      <w:pPr>
        <w:tabs>
          <w:tab w:val="num" w:pos="360"/>
        </w:tabs>
        <w:ind w:left="360" w:hanging="360"/>
      </w:pPr>
    </w:lvl>
  </w:abstractNum>
  <w:abstractNum w:abstractNumId="9">
    <w:nsid w:val="FFFFFF89"/>
    <w:multiLevelType w:val="singleLevel"/>
    <w:tmpl w:val="32D8E1A4"/>
    <w:lvl w:ilvl="0">
      <w:start w:val="1"/>
      <w:numFmt w:val="bullet"/>
      <w:lvlText w:val=""/>
      <w:lvlJc w:val="left"/>
      <w:pPr>
        <w:tabs>
          <w:tab w:val="num" w:pos="360"/>
        </w:tabs>
        <w:ind w:left="360" w:hanging="360"/>
      </w:pPr>
      <w:rPr>
        <w:rFonts w:ascii="Symbol" w:hAnsi="Symbol" w:hint="default"/>
      </w:rPr>
    </w:lvl>
  </w:abstractNum>
  <w:abstractNum w:abstractNumId="10">
    <w:nsid w:val="16DE6696"/>
    <w:multiLevelType w:val="hybridMultilevel"/>
    <w:tmpl w:val="23CED89E"/>
    <w:lvl w:ilvl="0" w:tplc="AC8C0E68">
      <w:start w:val="10"/>
      <w:numFmt w:val="bullet"/>
      <w:lvlText w:val="-"/>
      <w:lvlJc w:val="left"/>
      <w:pPr>
        <w:ind w:left="1211" w:hanging="360"/>
      </w:pPr>
      <w:rPr>
        <w:rFonts w:ascii="Times New Roman" w:eastAsia="Times New Roman" w:hAnsi="Times New Roman" w:cs="Times New Roman" w:hint="default"/>
        <w:i/>
      </w:rPr>
    </w:lvl>
    <w:lvl w:ilvl="1" w:tplc="04150003" w:tentative="1">
      <w:start w:val="1"/>
      <w:numFmt w:val="bullet"/>
      <w:lvlText w:val="o"/>
      <w:lvlJc w:val="left"/>
      <w:pPr>
        <w:ind w:left="1931" w:hanging="360"/>
      </w:pPr>
      <w:rPr>
        <w:rFonts w:ascii="Courier New" w:hAnsi="Courier New" w:cs="Courier New" w:hint="default"/>
      </w:rPr>
    </w:lvl>
    <w:lvl w:ilvl="2" w:tplc="04150005" w:tentative="1">
      <w:start w:val="1"/>
      <w:numFmt w:val="bullet"/>
      <w:lvlText w:val=""/>
      <w:lvlJc w:val="left"/>
      <w:pPr>
        <w:ind w:left="2651" w:hanging="360"/>
      </w:pPr>
      <w:rPr>
        <w:rFonts w:ascii="Wingdings" w:hAnsi="Wingdings" w:hint="default"/>
      </w:rPr>
    </w:lvl>
    <w:lvl w:ilvl="3" w:tplc="04150001" w:tentative="1">
      <w:start w:val="1"/>
      <w:numFmt w:val="bullet"/>
      <w:lvlText w:val=""/>
      <w:lvlJc w:val="left"/>
      <w:pPr>
        <w:ind w:left="3371" w:hanging="360"/>
      </w:pPr>
      <w:rPr>
        <w:rFonts w:ascii="Symbol" w:hAnsi="Symbol" w:hint="default"/>
      </w:rPr>
    </w:lvl>
    <w:lvl w:ilvl="4" w:tplc="04150003" w:tentative="1">
      <w:start w:val="1"/>
      <w:numFmt w:val="bullet"/>
      <w:lvlText w:val="o"/>
      <w:lvlJc w:val="left"/>
      <w:pPr>
        <w:ind w:left="4091" w:hanging="360"/>
      </w:pPr>
      <w:rPr>
        <w:rFonts w:ascii="Courier New" w:hAnsi="Courier New" w:cs="Courier New" w:hint="default"/>
      </w:rPr>
    </w:lvl>
    <w:lvl w:ilvl="5" w:tplc="04150005" w:tentative="1">
      <w:start w:val="1"/>
      <w:numFmt w:val="bullet"/>
      <w:lvlText w:val=""/>
      <w:lvlJc w:val="left"/>
      <w:pPr>
        <w:ind w:left="4811" w:hanging="360"/>
      </w:pPr>
      <w:rPr>
        <w:rFonts w:ascii="Wingdings" w:hAnsi="Wingdings" w:hint="default"/>
      </w:rPr>
    </w:lvl>
    <w:lvl w:ilvl="6" w:tplc="04150001" w:tentative="1">
      <w:start w:val="1"/>
      <w:numFmt w:val="bullet"/>
      <w:lvlText w:val=""/>
      <w:lvlJc w:val="left"/>
      <w:pPr>
        <w:ind w:left="5531" w:hanging="360"/>
      </w:pPr>
      <w:rPr>
        <w:rFonts w:ascii="Symbol" w:hAnsi="Symbol" w:hint="default"/>
      </w:rPr>
    </w:lvl>
    <w:lvl w:ilvl="7" w:tplc="04150003" w:tentative="1">
      <w:start w:val="1"/>
      <w:numFmt w:val="bullet"/>
      <w:lvlText w:val="o"/>
      <w:lvlJc w:val="left"/>
      <w:pPr>
        <w:ind w:left="6251" w:hanging="360"/>
      </w:pPr>
      <w:rPr>
        <w:rFonts w:ascii="Courier New" w:hAnsi="Courier New" w:cs="Courier New" w:hint="default"/>
      </w:rPr>
    </w:lvl>
    <w:lvl w:ilvl="8" w:tplc="04150005" w:tentative="1">
      <w:start w:val="1"/>
      <w:numFmt w:val="bullet"/>
      <w:lvlText w:val=""/>
      <w:lvlJc w:val="left"/>
      <w:pPr>
        <w:ind w:left="6971" w:hanging="360"/>
      </w:pPr>
      <w:rPr>
        <w:rFonts w:ascii="Wingdings" w:hAnsi="Wingdings" w:hint="default"/>
      </w:rPr>
    </w:lvl>
  </w:abstractNum>
  <w:abstractNum w:abstractNumId="11">
    <w:nsid w:val="366879CA"/>
    <w:multiLevelType w:val="hybridMultilevel"/>
    <w:tmpl w:val="CF92B126"/>
    <w:lvl w:ilvl="0" w:tplc="A59A91E6">
      <w:start w:val="10"/>
      <w:numFmt w:val="bullet"/>
      <w:lvlText w:val="-"/>
      <w:lvlJc w:val="left"/>
      <w:pPr>
        <w:ind w:left="720" w:hanging="360"/>
      </w:pPr>
      <w:rPr>
        <w:rFonts w:ascii="Times New Roman" w:eastAsia="Times New Roman" w:hAnsi="Times New Roman"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
    <w:nsid w:val="76197CC3"/>
    <w:multiLevelType w:val="multilevel"/>
    <w:tmpl w:val="0000000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abstractNumId w:val="8"/>
  </w:num>
  <w:num w:numId="2">
    <w:abstractNumId w:val="3"/>
  </w:num>
  <w:num w:numId="3">
    <w:abstractNumId w:val="2"/>
  </w:num>
  <w:num w:numId="4">
    <w:abstractNumId w:val="1"/>
  </w:num>
  <w:num w:numId="5">
    <w:abstractNumId w:val="0"/>
  </w:num>
  <w:num w:numId="6">
    <w:abstractNumId w:val="9"/>
  </w:num>
  <w:num w:numId="7">
    <w:abstractNumId w:val="7"/>
  </w:num>
  <w:num w:numId="8">
    <w:abstractNumId w:val="6"/>
  </w:num>
  <w:num w:numId="9">
    <w:abstractNumId w:val="5"/>
  </w:num>
  <w:num w:numId="10">
    <w:abstractNumId w:val="4"/>
  </w:num>
  <w:num w:numId="11">
    <w:abstractNumId w:val="11"/>
  </w:num>
  <w:num w:numId="12">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defaultTabStop w:val="708"/>
  <w:hyphenationZone w:val="425"/>
  <w:drawingGridHorizontalSpacing w:val="120"/>
  <w:displayHorizontalDrawingGridEvery w:val="2"/>
  <w:characterSpacingControl w:val="doNotCompress"/>
  <w:footnotePr>
    <w:footnote w:id="0"/>
    <w:footnote w:id="1"/>
  </w:footnotePr>
  <w:endnotePr>
    <w:endnote w:id="0"/>
    <w:endnote w:id="1"/>
  </w:endnotePr>
  <w:compat/>
  <w:rsids>
    <w:rsidRoot w:val="002809F1"/>
    <w:rsid w:val="000007E8"/>
    <w:rsid w:val="00000FD1"/>
    <w:rsid w:val="000024D6"/>
    <w:rsid w:val="00003EA1"/>
    <w:rsid w:val="00004680"/>
    <w:rsid w:val="000070BE"/>
    <w:rsid w:val="00007ABD"/>
    <w:rsid w:val="00007FC5"/>
    <w:rsid w:val="000114D3"/>
    <w:rsid w:val="000114F1"/>
    <w:rsid w:val="0001186D"/>
    <w:rsid w:val="00013D28"/>
    <w:rsid w:val="000163BF"/>
    <w:rsid w:val="00016B08"/>
    <w:rsid w:val="000174F0"/>
    <w:rsid w:val="000205C6"/>
    <w:rsid w:val="00023F9E"/>
    <w:rsid w:val="000254E2"/>
    <w:rsid w:val="00025CAB"/>
    <w:rsid w:val="00027CA1"/>
    <w:rsid w:val="0003069E"/>
    <w:rsid w:val="00030A24"/>
    <w:rsid w:val="00030CDC"/>
    <w:rsid w:val="00031821"/>
    <w:rsid w:val="00031EDF"/>
    <w:rsid w:val="00035BC3"/>
    <w:rsid w:val="00036923"/>
    <w:rsid w:val="000405D2"/>
    <w:rsid w:val="00040EFD"/>
    <w:rsid w:val="0004117A"/>
    <w:rsid w:val="00042624"/>
    <w:rsid w:val="00043653"/>
    <w:rsid w:val="000437C3"/>
    <w:rsid w:val="00043CB1"/>
    <w:rsid w:val="000450C8"/>
    <w:rsid w:val="00045328"/>
    <w:rsid w:val="00046166"/>
    <w:rsid w:val="0004698D"/>
    <w:rsid w:val="0005142A"/>
    <w:rsid w:val="000517DA"/>
    <w:rsid w:val="0005349A"/>
    <w:rsid w:val="00053D3F"/>
    <w:rsid w:val="00062508"/>
    <w:rsid w:val="00065F3E"/>
    <w:rsid w:val="00066838"/>
    <w:rsid w:val="0006769A"/>
    <w:rsid w:val="00070FBE"/>
    <w:rsid w:val="000741D9"/>
    <w:rsid w:val="000766DE"/>
    <w:rsid w:val="000778C9"/>
    <w:rsid w:val="00077C5D"/>
    <w:rsid w:val="00077F41"/>
    <w:rsid w:val="00081AA8"/>
    <w:rsid w:val="000832D4"/>
    <w:rsid w:val="000838A5"/>
    <w:rsid w:val="000848E6"/>
    <w:rsid w:val="00085465"/>
    <w:rsid w:val="00085E5E"/>
    <w:rsid w:val="00093E3A"/>
    <w:rsid w:val="000A05AB"/>
    <w:rsid w:val="000A24E0"/>
    <w:rsid w:val="000A2A40"/>
    <w:rsid w:val="000A74A4"/>
    <w:rsid w:val="000B3F00"/>
    <w:rsid w:val="000B53FA"/>
    <w:rsid w:val="000B5E8D"/>
    <w:rsid w:val="000B7A9C"/>
    <w:rsid w:val="000B7F01"/>
    <w:rsid w:val="000C0D7B"/>
    <w:rsid w:val="000C5E78"/>
    <w:rsid w:val="000C6DEE"/>
    <w:rsid w:val="000C75F4"/>
    <w:rsid w:val="000C7938"/>
    <w:rsid w:val="000C799D"/>
    <w:rsid w:val="000C7ACE"/>
    <w:rsid w:val="000D28EF"/>
    <w:rsid w:val="000D2AED"/>
    <w:rsid w:val="000D2F32"/>
    <w:rsid w:val="000D4297"/>
    <w:rsid w:val="000D4582"/>
    <w:rsid w:val="000D5309"/>
    <w:rsid w:val="000D531D"/>
    <w:rsid w:val="000D72FC"/>
    <w:rsid w:val="000D7403"/>
    <w:rsid w:val="000E1960"/>
    <w:rsid w:val="000E1FED"/>
    <w:rsid w:val="000E467B"/>
    <w:rsid w:val="000E4964"/>
    <w:rsid w:val="000E54D2"/>
    <w:rsid w:val="000E5731"/>
    <w:rsid w:val="000E5849"/>
    <w:rsid w:val="000E6523"/>
    <w:rsid w:val="000E6AB8"/>
    <w:rsid w:val="000E7181"/>
    <w:rsid w:val="000F1A33"/>
    <w:rsid w:val="000F3948"/>
    <w:rsid w:val="000F3F88"/>
    <w:rsid w:val="000F486B"/>
    <w:rsid w:val="000F5EB6"/>
    <w:rsid w:val="000F64E5"/>
    <w:rsid w:val="000F713E"/>
    <w:rsid w:val="000F726C"/>
    <w:rsid w:val="000F7405"/>
    <w:rsid w:val="00100508"/>
    <w:rsid w:val="00100A06"/>
    <w:rsid w:val="001010DB"/>
    <w:rsid w:val="00101315"/>
    <w:rsid w:val="0010193E"/>
    <w:rsid w:val="00110AC3"/>
    <w:rsid w:val="00111348"/>
    <w:rsid w:val="0011653B"/>
    <w:rsid w:val="001176F6"/>
    <w:rsid w:val="00117B9D"/>
    <w:rsid w:val="00120371"/>
    <w:rsid w:val="00122B2B"/>
    <w:rsid w:val="00122B81"/>
    <w:rsid w:val="001245A9"/>
    <w:rsid w:val="0012469C"/>
    <w:rsid w:val="00125965"/>
    <w:rsid w:val="00126F7A"/>
    <w:rsid w:val="00131441"/>
    <w:rsid w:val="00132095"/>
    <w:rsid w:val="001322D7"/>
    <w:rsid w:val="00134DE5"/>
    <w:rsid w:val="00136E51"/>
    <w:rsid w:val="001371F7"/>
    <w:rsid w:val="00137C86"/>
    <w:rsid w:val="00141680"/>
    <w:rsid w:val="001430C2"/>
    <w:rsid w:val="001432E5"/>
    <w:rsid w:val="0014471D"/>
    <w:rsid w:val="001458DC"/>
    <w:rsid w:val="0014623F"/>
    <w:rsid w:val="00146791"/>
    <w:rsid w:val="00146D77"/>
    <w:rsid w:val="00146ECE"/>
    <w:rsid w:val="001545E2"/>
    <w:rsid w:val="00155992"/>
    <w:rsid w:val="001566B2"/>
    <w:rsid w:val="001617C6"/>
    <w:rsid w:val="0016334C"/>
    <w:rsid w:val="00164234"/>
    <w:rsid w:val="00164D91"/>
    <w:rsid w:val="00166F4D"/>
    <w:rsid w:val="00167772"/>
    <w:rsid w:val="00167DF5"/>
    <w:rsid w:val="00170738"/>
    <w:rsid w:val="00172848"/>
    <w:rsid w:val="00173B12"/>
    <w:rsid w:val="0017400A"/>
    <w:rsid w:val="00174833"/>
    <w:rsid w:val="00180F37"/>
    <w:rsid w:val="00181709"/>
    <w:rsid w:val="00183C07"/>
    <w:rsid w:val="00185656"/>
    <w:rsid w:val="00192163"/>
    <w:rsid w:val="00192BCB"/>
    <w:rsid w:val="0019382C"/>
    <w:rsid w:val="00194653"/>
    <w:rsid w:val="001947A7"/>
    <w:rsid w:val="001952ED"/>
    <w:rsid w:val="0019623A"/>
    <w:rsid w:val="00197AE1"/>
    <w:rsid w:val="001A2A10"/>
    <w:rsid w:val="001A6219"/>
    <w:rsid w:val="001A72D3"/>
    <w:rsid w:val="001B2D9F"/>
    <w:rsid w:val="001B34F0"/>
    <w:rsid w:val="001B5BF7"/>
    <w:rsid w:val="001C0601"/>
    <w:rsid w:val="001C1682"/>
    <w:rsid w:val="001C4406"/>
    <w:rsid w:val="001C5DCA"/>
    <w:rsid w:val="001C776D"/>
    <w:rsid w:val="001C7A31"/>
    <w:rsid w:val="001D1BDB"/>
    <w:rsid w:val="001E38E5"/>
    <w:rsid w:val="001E391B"/>
    <w:rsid w:val="001E5176"/>
    <w:rsid w:val="001E5F63"/>
    <w:rsid w:val="001E7445"/>
    <w:rsid w:val="001F0F58"/>
    <w:rsid w:val="001F185B"/>
    <w:rsid w:val="001F1951"/>
    <w:rsid w:val="001F19E3"/>
    <w:rsid w:val="001F2EE7"/>
    <w:rsid w:val="001F3BC3"/>
    <w:rsid w:val="001F446E"/>
    <w:rsid w:val="001F4840"/>
    <w:rsid w:val="001F4DD1"/>
    <w:rsid w:val="001F6360"/>
    <w:rsid w:val="002001A2"/>
    <w:rsid w:val="00200677"/>
    <w:rsid w:val="0020203A"/>
    <w:rsid w:val="0020293D"/>
    <w:rsid w:val="00207208"/>
    <w:rsid w:val="0020790D"/>
    <w:rsid w:val="00210831"/>
    <w:rsid w:val="00210CDE"/>
    <w:rsid w:val="00211544"/>
    <w:rsid w:val="00212B99"/>
    <w:rsid w:val="00212E8E"/>
    <w:rsid w:val="00213BFE"/>
    <w:rsid w:val="00215AAF"/>
    <w:rsid w:val="00222733"/>
    <w:rsid w:val="002236B9"/>
    <w:rsid w:val="002237D9"/>
    <w:rsid w:val="00225747"/>
    <w:rsid w:val="0022600B"/>
    <w:rsid w:val="002263B9"/>
    <w:rsid w:val="002263F7"/>
    <w:rsid w:val="00227677"/>
    <w:rsid w:val="002302E3"/>
    <w:rsid w:val="00230530"/>
    <w:rsid w:val="002321BC"/>
    <w:rsid w:val="00236793"/>
    <w:rsid w:val="002367FD"/>
    <w:rsid w:val="002406A9"/>
    <w:rsid w:val="00241D7B"/>
    <w:rsid w:val="00242B1B"/>
    <w:rsid w:val="00244388"/>
    <w:rsid w:val="00244A03"/>
    <w:rsid w:val="002465B6"/>
    <w:rsid w:val="002466A6"/>
    <w:rsid w:val="002468D5"/>
    <w:rsid w:val="00246D59"/>
    <w:rsid w:val="00247492"/>
    <w:rsid w:val="0025042F"/>
    <w:rsid w:val="00250C8F"/>
    <w:rsid w:val="00250D89"/>
    <w:rsid w:val="00250DA2"/>
    <w:rsid w:val="00252399"/>
    <w:rsid w:val="00252495"/>
    <w:rsid w:val="00252D83"/>
    <w:rsid w:val="00253A6C"/>
    <w:rsid w:val="002573B4"/>
    <w:rsid w:val="00263C46"/>
    <w:rsid w:val="00263F07"/>
    <w:rsid w:val="0026699B"/>
    <w:rsid w:val="00272079"/>
    <w:rsid w:val="00272FD2"/>
    <w:rsid w:val="00273B13"/>
    <w:rsid w:val="00274540"/>
    <w:rsid w:val="002748A6"/>
    <w:rsid w:val="00274EC6"/>
    <w:rsid w:val="0027504B"/>
    <w:rsid w:val="00280678"/>
    <w:rsid w:val="002809F1"/>
    <w:rsid w:val="00281B86"/>
    <w:rsid w:val="00281DA4"/>
    <w:rsid w:val="00283647"/>
    <w:rsid w:val="002839B9"/>
    <w:rsid w:val="00283B78"/>
    <w:rsid w:val="0028664D"/>
    <w:rsid w:val="00286B72"/>
    <w:rsid w:val="00296F37"/>
    <w:rsid w:val="00297C47"/>
    <w:rsid w:val="002A3314"/>
    <w:rsid w:val="002A683C"/>
    <w:rsid w:val="002B0B8F"/>
    <w:rsid w:val="002B0D81"/>
    <w:rsid w:val="002B55B3"/>
    <w:rsid w:val="002B6216"/>
    <w:rsid w:val="002B70A6"/>
    <w:rsid w:val="002B777D"/>
    <w:rsid w:val="002C2AE8"/>
    <w:rsid w:val="002C3A59"/>
    <w:rsid w:val="002C7255"/>
    <w:rsid w:val="002D09EB"/>
    <w:rsid w:val="002D10FB"/>
    <w:rsid w:val="002D2465"/>
    <w:rsid w:val="002D27F9"/>
    <w:rsid w:val="002D2B20"/>
    <w:rsid w:val="002D3CE0"/>
    <w:rsid w:val="002D47C7"/>
    <w:rsid w:val="002D668D"/>
    <w:rsid w:val="002E0027"/>
    <w:rsid w:val="002E17E5"/>
    <w:rsid w:val="002E3BD5"/>
    <w:rsid w:val="002E3E08"/>
    <w:rsid w:val="002E56EE"/>
    <w:rsid w:val="002E60D9"/>
    <w:rsid w:val="002E6E53"/>
    <w:rsid w:val="002E707F"/>
    <w:rsid w:val="002F0673"/>
    <w:rsid w:val="002F11C8"/>
    <w:rsid w:val="002F2F5F"/>
    <w:rsid w:val="002F5343"/>
    <w:rsid w:val="002F5DF4"/>
    <w:rsid w:val="002F765A"/>
    <w:rsid w:val="003008B2"/>
    <w:rsid w:val="0030146F"/>
    <w:rsid w:val="003022BE"/>
    <w:rsid w:val="0030256A"/>
    <w:rsid w:val="00302F9A"/>
    <w:rsid w:val="00303C01"/>
    <w:rsid w:val="00304533"/>
    <w:rsid w:val="00304981"/>
    <w:rsid w:val="00304D01"/>
    <w:rsid w:val="00304FA7"/>
    <w:rsid w:val="00305E24"/>
    <w:rsid w:val="00305FFE"/>
    <w:rsid w:val="00310036"/>
    <w:rsid w:val="003100E9"/>
    <w:rsid w:val="003101A3"/>
    <w:rsid w:val="003130BD"/>
    <w:rsid w:val="00314494"/>
    <w:rsid w:val="00314D32"/>
    <w:rsid w:val="00315248"/>
    <w:rsid w:val="00315BF9"/>
    <w:rsid w:val="0032089C"/>
    <w:rsid w:val="00322719"/>
    <w:rsid w:val="00323263"/>
    <w:rsid w:val="003256A5"/>
    <w:rsid w:val="0033084A"/>
    <w:rsid w:val="0033172C"/>
    <w:rsid w:val="00331FE5"/>
    <w:rsid w:val="00332576"/>
    <w:rsid w:val="00332ECF"/>
    <w:rsid w:val="00333B59"/>
    <w:rsid w:val="0033521D"/>
    <w:rsid w:val="003354E7"/>
    <w:rsid w:val="00340978"/>
    <w:rsid w:val="003414B9"/>
    <w:rsid w:val="00341B02"/>
    <w:rsid w:val="00344872"/>
    <w:rsid w:val="00346AF2"/>
    <w:rsid w:val="00350E2F"/>
    <w:rsid w:val="003517A2"/>
    <w:rsid w:val="00351B8E"/>
    <w:rsid w:val="0035281E"/>
    <w:rsid w:val="00352E90"/>
    <w:rsid w:val="00353970"/>
    <w:rsid w:val="0035423D"/>
    <w:rsid w:val="0035770C"/>
    <w:rsid w:val="003610AF"/>
    <w:rsid w:val="00363C44"/>
    <w:rsid w:val="00364715"/>
    <w:rsid w:val="00364766"/>
    <w:rsid w:val="003650D4"/>
    <w:rsid w:val="003670D9"/>
    <w:rsid w:val="003725DE"/>
    <w:rsid w:val="0037279B"/>
    <w:rsid w:val="00376A56"/>
    <w:rsid w:val="00376BDC"/>
    <w:rsid w:val="00380B08"/>
    <w:rsid w:val="003839A9"/>
    <w:rsid w:val="00385588"/>
    <w:rsid w:val="00387453"/>
    <w:rsid w:val="00390A0C"/>
    <w:rsid w:val="00390E07"/>
    <w:rsid w:val="003975A0"/>
    <w:rsid w:val="003A0BBD"/>
    <w:rsid w:val="003A0BF7"/>
    <w:rsid w:val="003A0E6A"/>
    <w:rsid w:val="003A167B"/>
    <w:rsid w:val="003A1DF9"/>
    <w:rsid w:val="003A31E6"/>
    <w:rsid w:val="003A3BB5"/>
    <w:rsid w:val="003A3C4C"/>
    <w:rsid w:val="003A42DE"/>
    <w:rsid w:val="003A44ED"/>
    <w:rsid w:val="003A6B0F"/>
    <w:rsid w:val="003A7285"/>
    <w:rsid w:val="003A7B2D"/>
    <w:rsid w:val="003B04B1"/>
    <w:rsid w:val="003B1EDC"/>
    <w:rsid w:val="003B3226"/>
    <w:rsid w:val="003B5281"/>
    <w:rsid w:val="003B52D5"/>
    <w:rsid w:val="003B54FA"/>
    <w:rsid w:val="003B6DE8"/>
    <w:rsid w:val="003C0842"/>
    <w:rsid w:val="003C1EE6"/>
    <w:rsid w:val="003C233D"/>
    <w:rsid w:val="003C2982"/>
    <w:rsid w:val="003C2FC5"/>
    <w:rsid w:val="003C3816"/>
    <w:rsid w:val="003C56EA"/>
    <w:rsid w:val="003C5D20"/>
    <w:rsid w:val="003C7F60"/>
    <w:rsid w:val="003D0F4B"/>
    <w:rsid w:val="003D16FF"/>
    <w:rsid w:val="003D3DCB"/>
    <w:rsid w:val="003D527D"/>
    <w:rsid w:val="003D7DD4"/>
    <w:rsid w:val="003E2862"/>
    <w:rsid w:val="003E38B6"/>
    <w:rsid w:val="003E7C94"/>
    <w:rsid w:val="003F3AD2"/>
    <w:rsid w:val="003F3EAC"/>
    <w:rsid w:val="003F4CA3"/>
    <w:rsid w:val="004002E5"/>
    <w:rsid w:val="0040032D"/>
    <w:rsid w:val="00404624"/>
    <w:rsid w:val="00406A18"/>
    <w:rsid w:val="00411722"/>
    <w:rsid w:val="00411DFE"/>
    <w:rsid w:val="004120E5"/>
    <w:rsid w:val="004133F8"/>
    <w:rsid w:val="00413C94"/>
    <w:rsid w:val="004166F0"/>
    <w:rsid w:val="00416F20"/>
    <w:rsid w:val="0042020B"/>
    <w:rsid w:val="0042063C"/>
    <w:rsid w:val="004209E5"/>
    <w:rsid w:val="00422B30"/>
    <w:rsid w:val="004236A8"/>
    <w:rsid w:val="0042397A"/>
    <w:rsid w:val="0042431F"/>
    <w:rsid w:val="00425839"/>
    <w:rsid w:val="00425F37"/>
    <w:rsid w:val="0042685F"/>
    <w:rsid w:val="0042720B"/>
    <w:rsid w:val="00427C17"/>
    <w:rsid w:val="00431C03"/>
    <w:rsid w:val="004322AA"/>
    <w:rsid w:val="00433D87"/>
    <w:rsid w:val="00434496"/>
    <w:rsid w:val="00435603"/>
    <w:rsid w:val="00435B78"/>
    <w:rsid w:val="00435F64"/>
    <w:rsid w:val="00436B99"/>
    <w:rsid w:val="004409AC"/>
    <w:rsid w:val="00441103"/>
    <w:rsid w:val="004414E9"/>
    <w:rsid w:val="00441ADB"/>
    <w:rsid w:val="00442AB8"/>
    <w:rsid w:val="004430D3"/>
    <w:rsid w:val="00443153"/>
    <w:rsid w:val="00446D8E"/>
    <w:rsid w:val="0044757F"/>
    <w:rsid w:val="0045042D"/>
    <w:rsid w:val="00451611"/>
    <w:rsid w:val="0045431F"/>
    <w:rsid w:val="00454764"/>
    <w:rsid w:val="00454ADE"/>
    <w:rsid w:val="0045600A"/>
    <w:rsid w:val="00456F04"/>
    <w:rsid w:val="00457730"/>
    <w:rsid w:val="004615DD"/>
    <w:rsid w:val="0047199D"/>
    <w:rsid w:val="004769CA"/>
    <w:rsid w:val="00477022"/>
    <w:rsid w:val="004775BC"/>
    <w:rsid w:val="004777C9"/>
    <w:rsid w:val="00483238"/>
    <w:rsid w:val="00483892"/>
    <w:rsid w:val="00483ACB"/>
    <w:rsid w:val="004861F9"/>
    <w:rsid w:val="00487970"/>
    <w:rsid w:val="004905AF"/>
    <w:rsid w:val="004917DF"/>
    <w:rsid w:val="00494FC7"/>
    <w:rsid w:val="0049576E"/>
    <w:rsid w:val="004A3939"/>
    <w:rsid w:val="004A52C6"/>
    <w:rsid w:val="004B03FE"/>
    <w:rsid w:val="004B223D"/>
    <w:rsid w:val="004B4BFD"/>
    <w:rsid w:val="004B786F"/>
    <w:rsid w:val="004C3891"/>
    <w:rsid w:val="004C4E13"/>
    <w:rsid w:val="004C55E0"/>
    <w:rsid w:val="004C72CC"/>
    <w:rsid w:val="004D02B0"/>
    <w:rsid w:val="004D2697"/>
    <w:rsid w:val="004D2F75"/>
    <w:rsid w:val="004D3B18"/>
    <w:rsid w:val="004D5960"/>
    <w:rsid w:val="004D7133"/>
    <w:rsid w:val="004D7A3E"/>
    <w:rsid w:val="004D7B67"/>
    <w:rsid w:val="004E05D1"/>
    <w:rsid w:val="004E1B51"/>
    <w:rsid w:val="004E503E"/>
    <w:rsid w:val="004E51A9"/>
    <w:rsid w:val="004E6434"/>
    <w:rsid w:val="004E68B5"/>
    <w:rsid w:val="004F0667"/>
    <w:rsid w:val="004F2A0E"/>
    <w:rsid w:val="004F3A53"/>
    <w:rsid w:val="004F48DE"/>
    <w:rsid w:val="004F4F98"/>
    <w:rsid w:val="004F6083"/>
    <w:rsid w:val="004F711C"/>
    <w:rsid w:val="004F7987"/>
    <w:rsid w:val="005028A6"/>
    <w:rsid w:val="005053CB"/>
    <w:rsid w:val="00506F6B"/>
    <w:rsid w:val="0050733A"/>
    <w:rsid w:val="00510EF5"/>
    <w:rsid w:val="00511C74"/>
    <w:rsid w:val="005120B6"/>
    <w:rsid w:val="005130AF"/>
    <w:rsid w:val="00513B07"/>
    <w:rsid w:val="00513E17"/>
    <w:rsid w:val="00514D9C"/>
    <w:rsid w:val="00515CC1"/>
    <w:rsid w:val="00515DFB"/>
    <w:rsid w:val="0052059B"/>
    <w:rsid w:val="0052200F"/>
    <w:rsid w:val="00522C18"/>
    <w:rsid w:val="005231EA"/>
    <w:rsid w:val="0052629F"/>
    <w:rsid w:val="00526AD5"/>
    <w:rsid w:val="00527688"/>
    <w:rsid w:val="00527DA2"/>
    <w:rsid w:val="005311F0"/>
    <w:rsid w:val="0053283C"/>
    <w:rsid w:val="00532DAB"/>
    <w:rsid w:val="00533609"/>
    <w:rsid w:val="00533B77"/>
    <w:rsid w:val="00534918"/>
    <w:rsid w:val="00535BCF"/>
    <w:rsid w:val="00536225"/>
    <w:rsid w:val="0053643A"/>
    <w:rsid w:val="00537A42"/>
    <w:rsid w:val="00541385"/>
    <w:rsid w:val="00542379"/>
    <w:rsid w:val="00544D1D"/>
    <w:rsid w:val="00545027"/>
    <w:rsid w:val="005455B3"/>
    <w:rsid w:val="00546A6B"/>
    <w:rsid w:val="00547958"/>
    <w:rsid w:val="005511EA"/>
    <w:rsid w:val="00552B2A"/>
    <w:rsid w:val="00553883"/>
    <w:rsid w:val="00555529"/>
    <w:rsid w:val="00555583"/>
    <w:rsid w:val="0055596A"/>
    <w:rsid w:val="00556BE3"/>
    <w:rsid w:val="00557B4B"/>
    <w:rsid w:val="005617E0"/>
    <w:rsid w:val="00562FAC"/>
    <w:rsid w:val="00563921"/>
    <w:rsid w:val="00564742"/>
    <w:rsid w:val="00565036"/>
    <w:rsid w:val="00565EA9"/>
    <w:rsid w:val="00566A5D"/>
    <w:rsid w:val="0056781C"/>
    <w:rsid w:val="0057155C"/>
    <w:rsid w:val="0057316B"/>
    <w:rsid w:val="00573CCA"/>
    <w:rsid w:val="0057464D"/>
    <w:rsid w:val="005751C6"/>
    <w:rsid w:val="00575CCD"/>
    <w:rsid w:val="00577A5A"/>
    <w:rsid w:val="00584E03"/>
    <w:rsid w:val="00585479"/>
    <w:rsid w:val="00585616"/>
    <w:rsid w:val="0058713D"/>
    <w:rsid w:val="00590B4F"/>
    <w:rsid w:val="00591FD0"/>
    <w:rsid w:val="00593897"/>
    <w:rsid w:val="00594ECF"/>
    <w:rsid w:val="00595CB7"/>
    <w:rsid w:val="005A0D94"/>
    <w:rsid w:val="005A2D2A"/>
    <w:rsid w:val="005A44F0"/>
    <w:rsid w:val="005A486D"/>
    <w:rsid w:val="005A5024"/>
    <w:rsid w:val="005A5F3B"/>
    <w:rsid w:val="005A70CE"/>
    <w:rsid w:val="005B2A58"/>
    <w:rsid w:val="005B3236"/>
    <w:rsid w:val="005B4430"/>
    <w:rsid w:val="005B5BB3"/>
    <w:rsid w:val="005B6502"/>
    <w:rsid w:val="005B6D74"/>
    <w:rsid w:val="005B7FE8"/>
    <w:rsid w:val="005C0B1B"/>
    <w:rsid w:val="005C3220"/>
    <w:rsid w:val="005C39A5"/>
    <w:rsid w:val="005C500A"/>
    <w:rsid w:val="005C54FE"/>
    <w:rsid w:val="005C5A02"/>
    <w:rsid w:val="005C5AC4"/>
    <w:rsid w:val="005D0C63"/>
    <w:rsid w:val="005D18F7"/>
    <w:rsid w:val="005D2134"/>
    <w:rsid w:val="005D3A3C"/>
    <w:rsid w:val="005D3D7A"/>
    <w:rsid w:val="005D62AE"/>
    <w:rsid w:val="005D6F7C"/>
    <w:rsid w:val="005E11AD"/>
    <w:rsid w:val="005E3043"/>
    <w:rsid w:val="005E3406"/>
    <w:rsid w:val="005E34EC"/>
    <w:rsid w:val="005E3F07"/>
    <w:rsid w:val="005E5309"/>
    <w:rsid w:val="005E58E5"/>
    <w:rsid w:val="005E6225"/>
    <w:rsid w:val="005F017D"/>
    <w:rsid w:val="005F0E1C"/>
    <w:rsid w:val="005F17B3"/>
    <w:rsid w:val="005F25AA"/>
    <w:rsid w:val="005F2A2D"/>
    <w:rsid w:val="005F2C0A"/>
    <w:rsid w:val="005F4C1D"/>
    <w:rsid w:val="005F77FE"/>
    <w:rsid w:val="006058D6"/>
    <w:rsid w:val="00612B90"/>
    <w:rsid w:val="0061356A"/>
    <w:rsid w:val="006136B6"/>
    <w:rsid w:val="00613794"/>
    <w:rsid w:val="006140D9"/>
    <w:rsid w:val="006152A6"/>
    <w:rsid w:val="0061706D"/>
    <w:rsid w:val="006229A1"/>
    <w:rsid w:val="00623F06"/>
    <w:rsid w:val="00625A44"/>
    <w:rsid w:val="00626171"/>
    <w:rsid w:val="006270D6"/>
    <w:rsid w:val="00633038"/>
    <w:rsid w:val="006333D9"/>
    <w:rsid w:val="00633DDB"/>
    <w:rsid w:val="00635E04"/>
    <w:rsid w:val="00637481"/>
    <w:rsid w:val="00640982"/>
    <w:rsid w:val="00640E48"/>
    <w:rsid w:val="00641DBE"/>
    <w:rsid w:val="00642021"/>
    <w:rsid w:val="00642837"/>
    <w:rsid w:val="00642A15"/>
    <w:rsid w:val="00642A7D"/>
    <w:rsid w:val="00643090"/>
    <w:rsid w:val="006437BD"/>
    <w:rsid w:val="006438CC"/>
    <w:rsid w:val="00643F2C"/>
    <w:rsid w:val="00644C3D"/>
    <w:rsid w:val="00644E07"/>
    <w:rsid w:val="00645210"/>
    <w:rsid w:val="00645578"/>
    <w:rsid w:val="00647C6E"/>
    <w:rsid w:val="00647F20"/>
    <w:rsid w:val="00650EFE"/>
    <w:rsid w:val="006535DE"/>
    <w:rsid w:val="0065477E"/>
    <w:rsid w:val="0065640B"/>
    <w:rsid w:val="00656779"/>
    <w:rsid w:val="00656EAE"/>
    <w:rsid w:val="00660653"/>
    <w:rsid w:val="00661445"/>
    <w:rsid w:val="00661B7D"/>
    <w:rsid w:val="006626B1"/>
    <w:rsid w:val="00662C6D"/>
    <w:rsid w:val="00662F3A"/>
    <w:rsid w:val="006637E7"/>
    <w:rsid w:val="0066523B"/>
    <w:rsid w:val="006656BA"/>
    <w:rsid w:val="00666ED5"/>
    <w:rsid w:val="0066760D"/>
    <w:rsid w:val="00667D8E"/>
    <w:rsid w:val="00671294"/>
    <w:rsid w:val="00673274"/>
    <w:rsid w:val="006745F8"/>
    <w:rsid w:val="00674ED0"/>
    <w:rsid w:val="006759D3"/>
    <w:rsid w:val="00675D9E"/>
    <w:rsid w:val="00676021"/>
    <w:rsid w:val="006818B7"/>
    <w:rsid w:val="00683015"/>
    <w:rsid w:val="00685974"/>
    <w:rsid w:val="00685D78"/>
    <w:rsid w:val="00686CB7"/>
    <w:rsid w:val="00686EB3"/>
    <w:rsid w:val="00687EA5"/>
    <w:rsid w:val="00687F25"/>
    <w:rsid w:val="00690CB4"/>
    <w:rsid w:val="00695DF4"/>
    <w:rsid w:val="006A1FAD"/>
    <w:rsid w:val="006A39B3"/>
    <w:rsid w:val="006A3E97"/>
    <w:rsid w:val="006A49D1"/>
    <w:rsid w:val="006A5D30"/>
    <w:rsid w:val="006B1158"/>
    <w:rsid w:val="006B17F4"/>
    <w:rsid w:val="006B1C5A"/>
    <w:rsid w:val="006B2966"/>
    <w:rsid w:val="006B3DE6"/>
    <w:rsid w:val="006C0C91"/>
    <w:rsid w:val="006C3762"/>
    <w:rsid w:val="006C3C9D"/>
    <w:rsid w:val="006C4BFE"/>
    <w:rsid w:val="006C5A2F"/>
    <w:rsid w:val="006D0D9B"/>
    <w:rsid w:val="006D1096"/>
    <w:rsid w:val="006D33EF"/>
    <w:rsid w:val="006D4A7D"/>
    <w:rsid w:val="006D4C7B"/>
    <w:rsid w:val="006D616E"/>
    <w:rsid w:val="006D7140"/>
    <w:rsid w:val="006E02AD"/>
    <w:rsid w:val="006E11B1"/>
    <w:rsid w:val="006E1AE0"/>
    <w:rsid w:val="006E6DF9"/>
    <w:rsid w:val="006F0C5D"/>
    <w:rsid w:val="006F18F4"/>
    <w:rsid w:val="006F260F"/>
    <w:rsid w:val="006F2DD4"/>
    <w:rsid w:val="006F56E4"/>
    <w:rsid w:val="00700849"/>
    <w:rsid w:val="00701FF9"/>
    <w:rsid w:val="0070320B"/>
    <w:rsid w:val="00703AFF"/>
    <w:rsid w:val="00704EC5"/>
    <w:rsid w:val="00707CED"/>
    <w:rsid w:val="00707E40"/>
    <w:rsid w:val="007106A1"/>
    <w:rsid w:val="00710AEC"/>
    <w:rsid w:val="00711AA2"/>
    <w:rsid w:val="0071202F"/>
    <w:rsid w:val="007122DA"/>
    <w:rsid w:val="00713238"/>
    <w:rsid w:val="00713FEA"/>
    <w:rsid w:val="00714076"/>
    <w:rsid w:val="00714132"/>
    <w:rsid w:val="0071543A"/>
    <w:rsid w:val="00715EDA"/>
    <w:rsid w:val="00716B66"/>
    <w:rsid w:val="00717EBA"/>
    <w:rsid w:val="007208A3"/>
    <w:rsid w:val="00720F59"/>
    <w:rsid w:val="00725ED4"/>
    <w:rsid w:val="00726815"/>
    <w:rsid w:val="00726B05"/>
    <w:rsid w:val="0072775F"/>
    <w:rsid w:val="00730CB1"/>
    <w:rsid w:val="00730E18"/>
    <w:rsid w:val="00731E97"/>
    <w:rsid w:val="00734424"/>
    <w:rsid w:val="00736A46"/>
    <w:rsid w:val="007372D3"/>
    <w:rsid w:val="007374F9"/>
    <w:rsid w:val="00742D94"/>
    <w:rsid w:val="00743674"/>
    <w:rsid w:val="00747064"/>
    <w:rsid w:val="0075478E"/>
    <w:rsid w:val="00755FAA"/>
    <w:rsid w:val="00757DCD"/>
    <w:rsid w:val="00760F69"/>
    <w:rsid w:val="00761B5C"/>
    <w:rsid w:val="00762AC7"/>
    <w:rsid w:val="00771CE3"/>
    <w:rsid w:val="00772152"/>
    <w:rsid w:val="00773FCD"/>
    <w:rsid w:val="0077444E"/>
    <w:rsid w:val="00774F56"/>
    <w:rsid w:val="007814ED"/>
    <w:rsid w:val="00782DC0"/>
    <w:rsid w:val="0078373F"/>
    <w:rsid w:val="007842D5"/>
    <w:rsid w:val="007842D7"/>
    <w:rsid w:val="00785183"/>
    <w:rsid w:val="00785397"/>
    <w:rsid w:val="00785AD1"/>
    <w:rsid w:val="00794B51"/>
    <w:rsid w:val="007952EA"/>
    <w:rsid w:val="0079703F"/>
    <w:rsid w:val="007970E3"/>
    <w:rsid w:val="007A25CF"/>
    <w:rsid w:val="007A6831"/>
    <w:rsid w:val="007A772C"/>
    <w:rsid w:val="007A792A"/>
    <w:rsid w:val="007A79E0"/>
    <w:rsid w:val="007B118F"/>
    <w:rsid w:val="007B1CB2"/>
    <w:rsid w:val="007B3751"/>
    <w:rsid w:val="007B3C9D"/>
    <w:rsid w:val="007B5045"/>
    <w:rsid w:val="007B5AB0"/>
    <w:rsid w:val="007B6FB1"/>
    <w:rsid w:val="007B739C"/>
    <w:rsid w:val="007C042B"/>
    <w:rsid w:val="007C1CB0"/>
    <w:rsid w:val="007C25BC"/>
    <w:rsid w:val="007C500F"/>
    <w:rsid w:val="007C67C3"/>
    <w:rsid w:val="007D0FB5"/>
    <w:rsid w:val="007D1E39"/>
    <w:rsid w:val="007D21F9"/>
    <w:rsid w:val="007D378F"/>
    <w:rsid w:val="007D3AC0"/>
    <w:rsid w:val="007D4041"/>
    <w:rsid w:val="007D72D0"/>
    <w:rsid w:val="007D789B"/>
    <w:rsid w:val="007D78D6"/>
    <w:rsid w:val="007E1239"/>
    <w:rsid w:val="007E7A98"/>
    <w:rsid w:val="007E7D73"/>
    <w:rsid w:val="007F0028"/>
    <w:rsid w:val="007F071B"/>
    <w:rsid w:val="007F0B71"/>
    <w:rsid w:val="007F1AE6"/>
    <w:rsid w:val="007F1EE8"/>
    <w:rsid w:val="007F200B"/>
    <w:rsid w:val="007F35C6"/>
    <w:rsid w:val="007F3A31"/>
    <w:rsid w:val="007F5476"/>
    <w:rsid w:val="007F6CFF"/>
    <w:rsid w:val="007F79E7"/>
    <w:rsid w:val="0080192E"/>
    <w:rsid w:val="00804551"/>
    <w:rsid w:val="0080644B"/>
    <w:rsid w:val="00807DC6"/>
    <w:rsid w:val="008121C4"/>
    <w:rsid w:val="00812FC5"/>
    <w:rsid w:val="00813F49"/>
    <w:rsid w:val="00814186"/>
    <w:rsid w:val="0081665A"/>
    <w:rsid w:val="00817A75"/>
    <w:rsid w:val="00817A9F"/>
    <w:rsid w:val="00821435"/>
    <w:rsid w:val="00822B88"/>
    <w:rsid w:val="00823083"/>
    <w:rsid w:val="00826BBF"/>
    <w:rsid w:val="00831939"/>
    <w:rsid w:val="008325B0"/>
    <w:rsid w:val="008336A9"/>
    <w:rsid w:val="00833ECE"/>
    <w:rsid w:val="00837B86"/>
    <w:rsid w:val="00842FAA"/>
    <w:rsid w:val="0084464C"/>
    <w:rsid w:val="00844C73"/>
    <w:rsid w:val="008451EE"/>
    <w:rsid w:val="008455ED"/>
    <w:rsid w:val="00845C43"/>
    <w:rsid w:val="00845DDF"/>
    <w:rsid w:val="00846BB3"/>
    <w:rsid w:val="00850036"/>
    <w:rsid w:val="0085090D"/>
    <w:rsid w:val="008512B4"/>
    <w:rsid w:val="00851657"/>
    <w:rsid w:val="008539BF"/>
    <w:rsid w:val="008546CF"/>
    <w:rsid w:val="00855D79"/>
    <w:rsid w:val="008569E2"/>
    <w:rsid w:val="008579B1"/>
    <w:rsid w:val="00862163"/>
    <w:rsid w:val="00863644"/>
    <w:rsid w:val="0086773E"/>
    <w:rsid w:val="008705EB"/>
    <w:rsid w:val="00871009"/>
    <w:rsid w:val="00871B5B"/>
    <w:rsid w:val="00872965"/>
    <w:rsid w:val="0087541B"/>
    <w:rsid w:val="00881BDA"/>
    <w:rsid w:val="00882BB7"/>
    <w:rsid w:val="00883871"/>
    <w:rsid w:val="008853A2"/>
    <w:rsid w:val="00890133"/>
    <w:rsid w:val="00890248"/>
    <w:rsid w:val="0089121A"/>
    <w:rsid w:val="008922B3"/>
    <w:rsid w:val="00892777"/>
    <w:rsid w:val="008934B4"/>
    <w:rsid w:val="00895290"/>
    <w:rsid w:val="00895BD9"/>
    <w:rsid w:val="00895F6A"/>
    <w:rsid w:val="0089680C"/>
    <w:rsid w:val="00896D9F"/>
    <w:rsid w:val="00896EDD"/>
    <w:rsid w:val="00897F35"/>
    <w:rsid w:val="008A0F24"/>
    <w:rsid w:val="008A304C"/>
    <w:rsid w:val="008A54BE"/>
    <w:rsid w:val="008A6AC1"/>
    <w:rsid w:val="008B04C2"/>
    <w:rsid w:val="008B0FD8"/>
    <w:rsid w:val="008B111A"/>
    <w:rsid w:val="008B1D2A"/>
    <w:rsid w:val="008B5C78"/>
    <w:rsid w:val="008B68F2"/>
    <w:rsid w:val="008B6E37"/>
    <w:rsid w:val="008C4556"/>
    <w:rsid w:val="008C771D"/>
    <w:rsid w:val="008D0127"/>
    <w:rsid w:val="008D2915"/>
    <w:rsid w:val="008D3018"/>
    <w:rsid w:val="008D4BF2"/>
    <w:rsid w:val="008D4ECE"/>
    <w:rsid w:val="008D76A7"/>
    <w:rsid w:val="008D7893"/>
    <w:rsid w:val="008E1791"/>
    <w:rsid w:val="008E25CD"/>
    <w:rsid w:val="008E2B55"/>
    <w:rsid w:val="008E2BA3"/>
    <w:rsid w:val="008E3B83"/>
    <w:rsid w:val="008E3E92"/>
    <w:rsid w:val="008E5160"/>
    <w:rsid w:val="008E73AA"/>
    <w:rsid w:val="008F4EE3"/>
    <w:rsid w:val="008F5326"/>
    <w:rsid w:val="008F5CA0"/>
    <w:rsid w:val="008F6953"/>
    <w:rsid w:val="00900BE3"/>
    <w:rsid w:val="00901155"/>
    <w:rsid w:val="00903CD8"/>
    <w:rsid w:val="0090517D"/>
    <w:rsid w:val="00907D45"/>
    <w:rsid w:val="0091016B"/>
    <w:rsid w:val="00910721"/>
    <w:rsid w:val="009113C5"/>
    <w:rsid w:val="0091190C"/>
    <w:rsid w:val="00912375"/>
    <w:rsid w:val="00913CC1"/>
    <w:rsid w:val="009141AE"/>
    <w:rsid w:val="00914E3D"/>
    <w:rsid w:val="009153DB"/>
    <w:rsid w:val="00915E0F"/>
    <w:rsid w:val="0091624C"/>
    <w:rsid w:val="00920C70"/>
    <w:rsid w:val="00920E2B"/>
    <w:rsid w:val="00921C2D"/>
    <w:rsid w:val="0092530C"/>
    <w:rsid w:val="00925C83"/>
    <w:rsid w:val="0092747F"/>
    <w:rsid w:val="00930F1A"/>
    <w:rsid w:val="00931238"/>
    <w:rsid w:val="00931E28"/>
    <w:rsid w:val="0093340A"/>
    <w:rsid w:val="00936E4D"/>
    <w:rsid w:val="009371F1"/>
    <w:rsid w:val="0094141E"/>
    <w:rsid w:val="00942133"/>
    <w:rsid w:val="0094427F"/>
    <w:rsid w:val="009459DC"/>
    <w:rsid w:val="0094668A"/>
    <w:rsid w:val="009505F6"/>
    <w:rsid w:val="009507EC"/>
    <w:rsid w:val="009520A0"/>
    <w:rsid w:val="00953381"/>
    <w:rsid w:val="00954C34"/>
    <w:rsid w:val="00955627"/>
    <w:rsid w:val="0096068B"/>
    <w:rsid w:val="00960CAA"/>
    <w:rsid w:val="009626FA"/>
    <w:rsid w:val="00962E07"/>
    <w:rsid w:val="00963E93"/>
    <w:rsid w:val="009660D0"/>
    <w:rsid w:val="00967BF6"/>
    <w:rsid w:val="00970C3C"/>
    <w:rsid w:val="00971929"/>
    <w:rsid w:val="00971DC5"/>
    <w:rsid w:val="00973ADB"/>
    <w:rsid w:val="0097555E"/>
    <w:rsid w:val="009756CA"/>
    <w:rsid w:val="009778D3"/>
    <w:rsid w:val="009827EB"/>
    <w:rsid w:val="00982F7B"/>
    <w:rsid w:val="009912B1"/>
    <w:rsid w:val="00993A9D"/>
    <w:rsid w:val="009A0CB1"/>
    <w:rsid w:val="009A25E2"/>
    <w:rsid w:val="009A36FE"/>
    <w:rsid w:val="009A40E1"/>
    <w:rsid w:val="009A4B86"/>
    <w:rsid w:val="009A526F"/>
    <w:rsid w:val="009A6086"/>
    <w:rsid w:val="009A7079"/>
    <w:rsid w:val="009B122E"/>
    <w:rsid w:val="009B243B"/>
    <w:rsid w:val="009B273E"/>
    <w:rsid w:val="009B6AA3"/>
    <w:rsid w:val="009B6DB3"/>
    <w:rsid w:val="009B7B2D"/>
    <w:rsid w:val="009C0AE7"/>
    <w:rsid w:val="009C1932"/>
    <w:rsid w:val="009C2730"/>
    <w:rsid w:val="009C388F"/>
    <w:rsid w:val="009C3B42"/>
    <w:rsid w:val="009C694A"/>
    <w:rsid w:val="009C6F32"/>
    <w:rsid w:val="009D0CF7"/>
    <w:rsid w:val="009D3090"/>
    <w:rsid w:val="009E08C3"/>
    <w:rsid w:val="009E269F"/>
    <w:rsid w:val="009E2EBA"/>
    <w:rsid w:val="009E4E30"/>
    <w:rsid w:val="009E7109"/>
    <w:rsid w:val="009E7691"/>
    <w:rsid w:val="009E7EDD"/>
    <w:rsid w:val="009F0B1B"/>
    <w:rsid w:val="009F1E0A"/>
    <w:rsid w:val="009F3A11"/>
    <w:rsid w:val="009F3D12"/>
    <w:rsid w:val="009F4B41"/>
    <w:rsid w:val="009F51B1"/>
    <w:rsid w:val="00A010DB"/>
    <w:rsid w:val="00A012CF"/>
    <w:rsid w:val="00A049D1"/>
    <w:rsid w:val="00A04B29"/>
    <w:rsid w:val="00A04F0D"/>
    <w:rsid w:val="00A0773E"/>
    <w:rsid w:val="00A11CA8"/>
    <w:rsid w:val="00A11D05"/>
    <w:rsid w:val="00A14D94"/>
    <w:rsid w:val="00A15B0E"/>
    <w:rsid w:val="00A16D12"/>
    <w:rsid w:val="00A17EAC"/>
    <w:rsid w:val="00A200B5"/>
    <w:rsid w:val="00A2265F"/>
    <w:rsid w:val="00A23268"/>
    <w:rsid w:val="00A24133"/>
    <w:rsid w:val="00A2414E"/>
    <w:rsid w:val="00A24871"/>
    <w:rsid w:val="00A25601"/>
    <w:rsid w:val="00A25EE2"/>
    <w:rsid w:val="00A27DFA"/>
    <w:rsid w:val="00A3118F"/>
    <w:rsid w:val="00A325A8"/>
    <w:rsid w:val="00A337C9"/>
    <w:rsid w:val="00A34CA2"/>
    <w:rsid w:val="00A34CDA"/>
    <w:rsid w:val="00A37B68"/>
    <w:rsid w:val="00A407D0"/>
    <w:rsid w:val="00A41C35"/>
    <w:rsid w:val="00A427AA"/>
    <w:rsid w:val="00A42F0D"/>
    <w:rsid w:val="00A452B5"/>
    <w:rsid w:val="00A454C4"/>
    <w:rsid w:val="00A46670"/>
    <w:rsid w:val="00A479B4"/>
    <w:rsid w:val="00A50F9B"/>
    <w:rsid w:val="00A5295F"/>
    <w:rsid w:val="00A561E4"/>
    <w:rsid w:val="00A615EC"/>
    <w:rsid w:val="00A619F1"/>
    <w:rsid w:val="00A630C1"/>
    <w:rsid w:val="00A646F1"/>
    <w:rsid w:val="00A65E7A"/>
    <w:rsid w:val="00A66439"/>
    <w:rsid w:val="00A677C6"/>
    <w:rsid w:val="00A67A45"/>
    <w:rsid w:val="00A70EB5"/>
    <w:rsid w:val="00A71054"/>
    <w:rsid w:val="00A7139F"/>
    <w:rsid w:val="00A71684"/>
    <w:rsid w:val="00A737C0"/>
    <w:rsid w:val="00A74D11"/>
    <w:rsid w:val="00A75B63"/>
    <w:rsid w:val="00A77A09"/>
    <w:rsid w:val="00A8075A"/>
    <w:rsid w:val="00A80A96"/>
    <w:rsid w:val="00A80C9A"/>
    <w:rsid w:val="00A82177"/>
    <w:rsid w:val="00A84A33"/>
    <w:rsid w:val="00A8526D"/>
    <w:rsid w:val="00A8551A"/>
    <w:rsid w:val="00A855F2"/>
    <w:rsid w:val="00A85CC3"/>
    <w:rsid w:val="00A860F3"/>
    <w:rsid w:val="00A90BE2"/>
    <w:rsid w:val="00A91BE0"/>
    <w:rsid w:val="00A948A8"/>
    <w:rsid w:val="00A954AD"/>
    <w:rsid w:val="00A96D84"/>
    <w:rsid w:val="00A9720D"/>
    <w:rsid w:val="00A9786E"/>
    <w:rsid w:val="00AA2752"/>
    <w:rsid w:val="00AA42F1"/>
    <w:rsid w:val="00AA43E3"/>
    <w:rsid w:val="00AA59A1"/>
    <w:rsid w:val="00AB05DF"/>
    <w:rsid w:val="00AB1B08"/>
    <w:rsid w:val="00AB2D72"/>
    <w:rsid w:val="00AB5088"/>
    <w:rsid w:val="00AB59EA"/>
    <w:rsid w:val="00AB786D"/>
    <w:rsid w:val="00AC02E6"/>
    <w:rsid w:val="00AC0508"/>
    <w:rsid w:val="00AC0E75"/>
    <w:rsid w:val="00AC1A61"/>
    <w:rsid w:val="00AC3400"/>
    <w:rsid w:val="00AC3514"/>
    <w:rsid w:val="00AC41D8"/>
    <w:rsid w:val="00AC7926"/>
    <w:rsid w:val="00AD1F5E"/>
    <w:rsid w:val="00AD3A91"/>
    <w:rsid w:val="00AD47A2"/>
    <w:rsid w:val="00AD5004"/>
    <w:rsid w:val="00AD6902"/>
    <w:rsid w:val="00AD74C5"/>
    <w:rsid w:val="00AD7684"/>
    <w:rsid w:val="00AD7D75"/>
    <w:rsid w:val="00AE32AC"/>
    <w:rsid w:val="00AE3A9F"/>
    <w:rsid w:val="00AF00B2"/>
    <w:rsid w:val="00AF13C8"/>
    <w:rsid w:val="00AF3D43"/>
    <w:rsid w:val="00B00196"/>
    <w:rsid w:val="00B02E7E"/>
    <w:rsid w:val="00B03B06"/>
    <w:rsid w:val="00B05A19"/>
    <w:rsid w:val="00B05D56"/>
    <w:rsid w:val="00B067C2"/>
    <w:rsid w:val="00B07176"/>
    <w:rsid w:val="00B0751D"/>
    <w:rsid w:val="00B07869"/>
    <w:rsid w:val="00B102BA"/>
    <w:rsid w:val="00B10929"/>
    <w:rsid w:val="00B11B2A"/>
    <w:rsid w:val="00B14CF6"/>
    <w:rsid w:val="00B15183"/>
    <w:rsid w:val="00B15F12"/>
    <w:rsid w:val="00B15FA9"/>
    <w:rsid w:val="00B16458"/>
    <w:rsid w:val="00B173FB"/>
    <w:rsid w:val="00B206F2"/>
    <w:rsid w:val="00B209BB"/>
    <w:rsid w:val="00B20A3E"/>
    <w:rsid w:val="00B21073"/>
    <w:rsid w:val="00B21A46"/>
    <w:rsid w:val="00B22739"/>
    <w:rsid w:val="00B22AA2"/>
    <w:rsid w:val="00B2331E"/>
    <w:rsid w:val="00B25126"/>
    <w:rsid w:val="00B25D9A"/>
    <w:rsid w:val="00B260CC"/>
    <w:rsid w:val="00B261B6"/>
    <w:rsid w:val="00B2678C"/>
    <w:rsid w:val="00B26A81"/>
    <w:rsid w:val="00B33C57"/>
    <w:rsid w:val="00B35182"/>
    <w:rsid w:val="00B35E01"/>
    <w:rsid w:val="00B3609F"/>
    <w:rsid w:val="00B36C34"/>
    <w:rsid w:val="00B37304"/>
    <w:rsid w:val="00B41E36"/>
    <w:rsid w:val="00B420FF"/>
    <w:rsid w:val="00B44F52"/>
    <w:rsid w:val="00B4570F"/>
    <w:rsid w:val="00B50999"/>
    <w:rsid w:val="00B52D1A"/>
    <w:rsid w:val="00B54AF0"/>
    <w:rsid w:val="00B54E22"/>
    <w:rsid w:val="00B559CF"/>
    <w:rsid w:val="00B564A1"/>
    <w:rsid w:val="00B56CE6"/>
    <w:rsid w:val="00B6015F"/>
    <w:rsid w:val="00B60331"/>
    <w:rsid w:val="00B61FC8"/>
    <w:rsid w:val="00B61FF8"/>
    <w:rsid w:val="00B62334"/>
    <w:rsid w:val="00B62EEF"/>
    <w:rsid w:val="00B64579"/>
    <w:rsid w:val="00B64D08"/>
    <w:rsid w:val="00B6520A"/>
    <w:rsid w:val="00B668E4"/>
    <w:rsid w:val="00B677AA"/>
    <w:rsid w:val="00B67DF4"/>
    <w:rsid w:val="00B71278"/>
    <w:rsid w:val="00B716F4"/>
    <w:rsid w:val="00B726AB"/>
    <w:rsid w:val="00B757A3"/>
    <w:rsid w:val="00B76A58"/>
    <w:rsid w:val="00B77D1B"/>
    <w:rsid w:val="00B77EBF"/>
    <w:rsid w:val="00B8219B"/>
    <w:rsid w:val="00B823C3"/>
    <w:rsid w:val="00B823F9"/>
    <w:rsid w:val="00B8327C"/>
    <w:rsid w:val="00B84AE0"/>
    <w:rsid w:val="00B86637"/>
    <w:rsid w:val="00B8738F"/>
    <w:rsid w:val="00B87C42"/>
    <w:rsid w:val="00B91E1F"/>
    <w:rsid w:val="00B9310F"/>
    <w:rsid w:val="00B9485D"/>
    <w:rsid w:val="00B94950"/>
    <w:rsid w:val="00B951CC"/>
    <w:rsid w:val="00B95D3D"/>
    <w:rsid w:val="00B9719C"/>
    <w:rsid w:val="00B973BC"/>
    <w:rsid w:val="00BA0AD9"/>
    <w:rsid w:val="00BA132C"/>
    <w:rsid w:val="00BA25B3"/>
    <w:rsid w:val="00BA44D4"/>
    <w:rsid w:val="00BA6E83"/>
    <w:rsid w:val="00BA6FDF"/>
    <w:rsid w:val="00BB0F5F"/>
    <w:rsid w:val="00BB1015"/>
    <w:rsid w:val="00BB220E"/>
    <w:rsid w:val="00BB2F0C"/>
    <w:rsid w:val="00BB533B"/>
    <w:rsid w:val="00BB648D"/>
    <w:rsid w:val="00BC084D"/>
    <w:rsid w:val="00BC0F1C"/>
    <w:rsid w:val="00BC2E72"/>
    <w:rsid w:val="00BC32DA"/>
    <w:rsid w:val="00BC5068"/>
    <w:rsid w:val="00BC7409"/>
    <w:rsid w:val="00BD1456"/>
    <w:rsid w:val="00BD1B89"/>
    <w:rsid w:val="00BD1DA8"/>
    <w:rsid w:val="00BD2183"/>
    <w:rsid w:val="00BD29C2"/>
    <w:rsid w:val="00BD56B3"/>
    <w:rsid w:val="00BD5DF0"/>
    <w:rsid w:val="00BE06EC"/>
    <w:rsid w:val="00BE116A"/>
    <w:rsid w:val="00BE11B5"/>
    <w:rsid w:val="00BE1D7D"/>
    <w:rsid w:val="00BE38FF"/>
    <w:rsid w:val="00BF1169"/>
    <w:rsid w:val="00BF11FE"/>
    <w:rsid w:val="00BF20C1"/>
    <w:rsid w:val="00BF2459"/>
    <w:rsid w:val="00BF3AED"/>
    <w:rsid w:val="00BF7790"/>
    <w:rsid w:val="00C00AF7"/>
    <w:rsid w:val="00C02883"/>
    <w:rsid w:val="00C03BBC"/>
    <w:rsid w:val="00C03ED5"/>
    <w:rsid w:val="00C04304"/>
    <w:rsid w:val="00C0452C"/>
    <w:rsid w:val="00C056F5"/>
    <w:rsid w:val="00C06692"/>
    <w:rsid w:val="00C11154"/>
    <w:rsid w:val="00C12631"/>
    <w:rsid w:val="00C15C8D"/>
    <w:rsid w:val="00C16BE1"/>
    <w:rsid w:val="00C17D98"/>
    <w:rsid w:val="00C20766"/>
    <w:rsid w:val="00C20E36"/>
    <w:rsid w:val="00C21ED4"/>
    <w:rsid w:val="00C24030"/>
    <w:rsid w:val="00C24144"/>
    <w:rsid w:val="00C2711C"/>
    <w:rsid w:val="00C32141"/>
    <w:rsid w:val="00C327C4"/>
    <w:rsid w:val="00C3342D"/>
    <w:rsid w:val="00C3346B"/>
    <w:rsid w:val="00C35DD3"/>
    <w:rsid w:val="00C35E94"/>
    <w:rsid w:val="00C36A56"/>
    <w:rsid w:val="00C40215"/>
    <w:rsid w:val="00C416DB"/>
    <w:rsid w:val="00C41C5A"/>
    <w:rsid w:val="00C41CCF"/>
    <w:rsid w:val="00C42300"/>
    <w:rsid w:val="00C44291"/>
    <w:rsid w:val="00C44535"/>
    <w:rsid w:val="00C465AD"/>
    <w:rsid w:val="00C46C64"/>
    <w:rsid w:val="00C503B1"/>
    <w:rsid w:val="00C5359A"/>
    <w:rsid w:val="00C54E64"/>
    <w:rsid w:val="00C616D9"/>
    <w:rsid w:val="00C7001D"/>
    <w:rsid w:val="00C712FE"/>
    <w:rsid w:val="00C72B7C"/>
    <w:rsid w:val="00C76900"/>
    <w:rsid w:val="00C76E39"/>
    <w:rsid w:val="00C76E59"/>
    <w:rsid w:val="00C77821"/>
    <w:rsid w:val="00C80377"/>
    <w:rsid w:val="00C80EEE"/>
    <w:rsid w:val="00C80F92"/>
    <w:rsid w:val="00C81313"/>
    <w:rsid w:val="00C81AF2"/>
    <w:rsid w:val="00C8371A"/>
    <w:rsid w:val="00C84C09"/>
    <w:rsid w:val="00C8588F"/>
    <w:rsid w:val="00C8600D"/>
    <w:rsid w:val="00C87B2B"/>
    <w:rsid w:val="00C90CDC"/>
    <w:rsid w:val="00C923D9"/>
    <w:rsid w:val="00C93977"/>
    <w:rsid w:val="00C93CA9"/>
    <w:rsid w:val="00C943D5"/>
    <w:rsid w:val="00C97CE7"/>
    <w:rsid w:val="00CA0312"/>
    <w:rsid w:val="00CA19BD"/>
    <w:rsid w:val="00CA2881"/>
    <w:rsid w:val="00CA35B9"/>
    <w:rsid w:val="00CA4CBC"/>
    <w:rsid w:val="00CA5E6F"/>
    <w:rsid w:val="00CA6436"/>
    <w:rsid w:val="00CB0023"/>
    <w:rsid w:val="00CB0491"/>
    <w:rsid w:val="00CB09EC"/>
    <w:rsid w:val="00CB194F"/>
    <w:rsid w:val="00CB2EA1"/>
    <w:rsid w:val="00CB5B97"/>
    <w:rsid w:val="00CB622E"/>
    <w:rsid w:val="00CC0D54"/>
    <w:rsid w:val="00CC2BC8"/>
    <w:rsid w:val="00CC5FBE"/>
    <w:rsid w:val="00CC7385"/>
    <w:rsid w:val="00CC76CD"/>
    <w:rsid w:val="00CC79DE"/>
    <w:rsid w:val="00CD00B1"/>
    <w:rsid w:val="00CD05D4"/>
    <w:rsid w:val="00CD0E11"/>
    <w:rsid w:val="00CD1517"/>
    <w:rsid w:val="00CD16A3"/>
    <w:rsid w:val="00CD2EB9"/>
    <w:rsid w:val="00CD2ED1"/>
    <w:rsid w:val="00CD2F05"/>
    <w:rsid w:val="00CD4B9B"/>
    <w:rsid w:val="00CE1EC8"/>
    <w:rsid w:val="00CE1F41"/>
    <w:rsid w:val="00CE3CCB"/>
    <w:rsid w:val="00CE4AEC"/>
    <w:rsid w:val="00CE4E0F"/>
    <w:rsid w:val="00CE5D8C"/>
    <w:rsid w:val="00CF0CCF"/>
    <w:rsid w:val="00CF1581"/>
    <w:rsid w:val="00CF36AA"/>
    <w:rsid w:val="00CF43FC"/>
    <w:rsid w:val="00CF5A57"/>
    <w:rsid w:val="00CF6E4B"/>
    <w:rsid w:val="00CF7508"/>
    <w:rsid w:val="00D04F45"/>
    <w:rsid w:val="00D0678F"/>
    <w:rsid w:val="00D07ADC"/>
    <w:rsid w:val="00D10335"/>
    <w:rsid w:val="00D11A7E"/>
    <w:rsid w:val="00D12CE8"/>
    <w:rsid w:val="00D1398E"/>
    <w:rsid w:val="00D1553E"/>
    <w:rsid w:val="00D1597B"/>
    <w:rsid w:val="00D174D4"/>
    <w:rsid w:val="00D17CF1"/>
    <w:rsid w:val="00D17E83"/>
    <w:rsid w:val="00D20BC6"/>
    <w:rsid w:val="00D237EF"/>
    <w:rsid w:val="00D260F3"/>
    <w:rsid w:val="00D26169"/>
    <w:rsid w:val="00D30607"/>
    <w:rsid w:val="00D30B40"/>
    <w:rsid w:val="00D33139"/>
    <w:rsid w:val="00D336D7"/>
    <w:rsid w:val="00D33A2D"/>
    <w:rsid w:val="00D34CC4"/>
    <w:rsid w:val="00D3507E"/>
    <w:rsid w:val="00D358E7"/>
    <w:rsid w:val="00D37D7A"/>
    <w:rsid w:val="00D430C1"/>
    <w:rsid w:val="00D50ADC"/>
    <w:rsid w:val="00D51299"/>
    <w:rsid w:val="00D51FAE"/>
    <w:rsid w:val="00D52D36"/>
    <w:rsid w:val="00D55CDA"/>
    <w:rsid w:val="00D562D1"/>
    <w:rsid w:val="00D57242"/>
    <w:rsid w:val="00D57F0A"/>
    <w:rsid w:val="00D609FA"/>
    <w:rsid w:val="00D60D5E"/>
    <w:rsid w:val="00D630AE"/>
    <w:rsid w:val="00D65AA1"/>
    <w:rsid w:val="00D6668F"/>
    <w:rsid w:val="00D66A2D"/>
    <w:rsid w:val="00D732A3"/>
    <w:rsid w:val="00D733BD"/>
    <w:rsid w:val="00D74168"/>
    <w:rsid w:val="00D746A3"/>
    <w:rsid w:val="00D75EDF"/>
    <w:rsid w:val="00D81805"/>
    <w:rsid w:val="00D83B8A"/>
    <w:rsid w:val="00D84BAD"/>
    <w:rsid w:val="00D8658F"/>
    <w:rsid w:val="00D86CEC"/>
    <w:rsid w:val="00D919F0"/>
    <w:rsid w:val="00D91CB5"/>
    <w:rsid w:val="00D95DB0"/>
    <w:rsid w:val="00D95F23"/>
    <w:rsid w:val="00D96DFF"/>
    <w:rsid w:val="00DA0C01"/>
    <w:rsid w:val="00DA3C5A"/>
    <w:rsid w:val="00DA4B03"/>
    <w:rsid w:val="00DA5304"/>
    <w:rsid w:val="00DA65C6"/>
    <w:rsid w:val="00DA67C4"/>
    <w:rsid w:val="00DA6E95"/>
    <w:rsid w:val="00DA7107"/>
    <w:rsid w:val="00DA754E"/>
    <w:rsid w:val="00DA7621"/>
    <w:rsid w:val="00DA78D0"/>
    <w:rsid w:val="00DB1B46"/>
    <w:rsid w:val="00DB1C5F"/>
    <w:rsid w:val="00DB4D89"/>
    <w:rsid w:val="00DB6EAD"/>
    <w:rsid w:val="00DC0CD0"/>
    <w:rsid w:val="00DC1CD2"/>
    <w:rsid w:val="00DC2D87"/>
    <w:rsid w:val="00DC2F33"/>
    <w:rsid w:val="00DC36AE"/>
    <w:rsid w:val="00DC6077"/>
    <w:rsid w:val="00DC65D6"/>
    <w:rsid w:val="00DC6E29"/>
    <w:rsid w:val="00DD106D"/>
    <w:rsid w:val="00DD2B19"/>
    <w:rsid w:val="00DD6AA6"/>
    <w:rsid w:val="00DD6CDC"/>
    <w:rsid w:val="00DE0574"/>
    <w:rsid w:val="00DE3FB1"/>
    <w:rsid w:val="00DE4BA7"/>
    <w:rsid w:val="00DE64B6"/>
    <w:rsid w:val="00DF1B00"/>
    <w:rsid w:val="00DF294F"/>
    <w:rsid w:val="00DF2EA2"/>
    <w:rsid w:val="00DF507F"/>
    <w:rsid w:val="00DF518A"/>
    <w:rsid w:val="00DF66C0"/>
    <w:rsid w:val="00DF6E60"/>
    <w:rsid w:val="00E009F8"/>
    <w:rsid w:val="00E022FC"/>
    <w:rsid w:val="00E02BF8"/>
    <w:rsid w:val="00E03199"/>
    <w:rsid w:val="00E033E8"/>
    <w:rsid w:val="00E03F60"/>
    <w:rsid w:val="00E05216"/>
    <w:rsid w:val="00E05A75"/>
    <w:rsid w:val="00E0748C"/>
    <w:rsid w:val="00E077BA"/>
    <w:rsid w:val="00E103A9"/>
    <w:rsid w:val="00E12AF9"/>
    <w:rsid w:val="00E14A51"/>
    <w:rsid w:val="00E14E20"/>
    <w:rsid w:val="00E16F31"/>
    <w:rsid w:val="00E20BC4"/>
    <w:rsid w:val="00E224BB"/>
    <w:rsid w:val="00E2277E"/>
    <w:rsid w:val="00E22DA9"/>
    <w:rsid w:val="00E25880"/>
    <w:rsid w:val="00E26BDF"/>
    <w:rsid w:val="00E271E7"/>
    <w:rsid w:val="00E308FE"/>
    <w:rsid w:val="00E30B41"/>
    <w:rsid w:val="00E30F69"/>
    <w:rsid w:val="00E312B6"/>
    <w:rsid w:val="00E31C22"/>
    <w:rsid w:val="00E3263D"/>
    <w:rsid w:val="00E353C2"/>
    <w:rsid w:val="00E354C6"/>
    <w:rsid w:val="00E36588"/>
    <w:rsid w:val="00E36B68"/>
    <w:rsid w:val="00E3740E"/>
    <w:rsid w:val="00E41069"/>
    <w:rsid w:val="00E42FCB"/>
    <w:rsid w:val="00E47768"/>
    <w:rsid w:val="00E54112"/>
    <w:rsid w:val="00E56458"/>
    <w:rsid w:val="00E571A4"/>
    <w:rsid w:val="00E578D2"/>
    <w:rsid w:val="00E6046D"/>
    <w:rsid w:val="00E606BF"/>
    <w:rsid w:val="00E667E4"/>
    <w:rsid w:val="00E70263"/>
    <w:rsid w:val="00E702B8"/>
    <w:rsid w:val="00E70D0F"/>
    <w:rsid w:val="00E74529"/>
    <w:rsid w:val="00E74569"/>
    <w:rsid w:val="00E746E3"/>
    <w:rsid w:val="00E75E6E"/>
    <w:rsid w:val="00E773DF"/>
    <w:rsid w:val="00E775A3"/>
    <w:rsid w:val="00E77813"/>
    <w:rsid w:val="00E806A3"/>
    <w:rsid w:val="00E82E17"/>
    <w:rsid w:val="00E82F37"/>
    <w:rsid w:val="00E84A6B"/>
    <w:rsid w:val="00E84B36"/>
    <w:rsid w:val="00E855CF"/>
    <w:rsid w:val="00E9243A"/>
    <w:rsid w:val="00E92B7F"/>
    <w:rsid w:val="00E95299"/>
    <w:rsid w:val="00E95365"/>
    <w:rsid w:val="00E96332"/>
    <w:rsid w:val="00EA068C"/>
    <w:rsid w:val="00EA165C"/>
    <w:rsid w:val="00EA29CB"/>
    <w:rsid w:val="00EA61C0"/>
    <w:rsid w:val="00EB012A"/>
    <w:rsid w:val="00EB1065"/>
    <w:rsid w:val="00EB52C8"/>
    <w:rsid w:val="00EB79B6"/>
    <w:rsid w:val="00EB7D38"/>
    <w:rsid w:val="00EC2A64"/>
    <w:rsid w:val="00EC32B4"/>
    <w:rsid w:val="00EC3B6B"/>
    <w:rsid w:val="00EC43D1"/>
    <w:rsid w:val="00EC512C"/>
    <w:rsid w:val="00EC6D31"/>
    <w:rsid w:val="00EC79F0"/>
    <w:rsid w:val="00ED14F1"/>
    <w:rsid w:val="00ED4FE7"/>
    <w:rsid w:val="00ED6223"/>
    <w:rsid w:val="00ED69E4"/>
    <w:rsid w:val="00EE1AFB"/>
    <w:rsid w:val="00EE511C"/>
    <w:rsid w:val="00EF32A1"/>
    <w:rsid w:val="00EF6E34"/>
    <w:rsid w:val="00EF70C7"/>
    <w:rsid w:val="00EF715E"/>
    <w:rsid w:val="00F00E46"/>
    <w:rsid w:val="00F02433"/>
    <w:rsid w:val="00F03296"/>
    <w:rsid w:val="00F0463B"/>
    <w:rsid w:val="00F052ED"/>
    <w:rsid w:val="00F0622E"/>
    <w:rsid w:val="00F07DB5"/>
    <w:rsid w:val="00F101CE"/>
    <w:rsid w:val="00F14F47"/>
    <w:rsid w:val="00F154B8"/>
    <w:rsid w:val="00F17015"/>
    <w:rsid w:val="00F2022A"/>
    <w:rsid w:val="00F2142B"/>
    <w:rsid w:val="00F21580"/>
    <w:rsid w:val="00F23361"/>
    <w:rsid w:val="00F23533"/>
    <w:rsid w:val="00F235E0"/>
    <w:rsid w:val="00F24364"/>
    <w:rsid w:val="00F2586D"/>
    <w:rsid w:val="00F27484"/>
    <w:rsid w:val="00F318DA"/>
    <w:rsid w:val="00F32317"/>
    <w:rsid w:val="00F3423A"/>
    <w:rsid w:val="00F370AF"/>
    <w:rsid w:val="00F373BC"/>
    <w:rsid w:val="00F37746"/>
    <w:rsid w:val="00F404C4"/>
    <w:rsid w:val="00F40624"/>
    <w:rsid w:val="00F4358C"/>
    <w:rsid w:val="00F43845"/>
    <w:rsid w:val="00F44ED0"/>
    <w:rsid w:val="00F4517F"/>
    <w:rsid w:val="00F47213"/>
    <w:rsid w:val="00F47674"/>
    <w:rsid w:val="00F51213"/>
    <w:rsid w:val="00F53CA0"/>
    <w:rsid w:val="00F545B9"/>
    <w:rsid w:val="00F556C1"/>
    <w:rsid w:val="00F56EE3"/>
    <w:rsid w:val="00F60056"/>
    <w:rsid w:val="00F6090A"/>
    <w:rsid w:val="00F651B3"/>
    <w:rsid w:val="00F657AD"/>
    <w:rsid w:val="00F6668C"/>
    <w:rsid w:val="00F672ED"/>
    <w:rsid w:val="00F67D18"/>
    <w:rsid w:val="00F67E65"/>
    <w:rsid w:val="00F70B27"/>
    <w:rsid w:val="00F75B3F"/>
    <w:rsid w:val="00F76E01"/>
    <w:rsid w:val="00F80EB7"/>
    <w:rsid w:val="00F81003"/>
    <w:rsid w:val="00F821C9"/>
    <w:rsid w:val="00F846BB"/>
    <w:rsid w:val="00F85176"/>
    <w:rsid w:val="00F869F1"/>
    <w:rsid w:val="00F90310"/>
    <w:rsid w:val="00F93D2D"/>
    <w:rsid w:val="00F96E15"/>
    <w:rsid w:val="00F97BC6"/>
    <w:rsid w:val="00F97F2D"/>
    <w:rsid w:val="00FA10D4"/>
    <w:rsid w:val="00FA2A0F"/>
    <w:rsid w:val="00FA3D85"/>
    <w:rsid w:val="00FA55B7"/>
    <w:rsid w:val="00FA58D2"/>
    <w:rsid w:val="00FA6762"/>
    <w:rsid w:val="00FA6D20"/>
    <w:rsid w:val="00FB13F6"/>
    <w:rsid w:val="00FB17FE"/>
    <w:rsid w:val="00FB1BF7"/>
    <w:rsid w:val="00FB20F5"/>
    <w:rsid w:val="00FB6724"/>
    <w:rsid w:val="00FB68C4"/>
    <w:rsid w:val="00FB7E50"/>
    <w:rsid w:val="00FC0EDF"/>
    <w:rsid w:val="00FC3100"/>
    <w:rsid w:val="00FC36F8"/>
    <w:rsid w:val="00FC374E"/>
    <w:rsid w:val="00FC4BBA"/>
    <w:rsid w:val="00FC4D67"/>
    <w:rsid w:val="00FC7CE4"/>
    <w:rsid w:val="00FC7D65"/>
    <w:rsid w:val="00FC7F7F"/>
    <w:rsid w:val="00FD08C3"/>
    <w:rsid w:val="00FD1E61"/>
    <w:rsid w:val="00FD3419"/>
    <w:rsid w:val="00FD408D"/>
    <w:rsid w:val="00FD5401"/>
    <w:rsid w:val="00FD585D"/>
    <w:rsid w:val="00FD5D3F"/>
    <w:rsid w:val="00FE0899"/>
    <w:rsid w:val="00FE1660"/>
    <w:rsid w:val="00FE7BA7"/>
    <w:rsid w:val="00FE7FA6"/>
    <w:rsid w:val="00FF0A10"/>
    <w:rsid w:val="00FF5CCA"/>
    <w:rsid w:val="00FF63A4"/>
    <w:rsid w:val="00FF68E0"/>
    <w:rsid w:val="00FF7A42"/>
    <w:rsid w:val="00FF7AAF"/>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pl-PL" w:eastAsia="pl-PL" w:bidi="ar-SA"/>
      </w:rPr>
    </w:rPrDefault>
    <w:pPrDefault/>
  </w:docDefaults>
  <w:latentStyles w:defLockedState="0" w:defUIPriority="99" w:defSemiHidden="1" w:defUnhideWhenUsed="1" w:defQFormat="0" w:count="267">
    <w:lsdException w:name="Normal" w:semiHidden="0" w:uiPriority="0" w:unhideWhenUsed="0"/>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0" w:unhideWhenUsed="0" w:qFormat="1"/>
    <w:lsdException w:name="footnote reference" w:uiPriority="0"/>
    <w:lsdException w:name="Title" w:semiHidden="0" w:uiPriority="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rsid w:val="005511EA"/>
    <w:pPr>
      <w:spacing w:line="256" w:lineRule="exact"/>
      <w:ind w:firstLine="397"/>
      <w:jc w:val="both"/>
    </w:pPr>
    <w:rPr>
      <w:sz w:val="24"/>
      <w:szCs w:val="24"/>
    </w:rPr>
  </w:style>
  <w:style w:type="paragraph" w:styleId="Nagwek1">
    <w:name w:val="heading 1"/>
    <w:basedOn w:val="Normalny"/>
    <w:next w:val="Normalny"/>
    <w:link w:val="Nagwek1Znak"/>
    <w:qFormat/>
    <w:rsid w:val="005511EA"/>
    <w:pPr>
      <w:keepNext/>
      <w:outlineLvl w:val="0"/>
    </w:pPr>
    <w:rPr>
      <w:rFonts w:ascii="Verdana" w:hAnsi="Verdana"/>
      <w:b/>
      <w:bCs/>
      <w:sz w:val="20"/>
    </w:rPr>
  </w:style>
  <w:style w:type="paragraph" w:styleId="Nagwek2">
    <w:name w:val="heading 2"/>
    <w:basedOn w:val="Normalny"/>
    <w:next w:val="Normalny"/>
    <w:link w:val="Nagwek2Znak"/>
    <w:qFormat/>
    <w:rsid w:val="005511EA"/>
    <w:pPr>
      <w:keepNext/>
      <w:outlineLvl w:val="1"/>
    </w:pPr>
    <w:rPr>
      <w:b/>
      <w:iCs/>
      <w:sz w:val="28"/>
      <w:szCs w:val="20"/>
    </w:rPr>
  </w:style>
  <w:style w:type="paragraph" w:styleId="Nagwek3">
    <w:name w:val="heading 3"/>
    <w:basedOn w:val="Normalny"/>
    <w:next w:val="Normalny"/>
    <w:link w:val="Nagwek3Znak"/>
    <w:qFormat/>
    <w:rsid w:val="005511EA"/>
    <w:pPr>
      <w:keepNext/>
      <w:jc w:val="center"/>
      <w:outlineLvl w:val="2"/>
    </w:pPr>
    <w:rPr>
      <w:rFonts w:ascii="Verdana" w:hAnsi="Verdana"/>
      <w:b/>
      <w:sz w:val="20"/>
    </w:rPr>
  </w:style>
  <w:style w:type="paragraph" w:styleId="Nagwek4">
    <w:name w:val="heading 4"/>
    <w:basedOn w:val="Normalny"/>
    <w:next w:val="Normalny"/>
    <w:link w:val="Nagwek4Znak"/>
    <w:qFormat/>
    <w:rsid w:val="005511EA"/>
    <w:pPr>
      <w:keepNext/>
      <w:tabs>
        <w:tab w:val="left" w:pos="990"/>
      </w:tabs>
      <w:outlineLvl w:val="3"/>
    </w:pPr>
    <w:rPr>
      <w:b/>
      <w:bCs/>
      <w:sz w:val="28"/>
      <w:szCs w:val="20"/>
    </w:rPr>
  </w:style>
  <w:style w:type="paragraph" w:styleId="Nagwek5">
    <w:name w:val="heading 5"/>
    <w:basedOn w:val="Normalny"/>
    <w:next w:val="Normalny"/>
    <w:link w:val="Nagwek5Znak"/>
    <w:qFormat/>
    <w:rsid w:val="005511EA"/>
    <w:pPr>
      <w:keepNext/>
      <w:jc w:val="center"/>
      <w:outlineLvl w:val="4"/>
    </w:pPr>
    <w:rPr>
      <w:rFonts w:ascii="Verdana" w:hAnsi="Verdana"/>
      <w:sz w:val="20"/>
      <w:u w:val="single"/>
    </w:rPr>
  </w:style>
  <w:style w:type="paragraph" w:styleId="Nagwek6">
    <w:name w:val="heading 6"/>
    <w:basedOn w:val="Normalny"/>
    <w:next w:val="Normalny"/>
    <w:link w:val="Nagwek6Znak"/>
    <w:qFormat/>
    <w:rsid w:val="005511EA"/>
    <w:pPr>
      <w:keepNext/>
      <w:jc w:val="center"/>
      <w:outlineLvl w:val="5"/>
    </w:pPr>
    <w:rPr>
      <w:rFonts w:ascii="Verdana" w:hAnsi="Verdana"/>
      <w:sz w:val="18"/>
      <w:u w:val="single"/>
    </w:rPr>
  </w:style>
  <w:style w:type="paragraph" w:styleId="Nagwek7">
    <w:name w:val="heading 7"/>
    <w:basedOn w:val="Normalny"/>
    <w:next w:val="Normalny"/>
    <w:link w:val="Nagwek7Znak"/>
    <w:qFormat/>
    <w:rsid w:val="005511EA"/>
    <w:pPr>
      <w:keepNext/>
      <w:outlineLvl w:val="6"/>
    </w:pPr>
    <w:rPr>
      <w:rFonts w:ascii="Book Antiqua" w:hAnsi="Book Antiqua"/>
      <w:b/>
      <w:bCs/>
      <w:szCs w:val="20"/>
      <w:u w:val="single"/>
    </w:rPr>
  </w:style>
  <w:style w:type="paragraph" w:styleId="Nagwek8">
    <w:name w:val="heading 8"/>
    <w:basedOn w:val="Normalny"/>
    <w:next w:val="Normalny"/>
    <w:link w:val="Nagwek8Znak"/>
    <w:qFormat/>
    <w:rsid w:val="005511EA"/>
    <w:pPr>
      <w:keepNext/>
      <w:outlineLvl w:val="7"/>
    </w:pPr>
    <w:rPr>
      <w:rFonts w:ascii="Verdana" w:hAnsi="Verdana"/>
      <w:u w:val="single"/>
      <w:lang w:val="de-DE"/>
    </w:rPr>
  </w:style>
  <w:style w:type="paragraph" w:styleId="Nagwek9">
    <w:name w:val="heading 9"/>
    <w:basedOn w:val="Normalny"/>
    <w:next w:val="Normalny"/>
    <w:link w:val="Nagwek9Znak"/>
    <w:qFormat/>
    <w:rsid w:val="005511EA"/>
    <w:pPr>
      <w:keepNext/>
      <w:overflowPunct w:val="0"/>
      <w:autoSpaceDE w:val="0"/>
      <w:autoSpaceDN w:val="0"/>
      <w:adjustRightInd w:val="0"/>
      <w:textAlignment w:val="baseline"/>
      <w:outlineLvl w:val="8"/>
    </w:pPr>
    <w:rPr>
      <w:rFonts w:ascii="Verdana" w:hAnsi="Verdana"/>
      <w:b/>
      <w:sz w:val="1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basedOn w:val="Normalny"/>
    <w:uiPriority w:val="34"/>
    <w:qFormat/>
    <w:rsid w:val="002001A2"/>
    <w:pPr>
      <w:ind w:left="708"/>
    </w:pPr>
  </w:style>
  <w:style w:type="character" w:styleId="Odwoanieprzypisudolnego">
    <w:name w:val="footnote reference"/>
    <w:semiHidden/>
    <w:rsid w:val="00A646F1"/>
    <w:rPr>
      <w:rFonts w:ascii="Cambria" w:hAnsi="Cambria"/>
      <w:sz w:val="18"/>
      <w:vertAlign w:val="superscript"/>
    </w:rPr>
  </w:style>
  <w:style w:type="character" w:customStyle="1" w:styleId="Nagwek1Znak">
    <w:name w:val="Nagłówek 1 Znak"/>
    <w:link w:val="Nagwek1"/>
    <w:rsid w:val="002001A2"/>
    <w:rPr>
      <w:rFonts w:ascii="Verdana" w:hAnsi="Verdana"/>
      <w:b/>
      <w:bCs/>
      <w:szCs w:val="24"/>
    </w:rPr>
  </w:style>
  <w:style w:type="character" w:customStyle="1" w:styleId="Nagwek2Znak">
    <w:name w:val="Nagłówek 2 Znak"/>
    <w:link w:val="Nagwek2"/>
    <w:rsid w:val="002001A2"/>
    <w:rPr>
      <w:rFonts w:cs="Arial"/>
      <w:b/>
      <w:iCs/>
      <w:sz w:val="28"/>
    </w:rPr>
  </w:style>
  <w:style w:type="character" w:customStyle="1" w:styleId="Nagwek3Znak">
    <w:name w:val="Nagłówek 3 Znak"/>
    <w:link w:val="Nagwek3"/>
    <w:rsid w:val="002001A2"/>
    <w:rPr>
      <w:rFonts w:ascii="Verdana" w:hAnsi="Verdana" w:cs="Arial"/>
      <w:b/>
      <w:szCs w:val="24"/>
    </w:rPr>
  </w:style>
  <w:style w:type="character" w:customStyle="1" w:styleId="Nagwek4Znak">
    <w:name w:val="Nagłówek 4 Znak"/>
    <w:link w:val="Nagwek4"/>
    <w:rsid w:val="002001A2"/>
    <w:rPr>
      <w:b/>
      <w:bCs/>
      <w:sz w:val="28"/>
    </w:rPr>
  </w:style>
  <w:style w:type="character" w:customStyle="1" w:styleId="Nagwek5Znak">
    <w:name w:val="Nagłówek 5 Znak"/>
    <w:link w:val="Nagwek5"/>
    <w:rsid w:val="002001A2"/>
    <w:rPr>
      <w:rFonts w:ascii="Verdana" w:hAnsi="Verdana" w:cs="HelvetiSlav"/>
      <w:szCs w:val="24"/>
      <w:u w:val="single"/>
    </w:rPr>
  </w:style>
  <w:style w:type="character" w:customStyle="1" w:styleId="Nagwek6Znak">
    <w:name w:val="Nagłówek 6 Znak"/>
    <w:link w:val="Nagwek6"/>
    <w:rsid w:val="002001A2"/>
    <w:rPr>
      <w:rFonts w:ascii="Verdana" w:hAnsi="Verdana" w:cs="TAccents"/>
      <w:sz w:val="18"/>
      <w:szCs w:val="24"/>
      <w:u w:val="single"/>
    </w:rPr>
  </w:style>
  <w:style w:type="character" w:customStyle="1" w:styleId="Nagwek7Znak">
    <w:name w:val="Nagłówek 7 Znak"/>
    <w:link w:val="Nagwek7"/>
    <w:rsid w:val="002001A2"/>
    <w:rPr>
      <w:rFonts w:ascii="Book Antiqua" w:hAnsi="Book Antiqua" w:cs="HelvetiSlav"/>
      <w:b/>
      <w:bCs/>
      <w:sz w:val="24"/>
      <w:u w:val="single"/>
    </w:rPr>
  </w:style>
  <w:style w:type="character" w:customStyle="1" w:styleId="Nagwek8Znak">
    <w:name w:val="Nagłówek 8 Znak"/>
    <w:link w:val="Nagwek8"/>
    <w:rsid w:val="002001A2"/>
    <w:rPr>
      <w:rFonts w:ascii="Verdana" w:hAnsi="Verdana" w:cs="HelvetiSlav"/>
      <w:sz w:val="24"/>
      <w:szCs w:val="24"/>
      <w:u w:val="single"/>
      <w:lang w:val="de-DE"/>
    </w:rPr>
  </w:style>
  <w:style w:type="character" w:customStyle="1" w:styleId="Nagwek9Znak">
    <w:name w:val="Nagłówek 9 Znak"/>
    <w:link w:val="Nagwek9"/>
    <w:rsid w:val="002001A2"/>
    <w:rPr>
      <w:rFonts w:ascii="Verdana" w:hAnsi="Verdana" w:cs="HelvetiSlav"/>
      <w:b/>
      <w:sz w:val="18"/>
      <w:szCs w:val="24"/>
    </w:rPr>
  </w:style>
  <w:style w:type="paragraph" w:styleId="Tytu">
    <w:name w:val="Title"/>
    <w:basedOn w:val="Normalny"/>
    <w:link w:val="TytuZnak"/>
    <w:qFormat/>
    <w:rsid w:val="005511EA"/>
    <w:pPr>
      <w:jc w:val="center"/>
    </w:pPr>
    <w:rPr>
      <w:rFonts w:ascii="Verdana" w:hAnsi="Verdana"/>
      <w:b/>
      <w:bCs/>
    </w:rPr>
  </w:style>
  <w:style w:type="character" w:customStyle="1" w:styleId="TytuZnak">
    <w:name w:val="Tytuł Znak"/>
    <w:link w:val="Tytu"/>
    <w:rsid w:val="002001A2"/>
    <w:rPr>
      <w:rFonts w:ascii="Verdana" w:hAnsi="Verdana"/>
      <w:b/>
      <w:bCs/>
      <w:sz w:val="24"/>
      <w:szCs w:val="24"/>
    </w:rPr>
  </w:style>
  <w:style w:type="paragraph" w:styleId="Podtytu">
    <w:name w:val="Subtitle"/>
    <w:basedOn w:val="Normalny"/>
    <w:link w:val="PodtytuZnak"/>
    <w:uiPriority w:val="11"/>
    <w:qFormat/>
    <w:rsid w:val="002001A2"/>
    <w:pPr>
      <w:spacing w:after="60"/>
      <w:jc w:val="center"/>
      <w:outlineLvl w:val="1"/>
    </w:pPr>
    <w:rPr>
      <w:rFonts w:ascii="Cambria" w:hAnsi="Cambria"/>
    </w:rPr>
  </w:style>
  <w:style w:type="character" w:customStyle="1" w:styleId="PodtytuZnak">
    <w:name w:val="Podtytuł Znak"/>
    <w:link w:val="Podtytu"/>
    <w:uiPriority w:val="11"/>
    <w:rsid w:val="002001A2"/>
    <w:rPr>
      <w:rFonts w:ascii="Cambria" w:eastAsia="Times New Roman" w:hAnsi="Cambria" w:cs="Times New Roman"/>
      <w:sz w:val="24"/>
      <w:szCs w:val="24"/>
    </w:rPr>
  </w:style>
  <w:style w:type="character" w:styleId="Pogrubienie">
    <w:name w:val="Strong"/>
    <w:qFormat/>
    <w:rsid w:val="005511EA"/>
    <w:rPr>
      <w:b/>
      <w:bCs/>
    </w:rPr>
  </w:style>
  <w:style w:type="character" w:styleId="Uwydatnienie">
    <w:name w:val="Emphasis"/>
    <w:uiPriority w:val="20"/>
    <w:qFormat/>
    <w:rsid w:val="002001A2"/>
    <w:rPr>
      <w:i/>
      <w:iCs/>
    </w:rPr>
  </w:style>
  <w:style w:type="paragraph" w:styleId="Legenda">
    <w:name w:val="caption"/>
    <w:basedOn w:val="Normalny"/>
    <w:next w:val="Normalny"/>
    <w:qFormat/>
    <w:rsid w:val="005511EA"/>
    <w:pPr>
      <w:jc w:val="center"/>
    </w:pPr>
    <w:rPr>
      <w:rFonts w:ascii="Verdana" w:hAnsi="Verdana"/>
      <w:b/>
      <w:sz w:val="22"/>
    </w:rPr>
  </w:style>
  <w:style w:type="paragraph" w:styleId="Tekstprzypisudolnego">
    <w:name w:val="footnote text"/>
    <w:basedOn w:val="Normalny"/>
    <w:link w:val="TekstprzypisudolnegoZnak"/>
    <w:uiPriority w:val="99"/>
    <w:unhideWhenUsed/>
    <w:rsid w:val="003D7DD4"/>
    <w:rPr>
      <w:sz w:val="20"/>
      <w:szCs w:val="20"/>
    </w:rPr>
  </w:style>
  <w:style w:type="character" w:customStyle="1" w:styleId="TekstprzypisudolnegoZnak">
    <w:name w:val="Tekst przypisu dolnego Znak"/>
    <w:basedOn w:val="Domylnaczcionkaakapitu"/>
    <w:link w:val="Tekstprzypisudolnego"/>
    <w:uiPriority w:val="99"/>
    <w:rsid w:val="003D7DD4"/>
  </w:style>
  <w:style w:type="character" w:styleId="Odwoaniedelikatne">
    <w:name w:val="Subtle Reference"/>
    <w:uiPriority w:val="31"/>
    <w:qFormat/>
    <w:rsid w:val="00E571A4"/>
    <w:rPr>
      <w:smallCaps/>
      <w:color w:val="C0504D"/>
      <w:u w:val="single"/>
    </w:rPr>
  </w:style>
  <w:style w:type="character" w:styleId="Odwoanieintensywne">
    <w:name w:val="Intense Reference"/>
    <w:uiPriority w:val="32"/>
    <w:qFormat/>
    <w:rsid w:val="00E571A4"/>
    <w:rPr>
      <w:b/>
      <w:bCs/>
      <w:smallCaps/>
      <w:color w:val="C0504D"/>
      <w:spacing w:val="5"/>
      <w:u w:val="single"/>
    </w:rPr>
  </w:style>
  <w:style w:type="paragraph" w:styleId="Nagwek">
    <w:name w:val="header"/>
    <w:basedOn w:val="Normalny"/>
    <w:link w:val="NagwekZnak"/>
    <w:uiPriority w:val="99"/>
    <w:semiHidden/>
    <w:unhideWhenUsed/>
    <w:rsid w:val="00120371"/>
    <w:pPr>
      <w:tabs>
        <w:tab w:val="center" w:pos="4536"/>
        <w:tab w:val="right" w:pos="9072"/>
      </w:tabs>
    </w:pPr>
  </w:style>
  <w:style w:type="character" w:customStyle="1" w:styleId="NagwekZnak">
    <w:name w:val="Nagłówek Znak"/>
    <w:link w:val="Nagwek"/>
    <w:uiPriority w:val="99"/>
    <w:semiHidden/>
    <w:rsid w:val="00120371"/>
    <w:rPr>
      <w:sz w:val="24"/>
      <w:szCs w:val="24"/>
    </w:rPr>
  </w:style>
  <w:style w:type="paragraph" w:styleId="Stopka">
    <w:name w:val="footer"/>
    <w:basedOn w:val="Normalny"/>
    <w:link w:val="StopkaZnak"/>
    <w:uiPriority w:val="99"/>
    <w:unhideWhenUsed/>
    <w:rsid w:val="00120371"/>
    <w:pPr>
      <w:tabs>
        <w:tab w:val="center" w:pos="4536"/>
        <w:tab w:val="right" w:pos="9072"/>
      </w:tabs>
    </w:pPr>
  </w:style>
  <w:style w:type="character" w:customStyle="1" w:styleId="StopkaZnak">
    <w:name w:val="Stopka Znak"/>
    <w:link w:val="Stopka"/>
    <w:uiPriority w:val="99"/>
    <w:rsid w:val="00120371"/>
    <w:rPr>
      <w:sz w:val="24"/>
      <w:szCs w:val="24"/>
    </w:rPr>
  </w:style>
  <w:style w:type="character" w:styleId="Hipercze">
    <w:name w:val="Hyperlink"/>
    <w:uiPriority w:val="99"/>
    <w:rsid w:val="006745F8"/>
    <w:rPr>
      <w:color w:val="0000FF"/>
      <w:u w:val="single"/>
    </w:rPr>
  </w:style>
  <w:style w:type="character" w:customStyle="1" w:styleId="spipsurligne">
    <w:name w:val="spip_surligne"/>
    <w:basedOn w:val="Domylnaczcionkaakapitu"/>
    <w:rsid w:val="006745F8"/>
  </w:style>
  <w:style w:type="paragraph" w:styleId="Plandokumentu">
    <w:name w:val="Document Map"/>
    <w:basedOn w:val="Normalny"/>
    <w:semiHidden/>
    <w:rsid w:val="0035281E"/>
    <w:pPr>
      <w:shd w:val="clear" w:color="auto" w:fill="000080"/>
    </w:pPr>
    <w:rPr>
      <w:rFonts w:ascii="Tahoma" w:hAnsi="Tahoma" w:cs="Tahoma"/>
      <w:sz w:val="20"/>
      <w:szCs w:val="20"/>
    </w:rPr>
  </w:style>
  <w:style w:type="paragraph" w:styleId="Tekstprzypisukocowego">
    <w:name w:val="endnote text"/>
    <w:basedOn w:val="Normalny"/>
    <w:semiHidden/>
    <w:rsid w:val="007372D3"/>
    <w:rPr>
      <w:sz w:val="20"/>
      <w:szCs w:val="20"/>
    </w:rPr>
  </w:style>
  <w:style w:type="character" w:styleId="Odwoanieprzypisukocowego">
    <w:name w:val="endnote reference"/>
    <w:semiHidden/>
    <w:rsid w:val="007372D3"/>
    <w:rPr>
      <w:vertAlign w:val="superscript"/>
    </w:rPr>
  </w:style>
  <w:style w:type="paragraph" w:styleId="NormalnyWeb">
    <w:name w:val="Normal (Web)"/>
    <w:basedOn w:val="Normalny"/>
    <w:rsid w:val="00212B99"/>
    <w:pPr>
      <w:spacing w:before="100" w:beforeAutospacing="1" w:after="100" w:afterAutospacing="1" w:line="240" w:lineRule="auto"/>
      <w:ind w:firstLine="0"/>
      <w:jc w:val="left"/>
    </w:pPr>
  </w:style>
  <w:style w:type="character" w:customStyle="1" w:styleId="longtext">
    <w:name w:val="long_text"/>
    <w:basedOn w:val="Domylnaczcionkaakapitu"/>
    <w:rsid w:val="00212B99"/>
  </w:style>
  <w:style w:type="paragraph" w:customStyle="1" w:styleId="body-paragraph1">
    <w:name w:val="body-paragraph1"/>
    <w:basedOn w:val="Normalny"/>
    <w:rsid w:val="00212B99"/>
    <w:pPr>
      <w:spacing w:before="100" w:beforeAutospacing="1" w:after="100" w:afterAutospacing="1" w:line="240" w:lineRule="auto"/>
      <w:ind w:left="1480" w:firstLine="0"/>
      <w:jc w:val="left"/>
    </w:pPr>
  </w:style>
  <w:style w:type="character" w:customStyle="1" w:styleId="hps">
    <w:name w:val="hps"/>
    <w:basedOn w:val="Domylnaczcionkaakapitu"/>
    <w:rsid w:val="00242B1B"/>
  </w:style>
  <w:style w:type="character" w:customStyle="1" w:styleId="hpsatn">
    <w:name w:val="hps atn"/>
    <w:basedOn w:val="Domylnaczcionkaakapitu"/>
    <w:rsid w:val="00242B1B"/>
  </w:style>
  <w:style w:type="character" w:customStyle="1" w:styleId="body">
    <w:name w:val="body"/>
    <w:basedOn w:val="Domylnaczcionkaakapitu"/>
    <w:rsid w:val="00411DFE"/>
  </w:style>
  <w:style w:type="character" w:customStyle="1" w:styleId="canonical-atb-url">
    <w:name w:val="canonical-atb-url"/>
    <w:basedOn w:val="Domylnaczcionkaakapitu"/>
    <w:rsid w:val="00004680"/>
  </w:style>
  <w:style w:type="character" w:customStyle="1" w:styleId="addmd1">
    <w:name w:val="addmd1"/>
    <w:rsid w:val="00004680"/>
    <w:rPr>
      <w:sz w:val="20"/>
      <w:szCs w:val="20"/>
    </w:rPr>
  </w:style>
  <w:style w:type="character" w:styleId="Numerstrony">
    <w:name w:val="page number"/>
    <w:basedOn w:val="Domylnaczcionkaakapitu"/>
    <w:rsid w:val="00DB6EAD"/>
  </w:style>
  <w:style w:type="character" w:customStyle="1" w:styleId="st">
    <w:name w:val="st"/>
    <w:basedOn w:val="Domylnaczcionkaakapitu"/>
    <w:rsid w:val="00555529"/>
  </w:style>
  <w:style w:type="character" w:customStyle="1" w:styleId="notranslate">
    <w:name w:val="notranslate"/>
    <w:basedOn w:val="Domylnaczcionkaakapitu"/>
    <w:rsid w:val="002E0027"/>
  </w:style>
  <w:style w:type="character" w:customStyle="1" w:styleId="searchword">
    <w:name w:val="searchword"/>
    <w:basedOn w:val="Domylnaczcionkaakapitu"/>
    <w:rsid w:val="00081AA8"/>
  </w:style>
  <w:style w:type="paragraph" w:styleId="Tekstdymka">
    <w:name w:val="Balloon Text"/>
    <w:basedOn w:val="Normalny"/>
    <w:link w:val="TekstdymkaZnak"/>
    <w:uiPriority w:val="99"/>
    <w:semiHidden/>
    <w:unhideWhenUsed/>
    <w:rsid w:val="00164234"/>
    <w:pPr>
      <w:spacing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16423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pl-PL" w:eastAsia="pl-P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49120232">
      <w:bodyDiv w:val="1"/>
      <w:marLeft w:val="0"/>
      <w:marRight w:val="0"/>
      <w:marTop w:val="0"/>
      <w:marBottom w:val="0"/>
      <w:divBdr>
        <w:top w:val="none" w:sz="0" w:space="0" w:color="auto"/>
        <w:left w:val="none" w:sz="0" w:space="0" w:color="auto"/>
        <w:bottom w:val="none" w:sz="0" w:space="0" w:color="auto"/>
        <w:right w:val="none" w:sz="0" w:space="0" w:color="auto"/>
      </w:divBdr>
    </w:div>
    <w:div w:id="361169720">
      <w:bodyDiv w:val="1"/>
      <w:marLeft w:val="0"/>
      <w:marRight w:val="0"/>
      <w:marTop w:val="0"/>
      <w:marBottom w:val="0"/>
      <w:divBdr>
        <w:top w:val="none" w:sz="0" w:space="0" w:color="auto"/>
        <w:left w:val="none" w:sz="0" w:space="0" w:color="auto"/>
        <w:bottom w:val="none" w:sz="0" w:space="0" w:color="auto"/>
        <w:right w:val="none" w:sz="0" w:space="0" w:color="auto"/>
      </w:divBdr>
    </w:div>
    <w:div w:id="375932354">
      <w:bodyDiv w:val="1"/>
      <w:marLeft w:val="0"/>
      <w:marRight w:val="0"/>
      <w:marTop w:val="0"/>
      <w:marBottom w:val="0"/>
      <w:divBdr>
        <w:top w:val="none" w:sz="0" w:space="0" w:color="auto"/>
        <w:left w:val="none" w:sz="0" w:space="0" w:color="auto"/>
        <w:bottom w:val="none" w:sz="0" w:space="0" w:color="auto"/>
        <w:right w:val="none" w:sz="0" w:space="0" w:color="auto"/>
      </w:divBdr>
      <w:divsChild>
        <w:div w:id="1886064124">
          <w:marLeft w:val="0"/>
          <w:marRight w:val="0"/>
          <w:marTop w:val="0"/>
          <w:marBottom w:val="0"/>
          <w:divBdr>
            <w:top w:val="none" w:sz="0" w:space="0" w:color="auto"/>
            <w:left w:val="none" w:sz="0" w:space="0" w:color="auto"/>
            <w:bottom w:val="none" w:sz="0" w:space="0" w:color="auto"/>
            <w:right w:val="none" w:sz="0" w:space="0" w:color="auto"/>
          </w:divBdr>
          <w:divsChild>
            <w:div w:id="75394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5116759">
      <w:bodyDiv w:val="1"/>
      <w:marLeft w:val="0"/>
      <w:marRight w:val="0"/>
      <w:marTop w:val="0"/>
      <w:marBottom w:val="0"/>
      <w:divBdr>
        <w:top w:val="none" w:sz="0" w:space="0" w:color="auto"/>
        <w:left w:val="none" w:sz="0" w:space="0" w:color="auto"/>
        <w:bottom w:val="none" w:sz="0" w:space="0" w:color="auto"/>
        <w:right w:val="none" w:sz="0" w:space="0" w:color="auto"/>
      </w:divBdr>
    </w:div>
    <w:div w:id="600263682">
      <w:bodyDiv w:val="1"/>
      <w:marLeft w:val="5"/>
      <w:marRight w:val="5"/>
      <w:marTop w:val="0"/>
      <w:marBottom w:val="0"/>
      <w:divBdr>
        <w:top w:val="none" w:sz="0" w:space="0" w:color="auto"/>
        <w:left w:val="none" w:sz="0" w:space="0" w:color="auto"/>
        <w:bottom w:val="none" w:sz="0" w:space="0" w:color="auto"/>
        <w:right w:val="none" w:sz="0" w:space="0" w:color="auto"/>
      </w:divBdr>
      <w:divsChild>
        <w:div w:id="1003246172">
          <w:marLeft w:val="0"/>
          <w:marRight w:val="0"/>
          <w:marTop w:val="0"/>
          <w:marBottom w:val="0"/>
          <w:divBdr>
            <w:top w:val="none" w:sz="0" w:space="0" w:color="auto"/>
            <w:left w:val="single" w:sz="6" w:space="0" w:color="CCCCCC"/>
            <w:bottom w:val="single" w:sz="6" w:space="0" w:color="CCCCCC"/>
            <w:right w:val="single" w:sz="6" w:space="0" w:color="CCCCCC"/>
          </w:divBdr>
          <w:divsChild>
            <w:div w:id="1232228309">
              <w:marLeft w:val="3300"/>
              <w:marRight w:val="0"/>
              <w:marTop w:val="0"/>
              <w:marBottom w:val="0"/>
              <w:divBdr>
                <w:top w:val="single" w:sz="6" w:space="0" w:color="CCCCCC"/>
                <w:left w:val="single" w:sz="6" w:space="0" w:color="CCCCCC"/>
                <w:bottom w:val="none" w:sz="0" w:space="0" w:color="auto"/>
                <w:right w:val="none" w:sz="0" w:space="0" w:color="auto"/>
              </w:divBdr>
              <w:divsChild>
                <w:div w:id="631834570">
                  <w:marLeft w:val="0"/>
                  <w:marRight w:val="0"/>
                  <w:marTop w:val="0"/>
                  <w:marBottom w:val="0"/>
                  <w:divBdr>
                    <w:top w:val="none" w:sz="0" w:space="0" w:color="auto"/>
                    <w:left w:val="none" w:sz="0" w:space="0" w:color="auto"/>
                    <w:bottom w:val="none" w:sz="0" w:space="0" w:color="auto"/>
                    <w:right w:val="none" w:sz="0" w:space="0" w:color="auto"/>
                  </w:divBdr>
                  <w:divsChild>
                    <w:div w:id="2089187506">
                      <w:marLeft w:val="600"/>
                      <w:marRight w:val="0"/>
                      <w:marTop w:val="0"/>
                      <w:marBottom w:val="0"/>
                      <w:divBdr>
                        <w:top w:val="none" w:sz="0" w:space="0" w:color="auto"/>
                        <w:left w:val="none" w:sz="0" w:space="0" w:color="auto"/>
                        <w:bottom w:val="none" w:sz="0" w:space="0" w:color="auto"/>
                        <w:right w:val="none" w:sz="0" w:space="0" w:color="auto"/>
                      </w:divBdr>
                      <w:divsChild>
                        <w:div w:id="1394350986">
                          <w:marLeft w:val="1350"/>
                          <w:marRight w:val="150"/>
                          <w:marTop w:val="0"/>
                          <w:marBottom w:val="0"/>
                          <w:divBdr>
                            <w:top w:val="none" w:sz="0" w:space="0" w:color="auto"/>
                            <w:left w:val="none" w:sz="0" w:space="0" w:color="auto"/>
                            <w:bottom w:val="none" w:sz="0" w:space="0" w:color="auto"/>
                            <w:right w:val="none" w:sz="0" w:space="0" w:color="auto"/>
                          </w:divBdr>
                        </w:div>
                      </w:divsChild>
                    </w:div>
                    <w:div w:id="2097700434">
                      <w:marLeft w:val="600"/>
                      <w:marRight w:val="0"/>
                      <w:marTop w:val="0"/>
                      <w:marBottom w:val="0"/>
                      <w:divBdr>
                        <w:top w:val="none" w:sz="0" w:space="0" w:color="auto"/>
                        <w:left w:val="none" w:sz="0" w:space="0" w:color="auto"/>
                        <w:bottom w:val="none" w:sz="0" w:space="0" w:color="auto"/>
                        <w:right w:val="none" w:sz="0" w:space="0" w:color="auto"/>
                      </w:divBdr>
                      <w:divsChild>
                        <w:div w:id="371080431">
                          <w:marLeft w:val="0"/>
                          <w:marRight w:val="0"/>
                          <w:marTop w:val="0"/>
                          <w:marBottom w:val="0"/>
                          <w:divBdr>
                            <w:top w:val="none" w:sz="0" w:space="0" w:color="auto"/>
                            <w:left w:val="none" w:sz="0" w:space="0" w:color="auto"/>
                            <w:bottom w:val="none" w:sz="0" w:space="0" w:color="auto"/>
                            <w:right w:val="none" w:sz="0" w:space="0" w:color="auto"/>
                          </w:divBdr>
                        </w:div>
                        <w:div w:id="1233812725">
                          <w:marLeft w:val="1350"/>
                          <w:marRight w:val="150"/>
                          <w:marTop w:val="0"/>
                          <w:marBottom w:val="0"/>
                          <w:divBdr>
                            <w:top w:val="none" w:sz="0" w:space="0" w:color="auto"/>
                            <w:left w:val="none" w:sz="0" w:space="0" w:color="auto"/>
                            <w:bottom w:val="none" w:sz="0" w:space="0" w:color="auto"/>
                            <w:right w:val="none" w:sz="0" w:space="0" w:color="auto"/>
                          </w:divBdr>
                        </w:div>
                        <w:div w:id="2019427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4805792">
      <w:bodyDiv w:val="1"/>
      <w:marLeft w:val="0"/>
      <w:marRight w:val="0"/>
      <w:marTop w:val="0"/>
      <w:marBottom w:val="0"/>
      <w:divBdr>
        <w:top w:val="none" w:sz="0" w:space="0" w:color="auto"/>
        <w:left w:val="none" w:sz="0" w:space="0" w:color="auto"/>
        <w:bottom w:val="none" w:sz="0" w:space="0" w:color="auto"/>
        <w:right w:val="none" w:sz="0" w:space="0" w:color="auto"/>
      </w:divBdr>
    </w:div>
    <w:div w:id="1772581705">
      <w:bodyDiv w:val="1"/>
      <w:marLeft w:val="0"/>
      <w:marRight w:val="0"/>
      <w:marTop w:val="0"/>
      <w:marBottom w:val="0"/>
      <w:divBdr>
        <w:top w:val="none" w:sz="0" w:space="0" w:color="auto"/>
        <w:left w:val="none" w:sz="0" w:space="0" w:color="auto"/>
        <w:bottom w:val="none" w:sz="0" w:space="0" w:color="auto"/>
        <w:right w:val="none" w:sz="0" w:space="0" w:color="auto"/>
      </w:divBdr>
    </w:div>
    <w:div w:id="1798991444">
      <w:bodyDiv w:val="1"/>
      <w:marLeft w:val="0"/>
      <w:marRight w:val="0"/>
      <w:marTop w:val="0"/>
      <w:marBottom w:val="0"/>
      <w:divBdr>
        <w:top w:val="none" w:sz="0" w:space="0" w:color="auto"/>
        <w:left w:val="none" w:sz="0" w:space="0" w:color="auto"/>
        <w:bottom w:val="none" w:sz="0" w:space="0" w:color="auto"/>
        <w:right w:val="none" w:sz="0" w:space="0" w:color="auto"/>
      </w:divBdr>
    </w:div>
    <w:div w:id="1800150499">
      <w:bodyDiv w:val="1"/>
      <w:marLeft w:val="0"/>
      <w:marRight w:val="0"/>
      <w:marTop w:val="0"/>
      <w:marBottom w:val="0"/>
      <w:divBdr>
        <w:top w:val="none" w:sz="0" w:space="0" w:color="auto"/>
        <w:left w:val="none" w:sz="0" w:space="0" w:color="auto"/>
        <w:bottom w:val="none" w:sz="0" w:space="0" w:color="auto"/>
        <w:right w:val="none" w:sz="0" w:space="0" w:color="auto"/>
      </w:divBdr>
      <w:divsChild>
        <w:div w:id="1910193759">
          <w:marLeft w:val="0"/>
          <w:marRight w:val="0"/>
          <w:marTop w:val="0"/>
          <w:marBottom w:val="0"/>
          <w:divBdr>
            <w:top w:val="none" w:sz="0" w:space="0" w:color="auto"/>
            <w:left w:val="none" w:sz="0" w:space="0" w:color="auto"/>
            <w:bottom w:val="none" w:sz="0" w:space="0" w:color="auto"/>
            <w:right w:val="none" w:sz="0" w:space="0" w:color="auto"/>
          </w:divBdr>
          <w:divsChild>
            <w:div w:id="1895971750">
              <w:marLeft w:val="0"/>
              <w:marRight w:val="0"/>
              <w:marTop w:val="420"/>
              <w:marBottom w:val="0"/>
              <w:divBdr>
                <w:top w:val="single" w:sz="8" w:space="0" w:color="EBEFF9"/>
                <w:left w:val="none" w:sz="0" w:space="0" w:color="auto"/>
                <w:bottom w:val="none" w:sz="0" w:space="0" w:color="auto"/>
                <w:right w:val="none" w:sz="0" w:space="0" w:color="auto"/>
              </w:divBdr>
              <w:divsChild>
                <w:div w:id="979386445">
                  <w:marLeft w:val="0"/>
                  <w:marRight w:val="0"/>
                  <w:marTop w:val="0"/>
                  <w:marBottom w:val="0"/>
                  <w:divBdr>
                    <w:top w:val="none" w:sz="0" w:space="0" w:color="auto"/>
                    <w:left w:val="none" w:sz="0" w:space="0" w:color="auto"/>
                    <w:bottom w:val="none" w:sz="0" w:space="0" w:color="auto"/>
                    <w:right w:val="none" w:sz="0" w:space="0" w:color="auto"/>
                  </w:divBdr>
                  <w:divsChild>
                    <w:div w:id="1995143738">
                      <w:marLeft w:val="0"/>
                      <w:marRight w:val="100"/>
                      <w:marTop w:val="0"/>
                      <w:marBottom w:val="60"/>
                      <w:divBdr>
                        <w:top w:val="none" w:sz="0" w:space="0" w:color="auto"/>
                        <w:left w:val="none" w:sz="0" w:space="0" w:color="auto"/>
                        <w:bottom w:val="none" w:sz="0" w:space="0" w:color="auto"/>
                        <w:right w:val="none" w:sz="0" w:space="0" w:color="auto"/>
                      </w:divBdr>
                      <w:divsChild>
                        <w:div w:id="393625838">
                          <w:marLeft w:val="0"/>
                          <w:marRight w:val="0"/>
                          <w:marTop w:val="0"/>
                          <w:marBottom w:val="40"/>
                          <w:divBdr>
                            <w:top w:val="none" w:sz="0" w:space="0" w:color="auto"/>
                            <w:left w:val="none" w:sz="0" w:space="0" w:color="auto"/>
                            <w:bottom w:val="none" w:sz="0" w:space="0" w:color="auto"/>
                            <w:right w:val="none" w:sz="0" w:space="0" w:color="auto"/>
                          </w:divBdr>
                          <w:divsChild>
                            <w:div w:id="1840122157">
                              <w:marLeft w:val="0"/>
                              <w:marRight w:val="0"/>
                              <w:marTop w:val="50"/>
                              <w:marBottom w:val="0"/>
                              <w:divBdr>
                                <w:top w:val="none" w:sz="0" w:space="0" w:color="auto"/>
                                <w:left w:val="none" w:sz="0" w:space="0" w:color="auto"/>
                                <w:bottom w:val="none" w:sz="0" w:space="0" w:color="auto"/>
                                <w:right w:val="none" w:sz="0" w:space="0" w:color="auto"/>
                              </w:divBdr>
                              <w:divsChild>
                                <w:div w:id="1770806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5057594">
                          <w:marLeft w:val="0"/>
                          <w:marRight w:val="0"/>
                          <w:marTop w:val="0"/>
                          <w:marBottom w:val="40"/>
                          <w:divBdr>
                            <w:top w:val="none" w:sz="0" w:space="0" w:color="auto"/>
                            <w:left w:val="none" w:sz="0" w:space="0" w:color="auto"/>
                            <w:bottom w:val="none" w:sz="0" w:space="0" w:color="auto"/>
                            <w:right w:val="none" w:sz="0" w:space="0" w:color="auto"/>
                          </w:divBdr>
                        </w:div>
                      </w:divsChild>
                    </w:div>
                  </w:divsChild>
                </w:div>
              </w:divsChild>
            </w:div>
          </w:divsChild>
        </w:div>
      </w:divsChild>
    </w:div>
    <w:div w:id="19204042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worldcat.org/search?q=au%3AChaudron%2C+Gerald%2C&amp;qt=hot_author"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microsoft.com/office/2007/relationships/stylesWithEffects" Target="stylesWithEffects.xml"/><Relationship Id="rId10" Type="http://schemas.openxmlformats.org/officeDocument/2006/relationships/hyperlink" Target="http://www.routledge.com/books/search/author/richard_j_shuster/" TargetMode="External"/><Relationship Id="rId4" Type="http://schemas.openxmlformats.org/officeDocument/2006/relationships/settings" Target="settings.xml"/><Relationship Id="rId9" Type="http://schemas.openxmlformats.org/officeDocument/2006/relationships/hyperlink" Target="http://eu.alma.exlibrisgroup.com/view/uresolver/44UEL_INST/openurl?frbrVersion=6&amp;ctx_enc=info:ofi/enc:UTF-8&amp;ctx_id=10_1&amp;ctx_tim=2014-09-18T14%3A26%3A11IST&amp;ctx_ver=Z39.88-2004&amp;url_ctx_fmt=info:ofi/fmt:kev:mtx:ctx&amp;url_ver=Z39.88-2004&amp;rfr_id=info:sid/primo.exlibrisgroup.com-eric&amp;req_id=&amp;rft_val_fmt=info:ofi/fmt:kev:mtx:article&amp;rft.genre=article&amp;rft.atitle=Women%20and%20International%20Intellectual%20Co-Operation&amp;rft.jtitle=Paedagogica%20Historica:%20International%20Journal%20of%20the%20History%20of%20Education&amp;rft.btitle=&amp;rft.aulast=&amp;rft.auinit=&amp;rft.auinit1=&amp;rft.auinitm=&amp;rft.ausuffix=&amp;rft.au=Goodman%2C%20Joyce&amp;rft.aucorp=&amp;rft.date=2012&amp;rft.volume=&amp;rft.issue=3&amp;rft.part=&amp;rft.quarter=&amp;rft.ssn=&amp;rft.spage=357&amp;rft.epage=368&amp;rft.pages=&amp;rft.artnum=&amp;rft.issn=0030-9230&amp;rft.eissn=&amp;rft.isbn=&amp;rft.sici=&amp;rft.coden=&amp;rft_id=info:doi/10.1080/00309230.2012.678869&amp;rft.object_id=&amp;rft.eisbn=&amp;rft.edition=&amp;rft.pub=&amp;rft.place=&amp;rft.series=&amp;rft.stitle=&amp;rft.bici=&amp;rft_id=info:bibcode/&amp;rft_id=info:hdl/&amp;rft_id=info:lccn/&amp;rft_id=info:oclcnum/&amp;rft_id=info:pmid/&amp;rft_id=info:eric/%28%28addata/eric%7D%7D&amp;rft_dat=%3Ceric%3EEJ975388%3C/eric%3E,language=eng,view=UEL_VU1&amp;svc_dat=single_service" TargetMode="Externa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eu.alma.exlibrisgroup.com/view/uresolver/44UEL_INST/openurl?frbrVersion=6&amp;ctx_enc=info:ofi/enc:UTF-8&amp;ctx_id=10_1&amp;ctx_tim=2014-09-18T14%3A26%3A11IST&amp;ctx_ver=Z39.88-2004&amp;url_ctx_fmt=info:ofi/fmt:kev:mtx:ctx&amp;url_ver=Z39.88-2004&amp;rfr_id=info:sid/primo.exlibrisgroup.com-eric&amp;req_id=&amp;rft_val_fmt=info:ofi/fmt:kev:mtx:article&amp;rft.genre=article&amp;rft.atitle=Women%20and%20International%20Intellectual%20Co-Operation&amp;rft.jtitle=Paedagogica%20Historica:%20International%20Journal%20of%20the%20History%20of%20Education&amp;rft.btitle=&amp;rft.aulast=&amp;rft.auinit=&amp;rft.auinit1=&amp;rft.auinitm=&amp;rft.ausuffix=&amp;rft.au=Goodman%2C%20Joyce&amp;rft.aucorp=&amp;rft.date=2012&amp;rft.volume=&amp;rft.issue=3&amp;rft.part=&amp;rft.quarter=&amp;rft.ssn=&amp;rft.spage=357&amp;rft.epage=368&amp;rft.pages=&amp;rft.artnum=&amp;rft.issn=0030-9230&amp;rft.eissn=&amp;rft.isbn=&amp;rft.sici=&amp;rft.coden=&amp;rft_id=info:doi/10.1080/00309230.2012.678869&amp;rft.object_id=&amp;rft.eisbn=&amp;rft.edition=&amp;rft.pub=&amp;rft.place=&amp;rft.series=&amp;rft.stitle=&amp;rft.bici=&amp;rft_id=info:bibcode/&amp;rft_id=info:hdl/&amp;rft_id=info:lccn/&amp;rft_id=info:oclcnum/&amp;rft_id=info:pmid/&amp;rft_id=info:eric/%28%28addata/eric%7D%7D&amp;rft_dat=%3Ceric%3EEJ975388%3C/eric%3E,language=eng,view=UEL_VU1&amp;svc_dat=single_service" TargetMode="External"/><Relationship Id="rId2" Type="http://schemas.openxmlformats.org/officeDocument/2006/relationships/hyperlink" Target="http://www.librarything.com/author/toynbeearnoldjoseph" TargetMode="External"/><Relationship Id="rId1" Type="http://schemas.openxmlformats.org/officeDocument/2006/relationships/hyperlink" Target="http://www.librarything.com/work/8350385" TargetMode="External"/><Relationship Id="rId5" Type="http://schemas.openxmlformats.org/officeDocument/2006/relationships/hyperlink" Target="http://www.routledge.com/books/search/author/richard_j_shuster/" TargetMode="External"/><Relationship Id="rId4" Type="http://schemas.openxmlformats.org/officeDocument/2006/relationships/hyperlink" Target="http://www.routledge.com/books/search/author/richard_j_shuster/"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4C0ECB7-E75F-4FFC-8055-DC81856CF4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842</TotalTime>
  <Pages>1</Pages>
  <Words>87737</Words>
  <Characters>526424</Characters>
  <Application>Microsoft Office Word</Application>
  <DocSecurity>0</DocSecurity>
  <Lines>4386</Lines>
  <Paragraphs>1225</Paragraphs>
  <ScaleCrop>false</ScaleCrop>
  <HeadingPairs>
    <vt:vector size="2" baseType="variant">
      <vt:variant>
        <vt:lpstr>Tytuł</vt:lpstr>
      </vt:variant>
      <vt:variant>
        <vt:i4>1</vt:i4>
      </vt:variant>
    </vt:vector>
  </HeadingPairs>
  <TitlesOfParts>
    <vt:vector size="1" baseType="lpstr">
      <vt:lpstr>Rozdział I</vt:lpstr>
    </vt:vector>
  </TitlesOfParts>
  <Company/>
  <LinksUpToDate>false</LinksUpToDate>
  <CharactersWithSpaces>612936</CharactersWithSpaces>
  <SharedDoc>false</SharedDoc>
  <HLinks>
    <vt:vector size="54" baseType="variant">
      <vt:variant>
        <vt:i4>8257579</vt:i4>
      </vt:variant>
      <vt:variant>
        <vt:i4>12</vt:i4>
      </vt:variant>
      <vt:variant>
        <vt:i4>0</vt:i4>
      </vt:variant>
      <vt:variant>
        <vt:i4>5</vt:i4>
      </vt:variant>
      <vt:variant>
        <vt:lpwstr>http://www.routledge.com/books/search/author/richard_j_shuster/</vt:lpwstr>
      </vt:variant>
      <vt:variant>
        <vt:lpwstr/>
      </vt:variant>
      <vt:variant>
        <vt:i4>4325386</vt:i4>
      </vt:variant>
      <vt:variant>
        <vt:i4>9</vt:i4>
      </vt:variant>
      <vt:variant>
        <vt:i4>0</vt:i4>
      </vt:variant>
      <vt:variant>
        <vt:i4>5</vt:i4>
      </vt:variant>
      <vt:variant>
        <vt:lpwstr>http://www.h-net.org/~diplo/IHS/</vt:lpwstr>
      </vt:variant>
      <vt:variant>
        <vt:lpwstr/>
      </vt:variant>
      <vt:variant>
        <vt:i4>852072</vt:i4>
      </vt:variant>
      <vt:variant>
        <vt:i4>3</vt:i4>
      </vt:variant>
      <vt:variant>
        <vt:i4>0</vt:i4>
      </vt:variant>
      <vt:variant>
        <vt:i4>5</vt:i4>
      </vt:variant>
      <vt:variant>
        <vt:lpwstr>http://www.worldcat.org/search?q=au%3AChaudron%2C+Gerald%2C&amp;qt=hot_author</vt:lpwstr>
      </vt:variant>
      <vt:variant>
        <vt:lpwstr/>
      </vt:variant>
      <vt:variant>
        <vt:i4>720908</vt:i4>
      </vt:variant>
      <vt:variant>
        <vt:i4>0</vt:i4>
      </vt:variant>
      <vt:variant>
        <vt:i4>0</vt:i4>
      </vt:variant>
      <vt:variant>
        <vt:i4>5</vt:i4>
      </vt:variant>
      <vt:variant>
        <vt:lpwstr>http://uni-nke.hu/downloads/kutatas/folyoiratok/hadtudomanyi_szemle/szamok/2012/2012_1/2012_1_hm_juhasz_balazs_47_72.pdf</vt:lpwstr>
      </vt:variant>
      <vt:variant>
        <vt:lpwstr/>
      </vt:variant>
      <vt:variant>
        <vt:i4>8257579</vt:i4>
      </vt:variant>
      <vt:variant>
        <vt:i4>18</vt:i4>
      </vt:variant>
      <vt:variant>
        <vt:i4>0</vt:i4>
      </vt:variant>
      <vt:variant>
        <vt:i4>5</vt:i4>
      </vt:variant>
      <vt:variant>
        <vt:lpwstr>http://www.routledge.com/books/search/author/richard_j_shuster/</vt:lpwstr>
      </vt:variant>
      <vt:variant>
        <vt:lpwstr/>
      </vt:variant>
      <vt:variant>
        <vt:i4>8257579</vt:i4>
      </vt:variant>
      <vt:variant>
        <vt:i4>15</vt:i4>
      </vt:variant>
      <vt:variant>
        <vt:i4>0</vt:i4>
      </vt:variant>
      <vt:variant>
        <vt:i4>5</vt:i4>
      </vt:variant>
      <vt:variant>
        <vt:lpwstr>http://www.routledge.com/books/search/author/richard_j_shuster/</vt:lpwstr>
      </vt:variant>
      <vt:variant>
        <vt:lpwstr/>
      </vt:variant>
      <vt:variant>
        <vt:i4>3473498</vt:i4>
      </vt:variant>
      <vt:variant>
        <vt:i4>9</vt:i4>
      </vt:variant>
      <vt:variant>
        <vt:i4>0</vt:i4>
      </vt:variant>
      <vt:variant>
        <vt:i4>5</vt:i4>
      </vt:variant>
      <vt:variant>
        <vt:lpwstr>http://primo.uel.ac.uk/primo_library/libweb/action/basket.do;jsessionid=0B50F2DF67F7CB0D221BA1CC187E0738?fn=create&amp;docs=TN_ericEJ975388&amp;remote=true&amp;scopes=primo_central_multiple_fe&amp;index=3</vt:lpwstr>
      </vt:variant>
      <vt:variant>
        <vt:lpwstr/>
      </vt:variant>
      <vt:variant>
        <vt:i4>2818166</vt:i4>
      </vt:variant>
      <vt:variant>
        <vt:i4>3</vt:i4>
      </vt:variant>
      <vt:variant>
        <vt:i4>0</vt:i4>
      </vt:variant>
      <vt:variant>
        <vt:i4>5</vt:i4>
      </vt:variant>
      <vt:variant>
        <vt:lpwstr>http://www.librarything.com/author/toynbeearnoldjoseph</vt:lpwstr>
      </vt:variant>
      <vt:variant>
        <vt:lpwstr/>
      </vt:variant>
      <vt:variant>
        <vt:i4>5898332</vt:i4>
      </vt:variant>
      <vt:variant>
        <vt:i4>0</vt:i4>
      </vt:variant>
      <vt:variant>
        <vt:i4>0</vt:i4>
      </vt:variant>
      <vt:variant>
        <vt:i4>5</vt:i4>
      </vt:variant>
      <vt:variant>
        <vt:lpwstr>http://www.librarything.com/work/8350385</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Rozdział I</dc:title>
  <dc:creator>User</dc:creator>
  <cp:lastModifiedBy>ppp</cp:lastModifiedBy>
  <cp:revision>38</cp:revision>
  <cp:lastPrinted>2014-11-13T14:14:00Z</cp:lastPrinted>
  <dcterms:created xsi:type="dcterms:W3CDTF">2014-11-04T13:08:00Z</dcterms:created>
  <dcterms:modified xsi:type="dcterms:W3CDTF">2014-11-20T14:50:00Z</dcterms:modified>
</cp:coreProperties>
</file>